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sz w:val="36"/>
        </w:rPr>
        <w:t>2022</w:t>
      </w:r>
      <w:r>
        <w:rPr>
          <w:rFonts w:ascii="黑体" w:hAnsi="黑体" w:eastAsia="黑体" w:cs="宋体"/>
          <w:b/>
          <w:color w:val="000000"/>
          <w:sz w:val="36"/>
        </w:rPr>
        <w:t>年度</w:t>
      </w:r>
      <w:r>
        <w:rPr>
          <w:rFonts w:ascii="黑体" w:hAnsi="黑体" w:eastAsia="黑体" w:cs="宋体"/>
          <w:b/>
          <w:sz w:val="36"/>
        </w:rPr>
        <w:t>怀化市城东小学</w:t>
      </w:r>
      <w:r>
        <w:rPr>
          <w:rFonts w:ascii="黑体" w:hAnsi="黑体" w:eastAsia="黑体" w:cs="宋体"/>
          <w:b/>
          <w:color w:val="000000"/>
          <w:sz w:val="36"/>
        </w:rPr>
        <w:t>部门决算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目录</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第一部分 怀化市城东小学单位概况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一、部门职责</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二、机构设置</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第二部分 部门决算表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一、收入支出决算总表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六、一般公共预算财政拨款基本支出决算明细表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七、政府性基金预算财政拨款收入支出决算表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八、国有资本经营预算财政拨款支出决算表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九、财政拨款“三公”经费支出决算表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0"/>
        <w:rPr>
          <w:rFonts w:ascii="宋体" w:hAnsi="宋体" w:eastAsia="宋体" w:cs="宋体"/>
          <w:vanish w:val="0"/>
          <w:sz w:val="24"/>
        </w:rPr>
      </w:pPr>
      <w:r>
        <w:rPr>
          <w:rFonts w:ascii="黑体" w:hAnsi="黑体" w:eastAsia="黑体" w:cs="宋体"/>
          <w:b/>
          <w:sz w:val="28"/>
        </w:rPr>
        <w:t>第三部分 2022年度部门决算情况说明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一、收入支出决算总体情况说明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二、收入决算情况说明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三、支出决算情况说明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四、财政拨款收入支出决算总体情况说明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五、一般公共预算财政拨款支出决算情况说明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六、一般公共预算财政拨款基本支出决算情况说明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七、一般公共预算财政拨款“三公”经费支出决算情况说明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八、政府性基金预算收入支出决算情况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九、关于机关运行经费支出说明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十、一般性支出情况说明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十一、关于政府采购支出说明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十二、关于国有资产占用情况说明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十三、关于预算绩效情况的说明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第四部分 名词解释</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黑体" w:hAnsi="黑体" w:eastAsia="黑体" w:cs="宋体"/>
          <w:b/>
          <w:sz w:val="28"/>
        </w:rPr>
        <w:t>第五部分 附件</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黑体" w:hAnsi="黑体" w:eastAsia="黑体" w:cs="宋体"/>
          <w:b/>
          <w:color w:val="000000"/>
          <w:sz w:val="33"/>
        </w:rPr>
        <w:sectPr>
          <w:pgSz w:w="11907" w:h="16839"/>
          <w:pgMar w:top="1440" w:right="1440" w:bottom="1440" w:left="1440" w:header="720" w:footer="720" w:gutter="0"/>
          <w:cols w:space="720" w:num="1"/>
        </w:sect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第一部分 </w:t>
      </w:r>
      <w:r>
        <w:rPr>
          <w:rFonts w:ascii="黑体" w:hAnsi="黑体" w:eastAsia="黑体" w:cs="宋体"/>
          <w:b/>
          <w:sz w:val="33"/>
        </w:rPr>
        <w:t>怀化市城东小学</w:t>
      </w:r>
      <w:r>
        <w:rPr>
          <w:rFonts w:ascii="黑体" w:hAnsi="黑体" w:eastAsia="黑体" w:cs="宋体"/>
          <w:b/>
          <w:color w:val="000000"/>
          <w:sz w:val="33"/>
        </w:rPr>
        <w:t>单位概况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outlineLvl w:val="1"/>
        <w:rPr>
          <w:rFonts w:ascii="宋体" w:hAnsi="宋体" w:eastAsia="宋体" w:cs="宋体"/>
          <w:vanish w:val="0"/>
          <w:sz w:val="24"/>
        </w:rPr>
      </w:pPr>
      <w:r>
        <w:rPr>
          <w:rFonts w:ascii="黑体" w:hAnsi="黑体" w:eastAsia="黑体" w:cs="宋体"/>
          <w:b/>
          <w:sz w:val="28"/>
        </w:rPr>
        <w:t>一、部门职责</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color w:val="000000"/>
          <w:sz w:val="28"/>
        </w:rPr>
      </w:pPr>
      <w:r>
        <w:rPr>
          <w:rFonts w:ascii="宋体" w:hAnsi="宋体" w:eastAsia="宋体" w:cs="宋体"/>
          <w:color w:val="000000"/>
          <w:sz w:val="28"/>
        </w:rPr>
        <w:t xml:space="preserve">（一）怀化市城东小学是全额拨款的事业单位。 </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 xml:space="preserve">（二）主要工作职责：全面贯彻党的教育方针，落实九年义务教育各项政策，保障学生受教育的各项权利，维护教师职工各项权益。 </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二、机构设置及决算单位构成</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（一）内设机构设置。怀化市城东小学单位内设机构包括：</w:t>
      </w:r>
      <w:r>
        <w:rPr>
          <w:rFonts w:ascii="宋体" w:hAnsi="宋体" w:eastAsia="宋体" w:cs="宋体"/>
          <w:color w:val="000000"/>
          <w:sz w:val="28"/>
        </w:rPr>
        <w:t>学校办公室、校长室、工会、党支部、总务处、教务处、德育处、教研室、财务室。</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（二）决算单位构成。怀化市城东小学单位2022年部门决算汇总公开单位构成包括：怀化市城东小学本级</w:t>
      </w:r>
      <w:r>
        <w:rPr>
          <w:rFonts w:ascii="宋体" w:hAnsi="宋体" w:eastAsia="宋体" w:cs="宋体"/>
          <w:color w:val="000000"/>
          <w:sz w:val="28"/>
        </w:rPr>
        <w:t>。</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黑体" w:hAnsi="黑体" w:eastAsia="黑体" w:cs="宋体"/>
          <w:b/>
          <w:sz w:val="33"/>
        </w:rPr>
        <w:sectPr>
          <w:pgSz w:w="11907" w:h="16839"/>
          <w:pgMar w:top="1440" w:right="1440" w:bottom="1440" w:left="1440" w:header="720" w:footer="720" w:gutter="0"/>
          <w:cols w:space="720" w:num="1"/>
        </w:sect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33"/>
        </w:rPr>
        <w:t>第二部分 部门决算表</w:t>
      </w:r>
    </w:p>
    <w:p>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616"/>
        <w:gridCol w:w="987"/>
        <w:gridCol w:w="1647"/>
        <w:gridCol w:w="5285"/>
        <w:gridCol w:w="987"/>
        <w:gridCol w:w="164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4470" w:type="dxa"/>
            <w:gridSpan w:val="6"/>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收入支出决算总表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公开01表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4"/>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部门：怀化市城东小学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收入</w:t>
            </w:r>
          </w:p>
        </w:tc>
        <w:tc>
          <w:tcPr>
            <w:tcW w:w="0" w:type="auto"/>
            <w:gridSpan w:val="3"/>
            <w:tcBorders>
              <w:top w:val="single" w:color="000000" w:sz="4" w:space="0"/>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1,304.26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四、上级补助收入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五、事业收入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1,448.34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六、经营收入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七、附属单位上缴收入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八、其他收入</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144.09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1,448.34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1,448.34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使用非财政拨款结余</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结余分配</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1,448.34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1,448.34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6"/>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注：1.本表反映部门本年度的总收支和年末结转结余情况。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6"/>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2.本套报表金额单位转换时可能存在尾数误差。</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29"/>
        <w:gridCol w:w="329"/>
        <w:gridCol w:w="328"/>
        <w:gridCol w:w="2893"/>
        <w:gridCol w:w="1952"/>
        <w:gridCol w:w="1952"/>
        <w:gridCol w:w="1662"/>
        <w:gridCol w:w="1662"/>
        <w:gridCol w:w="1666"/>
        <w:gridCol w:w="1662"/>
        <w:gridCol w:w="181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5000" w:type="pct"/>
            <w:gridSpan w:val="11"/>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收入决算表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97" w:type="pct"/>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97"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97"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891"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602"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602"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513"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513"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513" w:type="pct"/>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1072" w:type="pct"/>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公开02表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3927" w:type="pct"/>
            <w:gridSpan w:val="9"/>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部门：怀化市城东小学</w:t>
            </w:r>
          </w:p>
        </w:tc>
        <w:tc>
          <w:tcPr>
            <w:tcW w:w="1072" w:type="pct"/>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183" w:type="pct"/>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602"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本年收入合计</w:t>
            </w:r>
          </w:p>
        </w:tc>
        <w:tc>
          <w:tcPr>
            <w:tcW w:w="602"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财政拨款收入</w:t>
            </w:r>
          </w:p>
        </w:tc>
        <w:tc>
          <w:tcPr>
            <w:tcW w:w="513"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上级补助收入</w:t>
            </w:r>
          </w:p>
        </w:tc>
        <w:tc>
          <w:tcPr>
            <w:tcW w:w="513"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事业收入</w:t>
            </w:r>
          </w:p>
        </w:tc>
        <w:tc>
          <w:tcPr>
            <w:tcW w:w="513"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经营收入</w:t>
            </w:r>
          </w:p>
        </w:tc>
        <w:tc>
          <w:tcPr>
            <w:tcW w:w="513"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附属单位上缴收入</w:t>
            </w:r>
          </w:p>
        </w:tc>
        <w:tc>
          <w:tcPr>
            <w:tcW w:w="559" w:type="pct"/>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其他收入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891" w:type="pct"/>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602"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602"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13"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13"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13"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13"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59"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891" w:type="pct"/>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602"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602"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13"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13"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13"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13"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59"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891" w:type="pct"/>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602"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602"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13"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13"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13"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13"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59" w:type="pct"/>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183" w:type="pct"/>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602"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602"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513"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513"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513"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513"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559" w:type="pc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183" w:type="pct"/>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602"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1,448.34</w:t>
            </w:r>
          </w:p>
        </w:tc>
        <w:tc>
          <w:tcPr>
            <w:tcW w:w="602"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1,304.26</w:t>
            </w:r>
          </w:p>
        </w:tc>
        <w:tc>
          <w:tcPr>
            <w:tcW w:w="51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559"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144.09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891"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602"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1,448.34</w:t>
            </w:r>
          </w:p>
        </w:tc>
        <w:tc>
          <w:tcPr>
            <w:tcW w:w="602"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1,304.26</w:t>
            </w:r>
          </w:p>
        </w:tc>
        <w:tc>
          <w:tcPr>
            <w:tcW w:w="51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59"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144.09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891"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602"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1,304.26</w:t>
            </w:r>
          </w:p>
        </w:tc>
        <w:tc>
          <w:tcPr>
            <w:tcW w:w="602"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1,304.26</w:t>
            </w:r>
          </w:p>
        </w:tc>
        <w:tc>
          <w:tcPr>
            <w:tcW w:w="51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59"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2050202</w:t>
            </w:r>
          </w:p>
        </w:tc>
        <w:tc>
          <w:tcPr>
            <w:tcW w:w="891"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小学教育</w:t>
            </w:r>
          </w:p>
        </w:tc>
        <w:tc>
          <w:tcPr>
            <w:tcW w:w="602"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1,070.69</w:t>
            </w:r>
          </w:p>
        </w:tc>
        <w:tc>
          <w:tcPr>
            <w:tcW w:w="602"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1,070.69</w:t>
            </w:r>
          </w:p>
        </w:tc>
        <w:tc>
          <w:tcPr>
            <w:tcW w:w="51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59"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891"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其他普通教育支出</w:t>
            </w:r>
          </w:p>
        </w:tc>
        <w:tc>
          <w:tcPr>
            <w:tcW w:w="602"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233.57</w:t>
            </w:r>
          </w:p>
        </w:tc>
        <w:tc>
          <w:tcPr>
            <w:tcW w:w="602"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233.57</w:t>
            </w:r>
          </w:p>
        </w:tc>
        <w:tc>
          <w:tcPr>
            <w:tcW w:w="51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59"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20599</w:t>
            </w:r>
          </w:p>
        </w:tc>
        <w:tc>
          <w:tcPr>
            <w:tcW w:w="891"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其他教育支出</w:t>
            </w:r>
          </w:p>
        </w:tc>
        <w:tc>
          <w:tcPr>
            <w:tcW w:w="602"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144.09</w:t>
            </w:r>
          </w:p>
        </w:tc>
        <w:tc>
          <w:tcPr>
            <w:tcW w:w="602"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59"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144.09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2059999</w:t>
            </w:r>
          </w:p>
        </w:tc>
        <w:tc>
          <w:tcPr>
            <w:tcW w:w="891"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其他教育支出</w:t>
            </w:r>
          </w:p>
        </w:tc>
        <w:tc>
          <w:tcPr>
            <w:tcW w:w="602"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144.09</w:t>
            </w:r>
          </w:p>
        </w:tc>
        <w:tc>
          <w:tcPr>
            <w:tcW w:w="602"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13"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559" w:type="pct"/>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144.09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891" w:type="pct"/>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602"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602"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3"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3"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3"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3"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59"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891" w:type="pct"/>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602"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602"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3"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3"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3"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3"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59"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291" w:type="pct"/>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891" w:type="pct"/>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602"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602"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3"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3"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3"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13"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559" w:type="pct"/>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5000" w:type="pct"/>
            <w:gridSpan w:val="11"/>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注：本表反映部门本年度取得的各项收入情况。</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29"/>
        <w:gridCol w:w="329"/>
        <w:gridCol w:w="329"/>
        <w:gridCol w:w="3242"/>
        <w:gridCol w:w="2180"/>
        <w:gridCol w:w="2180"/>
        <w:gridCol w:w="2018"/>
        <w:gridCol w:w="1854"/>
        <w:gridCol w:w="1854"/>
        <w:gridCol w:w="185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6165" w:type="dxa"/>
            <w:gridSpan w:val="10"/>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公开03表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8"/>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部门：怀化市城东小学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本年支出合计</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上缴上级支出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经营支出</w:t>
            </w:r>
          </w:p>
        </w:tc>
        <w:tc>
          <w:tcPr>
            <w:tcW w:w="1851"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对附属单位补助支出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851"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1,448.34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1,276.06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172.29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1,448.34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1,276.06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172.29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1,304.26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1,212.80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91.46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小学教育</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1,070.69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1,070.69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其他普通教育支出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233.57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142.11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91.46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20599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其他教育支出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144.09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63.26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80.82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2059999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其他教育支出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144.09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63.26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80.82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10"/>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注：本表反映部门本年度各项支出情况。</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732"/>
        <w:gridCol w:w="584"/>
        <w:gridCol w:w="1590"/>
        <w:gridCol w:w="4079"/>
        <w:gridCol w:w="584"/>
        <w:gridCol w:w="1237"/>
        <w:gridCol w:w="1590"/>
        <w:gridCol w:w="1344"/>
        <w:gridCol w:w="141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7062" w:type="dxa"/>
            <w:gridSpan w:val="9"/>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财政拨款收入支出决算总表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公开04表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7"/>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部门：怀化市城东小学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     入</w:t>
            </w:r>
          </w:p>
        </w:tc>
        <w:tc>
          <w:tcPr>
            <w:tcW w:w="0" w:type="auto"/>
            <w:gridSpan w:val="6"/>
            <w:tcBorders>
              <w:top w:val="single" w:color="000000" w:sz="4" w:space="0"/>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     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2" w:hRule="atLeast"/>
        </w:trPr>
        <w:tc>
          <w:tcPr>
            <w:tcW w:w="3363" w:type="dxa"/>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86"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金额</w:t>
            </w:r>
          </w:p>
        </w:tc>
        <w:tc>
          <w:tcPr>
            <w:tcW w:w="3764"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86"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行次</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一般公共预算财政拨款</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政府性基金预算财政拨款</w:t>
            </w:r>
          </w:p>
        </w:tc>
        <w:tc>
          <w:tcPr>
            <w:tcW w:w="1851"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国有资本经营预算财政拨款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3363" w:type="dxa"/>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86"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376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586"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851"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jc w:val="center"/>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1,304.26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一、一般公共服务支出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二、政府性基金预算财政拨款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二、外交支出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三、国有资本经营预算财政拨款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三、国防支出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四、公共安全支出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五、教育支出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1,304.26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1,304.26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六、科学技术支出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七、文化旅游体育与传媒支出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八、社会保障和就业支出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九、卫生健康支出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十、节能环保支出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十一、城乡社区支出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十二、农林水支出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十三、交通运输支出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十四、资源勘探工业信息等支出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十五、商业服务业等支出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十六、金融支出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十七、援助其他地区支出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十八、自然资源海洋气象等支出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十九、住房保障支出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二十、粮油物资储备支出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二十一、国有资本经营预算支出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二十二、灾害防治及应急管理支出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二十三、其他支出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二十四、债务还本支出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二十五、债务付息支出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0"/>
                <w:szCs w:val="20"/>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二十六、抗疫特别国债安排的支出</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本年收入合计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1,304.26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本年支出合计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1,304.26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1,304.26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年初财政拨款结转和结余</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年末财政拨款结转和结余</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一般公共预算财政拨款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政府性基金预算财政拨款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国有资本经营预算财政拨款</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1,304.26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1,304.26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1,304.26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8"/>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注：本表反映部门本年度一般公共预算财政拨款、政府性基金预算财政拨款和国有资本经营预算财政拨款的总收支和年末结转结余情况。</w:t>
            </w:r>
          </w:p>
        </w:tc>
        <w:tc>
          <w:tcPr>
            <w:tcW w:w="0" w:type="auto"/>
            <w:tcBorders>
              <w:top w:val="nil"/>
              <w:left w:val="nil"/>
              <w:bottom w:val="nil"/>
              <w:right w:val="nil"/>
            </w:tcBorders>
            <w:shd w:val="clear" w:color="auto" w:fill="FFFFFF"/>
            <w:noWrap/>
            <w:vAlign w:val="center"/>
          </w:tcPr>
          <w:p>
            <w:pPr>
              <w:jc w:val="left"/>
              <w:rPr>
                <w:rFonts w:hint="eastAsia" w:ascii="宋体" w:hAnsi="宋体" w:eastAsia="宋体" w:cs="宋体"/>
                <w:i w:val="0"/>
                <w:iCs w:val="0"/>
                <w:color w:val="000000"/>
                <w:sz w:val="20"/>
                <w:szCs w:val="20"/>
                <w:u w:val="none"/>
              </w:rPr>
            </w:pP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64"/>
        <w:gridCol w:w="665"/>
        <w:gridCol w:w="665"/>
        <w:gridCol w:w="6566"/>
        <w:gridCol w:w="2622"/>
        <w:gridCol w:w="2622"/>
        <w:gridCol w:w="236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2001" w:type="dxa"/>
            <w:gridSpan w:val="7"/>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一般公共预算财政拨款支出决算表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公开05表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5"/>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部门：怀化市城东小学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6942" w:type="dxa"/>
            <w:gridSpan w:val="3"/>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2314"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2314"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2314"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7"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2314"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1,304.26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1,212.80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91.46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教育支出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1,304.26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1,212.80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91.46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普通教育</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1,304.26</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1,212.80</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91.46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2050202</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小学教育</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1,070.69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1,070.69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2050299</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其他普通教育支出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233.57</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142.11</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91.46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7"/>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注：本表反映部门本年度一般公共预算财政拨款支出情况。</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92"/>
        <w:gridCol w:w="3516"/>
        <w:gridCol w:w="1096"/>
        <w:gridCol w:w="993"/>
        <w:gridCol w:w="2416"/>
        <w:gridCol w:w="876"/>
        <w:gridCol w:w="993"/>
        <w:gridCol w:w="4396"/>
        <w:gridCol w:w="87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0" w:type="auto"/>
            <w:gridSpan w:val="9"/>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一般公共预算财政拨款基本支出决算明细表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公开06表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7"/>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部门：怀化市城东小学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w:t>
            </w:r>
          </w:p>
        </w:tc>
        <w:tc>
          <w:tcPr>
            <w:tcW w:w="0" w:type="auto"/>
            <w:gridSpan w:val="6"/>
            <w:tcBorders>
              <w:top w:val="single" w:color="000000" w:sz="4" w:space="0"/>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工资福利支出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1,002.76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商品和服务支出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债务利息及费用支出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基本工资</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722.62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办公费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国内债务付息</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津贴补贴</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印刷费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国外债务付息</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奖金</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183.72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咨询费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资本性支出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伙食补助费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手续费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房屋建筑物购建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绩效工资</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0.83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办公设备购置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机关事业单位基本养老保险缴费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58.29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电费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专用设备购置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职业年金缴费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邮电费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基础设施建设</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职工基本医疗保险缴费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取暖费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大型修缮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公务员医疗补助缴费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物业管理费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信息网络及软件购置更新</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其他社会保障缴费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7.60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差旅费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物资储备</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住房公积金</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因公出国（境）费用</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土地补偿</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30114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医疗费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维修（护）费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0.78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安置补助</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其他工资福利支出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租赁费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地上附着物和青苗补偿</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对个人和家庭的补助</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会议费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拆迁补偿</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离休费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培训费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公务用车购置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退休费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公务接待费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31019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其他交通工具购置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退职（役）费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30218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专用材料费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74.40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文物和陈列品购置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抚恤金</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被装购置费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31022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无形资产购置</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生活补助</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专用燃料费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其他资本性支出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救济费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30226</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劳务费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0.63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医疗费补助</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委托业务费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39907</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国家赔偿费用支出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助学金</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工会经费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39908</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对民间非营利组织和群众性自治组织补贴</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奖励金</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30229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福利费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39909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经常性赠与</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个人农业生产补贴</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公务用车运行维护费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39910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资本性赠与</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30311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代缴社会保险费</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30239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其他交通费用</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39999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其他对个人和家庭的补助</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30240</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税金及附加费用</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0.00</w:t>
            </w: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30299</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其他商品和服务支出</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107.10</w:t>
            </w: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FFFFFF"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2"/>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人员经费合计</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1,002.76</w:t>
            </w:r>
          </w:p>
        </w:tc>
        <w:tc>
          <w:tcPr>
            <w:tcW w:w="0" w:type="auto"/>
            <w:gridSpan w:val="5"/>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公用经费合计</w:t>
            </w:r>
          </w:p>
        </w:tc>
        <w:tc>
          <w:tcPr>
            <w:tcW w:w="0" w:type="auto"/>
            <w:tcBorders>
              <w:top w:val="nil"/>
              <w:left w:val="nil"/>
              <w:bottom w:val="single" w:color="000000" w:sz="4" w:space="0"/>
              <w:right w:val="single" w:color="000000" w:sz="4" w:space="0"/>
            </w:tcBorders>
            <w:shd w:val="clear" w:color="auto" w:fill="FFFFFF"/>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9"/>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注：本表反映部门本年度一般公共预算财政拨款基本支出明细情况。</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15"/>
        <w:gridCol w:w="415"/>
        <w:gridCol w:w="415"/>
        <w:gridCol w:w="2048"/>
        <w:gridCol w:w="2145"/>
        <w:gridCol w:w="2145"/>
        <w:gridCol w:w="2146"/>
        <w:gridCol w:w="2146"/>
        <w:gridCol w:w="2146"/>
        <w:gridCol w:w="214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5427" w:type="dxa"/>
            <w:gridSpan w:val="10"/>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政府性基金预算财政拨款收入支出决算表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公开07表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8"/>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部门：怀化市城东小学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年初结转和结余</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本年收入</w:t>
            </w:r>
          </w:p>
        </w:tc>
        <w:tc>
          <w:tcPr>
            <w:tcW w:w="5184" w:type="dxa"/>
            <w:gridSpan w:val="3"/>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c>
          <w:tcPr>
            <w:tcW w:w="1728" w:type="dxa"/>
            <w:vMerge w:val="restart"/>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年末结转和结余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single" w:color="000000" w:sz="4" w:space="0"/>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10"/>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注：本表反映部门本年度政府性基金预算财政拨款收入、支出及结转和结余情况。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24732" w:type="dxa"/>
            <w:gridSpan w:val="10"/>
            <w:shd w:val="clear" w:color="auto" w:fill="FFFFFF"/>
          </w:tcPr>
          <w:p>
            <w:r>
              <w:rPr>
                <w:rFonts w:ascii="宋体" w:hAnsi="宋体" w:eastAsia="宋体"/>
                <w:sz w:val="22"/>
              </w:rPr>
              <w:t>注:此表为空表，本单位无该项数据发生。</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4975" w:type="pct"/>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53"/>
        <w:gridCol w:w="853"/>
        <w:gridCol w:w="854"/>
        <w:gridCol w:w="4213"/>
        <w:gridCol w:w="3132"/>
        <w:gridCol w:w="3132"/>
        <w:gridCol w:w="313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10243" w:type="dxa"/>
            <w:gridSpan w:val="7"/>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30"/>
                <w:szCs w:val="30"/>
                <w:u w:val="none"/>
              </w:rPr>
            </w:pPr>
            <w:r>
              <w:rPr>
                <w:rFonts w:hint="eastAsia" w:ascii="宋体" w:hAnsi="宋体" w:eastAsia="宋体" w:cs="宋体"/>
                <w:i w:val="0"/>
                <w:iCs w:val="0"/>
                <w:color w:val="000000"/>
                <w:kern w:val="0"/>
                <w:sz w:val="30"/>
                <w:szCs w:val="30"/>
                <w:u w:val="none"/>
                <w:lang w:val="en-US" w:eastAsia="zh-CN" w:bidi="ar"/>
              </w:rPr>
              <w:t>国有资本经营预算财政拨款支出决算表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公开08表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5"/>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部门：怀化市城东小学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single" w:color="000000" w:sz="4" w:space="0"/>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5184" w:type="dxa"/>
            <w:gridSpan w:val="3"/>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本年支出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1017" w:type="dxa"/>
            <w:gridSpan w:val="3"/>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科目代码</w:t>
            </w:r>
          </w:p>
        </w:tc>
        <w:tc>
          <w:tcPr>
            <w:tcW w:w="0" w:type="auto"/>
            <w:vMerge w:val="restart"/>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基本支出</w:t>
            </w:r>
          </w:p>
        </w:tc>
        <w:tc>
          <w:tcPr>
            <w:tcW w:w="1728"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017" w:type="dxa"/>
            <w:gridSpan w:val="3"/>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nil"/>
              <w:left w:val="nil"/>
              <w:bottom w:val="single" w:color="000000" w:sz="4" w:space="0"/>
              <w:right w:val="single" w:color="000000" w:sz="4" w:space="0"/>
            </w:tcBorders>
            <w:shd w:val="clear" w:color="FFFFFF" w:fill="C0C0C0"/>
            <w:noWrap/>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728"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栏次</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nil"/>
              <w:left w:val="nil"/>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4"/>
            <w:tcBorders>
              <w:top w:val="nil"/>
              <w:left w:val="single" w:color="000000" w:sz="4" w:space="0"/>
              <w:bottom w:val="single" w:color="000000" w:sz="4" w:space="0"/>
              <w:right w:val="single" w:color="000000" w:sz="4" w:space="0"/>
            </w:tcBorders>
            <w:shd w:val="clear" w:color="FFFFFF" w:fill="FFFFFF"/>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gridSpan w:val="3"/>
            <w:tcBorders>
              <w:top w:val="nil"/>
              <w:left w:val="single" w:color="000000" w:sz="4" w:space="0"/>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lef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8" w:hRule="atLeast"/>
        </w:trPr>
        <w:tc>
          <w:tcPr>
            <w:tcW w:w="0" w:type="auto"/>
            <w:gridSpan w:val="7"/>
            <w:tcBorders>
              <w:top w:val="nil"/>
              <w:left w:val="nil"/>
              <w:bottom w:val="nil"/>
              <w:right w:val="nil"/>
            </w:tcBorders>
            <w:shd w:val="clear" w:color="auto" w:fill="FFFFFF"/>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注：本表反映部门本年度国有资本经营预算财政拨款支出情况。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14496" w:type="dxa"/>
            <w:gridSpan w:val="7"/>
            <w:shd w:val="clear" w:color="auto" w:fill="FFFFFF"/>
          </w:tcPr>
          <w:p>
            <w:r>
              <w:rPr>
                <w:rFonts w:ascii="宋体" w:hAnsi="宋体" w:eastAsia="宋体"/>
                <w:sz w:val="22"/>
              </w:rPr>
              <w:t>注:此表为空表，本单位无该项数据发生。</w:t>
            </w:r>
          </w:p>
        </w:tc>
      </w:tr>
    </w:tbl>
    <w:p>
      <w:pPr>
        <w:rPr>
          <w:rFonts w:hint="default"/>
        </w:rPr>
        <w:sectPr>
          <w:pgSz w:w="16840" w:h="11900" w:orient="landscape"/>
          <w:pgMar w:top="1083" w:right="403" w:bottom="1083" w:left="403" w:header="0" w:footer="0" w:gutter="0"/>
          <w:cols w:space="0" w:num="1"/>
          <w:docGrid w:linePitch="312" w:charSpace="0"/>
        </w:sectPr>
      </w:pPr>
    </w:p>
    <w:p>
      <w:pPr>
        <w:rPr>
          <w:rFonts w:hint="eastAsia" w:eastAsia="等线"/>
          <w:lang w:eastAsia="zh-CN"/>
        </w:rPr>
      </w:pPr>
    </w:p>
    <w:tbl>
      <w:tblPr>
        <w:tblStyle w:val="3"/>
        <w:tblW w:w="0" w:type="auto"/>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77"/>
        <w:gridCol w:w="1345"/>
        <w:gridCol w:w="1177"/>
        <w:gridCol w:w="1177"/>
        <w:gridCol w:w="1177"/>
        <w:gridCol w:w="1177"/>
        <w:gridCol w:w="1177"/>
        <w:gridCol w:w="1345"/>
        <w:gridCol w:w="1177"/>
        <w:gridCol w:w="1177"/>
        <w:gridCol w:w="1178"/>
        <w:gridCol w:w="28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4" w:hRule="atLeast"/>
        </w:trPr>
        <w:tc>
          <w:tcPr>
            <w:tcW w:w="17400" w:type="dxa"/>
            <w:gridSpan w:val="12"/>
            <w:tcBorders>
              <w:top w:val="nil"/>
              <w:left w:val="nil"/>
              <w:bottom w:val="nil"/>
              <w:right w:val="nil"/>
            </w:tcBorders>
            <w:shd w:val="clear" w:color="auto" w:fill="FFFFFF"/>
            <w:noWrap/>
            <w:vAlign w:val="bottom"/>
          </w:tcPr>
          <w:p>
            <w:pPr>
              <w:keepNext w:val="0"/>
              <w:keepLines w:val="0"/>
              <w:widowControl/>
              <w:suppressLineNumbers w:val="0"/>
              <w:jc w:val="center"/>
              <w:textAlignment w:val="bottom"/>
              <w:rPr>
                <w:rFonts w:hint="eastAsia" w:ascii="宋体" w:hAnsi="宋体" w:eastAsia="宋体" w:cs="宋体"/>
                <w:i w:val="0"/>
                <w:iCs w:val="0"/>
                <w:color w:val="000000"/>
                <w:sz w:val="44"/>
                <w:szCs w:val="44"/>
                <w:u w:val="none"/>
              </w:rPr>
            </w:pPr>
            <w:r>
              <w:rPr>
                <w:rFonts w:hint="eastAsia" w:ascii="宋体" w:hAnsi="宋体" w:eastAsia="宋体" w:cs="宋体"/>
                <w:i w:val="0"/>
                <w:iCs w:val="0"/>
                <w:color w:val="000000"/>
                <w:kern w:val="0"/>
                <w:sz w:val="30"/>
                <w:szCs w:val="44"/>
                <w:u w:val="none"/>
                <w:lang w:val="en-US" w:eastAsia="zh-CN" w:bidi="ar"/>
              </w:rPr>
              <w:t>财政拨款“三公”经费支出决算表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tcBorders>
              <w:top w:val="nil"/>
              <w:left w:val="nil"/>
              <w:bottom w:val="nil"/>
              <w:right w:val="nil"/>
            </w:tcBorders>
            <w:shd w:val="clear" w:color="auto" w:fill="FFFFFF"/>
            <w:noWrap/>
            <w:vAlign w:val="bottom"/>
          </w:tcPr>
          <w:p>
            <w:pPr>
              <w:rPr>
                <w:rFonts w:hint="eastAsia"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tcBorders>
              <w:top w:val="nil"/>
              <w:left w:val="nil"/>
              <w:bottom w:val="nil"/>
              <w:right w:val="nil"/>
            </w:tcBorders>
            <w:shd w:val="clear" w:color="auto" w:fill="FFFFFF"/>
            <w:noWrap/>
            <w:vAlign w:val="bottom"/>
          </w:tcPr>
          <w:p>
            <w:pPr>
              <w:rPr>
                <w:rFonts w:hint="default" w:ascii="Arial" w:hAnsi="Arial" w:cs="Arial"/>
                <w:i w:val="0"/>
                <w:iCs w:val="0"/>
                <w:color w:val="000000"/>
                <w:sz w:val="20"/>
                <w:szCs w:val="20"/>
                <w:u w:val="none"/>
              </w:rPr>
            </w:pP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公开09表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 w:hRule="atLeast"/>
        </w:trPr>
        <w:tc>
          <w:tcPr>
            <w:tcW w:w="0" w:type="auto"/>
            <w:gridSpan w:val="10"/>
            <w:tcBorders>
              <w:top w:val="nil"/>
              <w:left w:val="nil"/>
              <w:bottom w:val="nil"/>
              <w:right w:val="nil"/>
            </w:tcBorders>
            <w:shd w:val="clear" w:color="auto" w:fill="FFFFFF"/>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部门：怀化市城东小学</w:t>
            </w:r>
          </w:p>
        </w:tc>
        <w:tc>
          <w:tcPr>
            <w:tcW w:w="0" w:type="auto"/>
            <w:gridSpan w:val="2"/>
            <w:tcBorders>
              <w:top w:val="nil"/>
              <w:left w:val="nil"/>
              <w:bottom w:val="nil"/>
              <w:right w:val="nil"/>
            </w:tcBorders>
            <w:shd w:val="clear" w:color="auto" w:fill="FFFFFF"/>
            <w:noWrap/>
            <w:vAlign w:val="bottom"/>
          </w:tcPr>
          <w:p>
            <w:pPr>
              <w:keepNext w:val="0"/>
              <w:keepLines w:val="0"/>
              <w:widowControl/>
              <w:suppressLineNumbers w:val="0"/>
              <w:jc w:val="right"/>
              <w:textAlignment w:val="bottom"/>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8700" w:type="dxa"/>
            <w:gridSpan w:val="6"/>
            <w:tcBorders>
              <w:top w:val="single" w:color="000000" w:sz="4" w:space="0"/>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预算数</w:t>
            </w:r>
          </w:p>
        </w:tc>
        <w:tc>
          <w:tcPr>
            <w:tcW w:w="8700" w:type="dxa"/>
            <w:gridSpan w:val="6"/>
            <w:tcBorders>
              <w:top w:val="single" w:color="000000" w:sz="4" w:space="0"/>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450" w:type="dxa"/>
            <w:vMerge w:val="restart"/>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50"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4350" w:type="dxa"/>
            <w:gridSpan w:val="3"/>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公务用车购置及运行维护费</w:t>
            </w:r>
          </w:p>
        </w:tc>
        <w:tc>
          <w:tcPr>
            <w:tcW w:w="1450"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c>
          <w:tcPr>
            <w:tcW w:w="1450"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1450"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4350" w:type="dxa"/>
            <w:gridSpan w:val="3"/>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公务用车购置及运行维护费</w:t>
            </w:r>
          </w:p>
        </w:tc>
        <w:tc>
          <w:tcPr>
            <w:tcW w:w="1450" w:type="dxa"/>
            <w:vMerge w:val="restart"/>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1450" w:type="dxa"/>
            <w:vMerge w:val="continue"/>
            <w:tcBorders>
              <w:top w:val="nil"/>
              <w:left w:val="single" w:color="000000" w:sz="4" w:space="0"/>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14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公务用车购置费</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公务用车运行维护费</w:t>
            </w:r>
          </w:p>
        </w:tc>
        <w:tc>
          <w:tcPr>
            <w:tcW w:w="1450" w:type="dxa"/>
            <w:vMerge w:val="continue"/>
            <w:tcBorders>
              <w:top w:val="nil"/>
              <w:left w:val="nil"/>
              <w:bottom w:val="single" w:color="000000" w:sz="4" w:space="0"/>
              <w:right w:val="single" w:color="000000" w:sz="4" w:space="0"/>
            </w:tcBorders>
            <w:shd w:val="clear" w:color="FFFFFF" w:fill="C0C0C0"/>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1450" w:type="dxa"/>
            <w:tcBorders>
              <w:top w:val="nil"/>
              <w:left w:val="single" w:color="000000" w:sz="4" w:space="0"/>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450" w:type="dxa"/>
            <w:tcBorders>
              <w:top w:val="nil"/>
              <w:left w:val="nil"/>
              <w:bottom w:val="single" w:color="000000" w:sz="4" w:space="0"/>
              <w:right w:val="single" w:color="000000" w:sz="4" w:space="0"/>
            </w:tcBorders>
            <w:shd w:val="clear" w:color="FFFFFF"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 w:hRule="atLeast"/>
        </w:trPr>
        <w:tc>
          <w:tcPr>
            <w:tcW w:w="0" w:type="auto"/>
            <w:tcBorders>
              <w:top w:val="nil"/>
              <w:left w:val="single" w:color="000000" w:sz="4" w:space="0"/>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c>
          <w:tcPr>
            <w:tcW w:w="0" w:type="auto"/>
            <w:tcBorders>
              <w:top w:val="nil"/>
              <w:left w:val="nil"/>
              <w:bottom w:val="single" w:color="000000" w:sz="4" w:space="0"/>
              <w:right w:val="single" w:color="000000" w:sz="4" w:space="0"/>
            </w:tcBorders>
            <w:shd w:val="clear" w:color="auto" w:fill="FFFFFF"/>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17400" w:type="dxa"/>
            <w:gridSpan w:val="12"/>
            <w:tcBorders>
              <w:top w:val="nil"/>
              <w:left w:val="nil"/>
              <w:bottom w:val="nil"/>
              <w:right w:val="nil"/>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注：本表反映部门本年度财政拨款“三公”经费支出预决算情况。其中，预算数为“三公”经费全年预算数，反映按规定程序调整后的预算数；决算数是包括当年财政拨款和以前年度结转资金安排的实际支出。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c>
          <w:tcPr>
            <w:tcW w:w="21600" w:type="dxa"/>
            <w:gridSpan w:val="12"/>
            <w:shd w:val="clear" w:color="auto" w:fill="FFFFFF"/>
          </w:tcPr>
          <w:p>
            <w:r>
              <w:rPr>
                <w:rFonts w:ascii="宋体" w:hAnsi="宋体" w:eastAsia="宋体"/>
                <w:sz w:val="22"/>
              </w:rPr>
              <w:t>注:此表为空表，本单位无该项数据发生。</w:t>
            </w:r>
          </w:p>
        </w:tc>
      </w:tr>
    </w:tbl>
    <w:p>
      <w:pPr>
        <w:rPr>
          <w:rFonts w:hint="default"/>
        </w:rPr>
        <w:sectPr>
          <w:pgSz w:w="16840" w:h="11900" w:orient="landscape"/>
          <w:pgMar w:top="1083" w:right="403" w:bottom="1083" w:left="403" w:header="0" w:footer="0" w:gutter="0"/>
          <w:cols w:space="0" w:num="1"/>
          <w:docGrid w:linePitch="312" w:charSpace="0"/>
        </w:sect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color w:val="000000"/>
          <w:sz w:val="33"/>
        </w:rPr>
        <w:t>第三部分 </w:t>
      </w:r>
      <w:r>
        <w:rPr>
          <w:rFonts w:ascii="黑体" w:hAnsi="黑体" w:eastAsia="黑体" w:cs="宋体"/>
          <w:b/>
          <w:sz w:val="33"/>
        </w:rPr>
        <w:t>2022</w:t>
      </w:r>
      <w:r>
        <w:rPr>
          <w:rFonts w:ascii="黑体" w:hAnsi="黑体" w:eastAsia="黑体" w:cs="宋体"/>
          <w:b/>
          <w:color w:val="000000"/>
          <w:sz w:val="33"/>
        </w:rPr>
        <w:t>年度部门决算情况说明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一、收入支出决算总体情况说明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年度收入总计</w:t>
      </w:r>
      <w:r>
        <w:rPr>
          <w:rFonts w:ascii="宋体" w:hAnsi="宋体" w:eastAsia="宋体" w:cs="宋体"/>
          <w:sz w:val="28"/>
        </w:rPr>
        <w:t>1448.34</w:t>
      </w:r>
      <w:r>
        <w:rPr>
          <w:rFonts w:ascii="宋体" w:hAnsi="宋体" w:eastAsia="宋体" w:cs="宋体"/>
          <w:color w:val="000000"/>
          <w:sz w:val="28"/>
        </w:rPr>
        <w:t>万元。与上年相比，减少402.98万元，减少21.77%，主要是因为临聘人员减少和基本建设类项目减少。</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年度支出总计</w:t>
      </w:r>
      <w:r>
        <w:rPr>
          <w:rFonts w:ascii="宋体" w:hAnsi="宋体" w:eastAsia="宋体" w:cs="宋体"/>
          <w:sz w:val="28"/>
        </w:rPr>
        <w:t>1448.34</w:t>
      </w:r>
      <w:r>
        <w:rPr>
          <w:rFonts w:ascii="宋体" w:hAnsi="宋体" w:eastAsia="宋体" w:cs="宋体"/>
          <w:color w:val="000000"/>
          <w:sz w:val="28"/>
        </w:rPr>
        <w:t>万元。与上年相比，</w:t>
      </w:r>
      <w:r>
        <w:rPr>
          <w:rFonts w:ascii="宋体" w:hAnsi="宋体" w:eastAsia="宋体" w:cs="宋体"/>
          <w:sz w:val="28"/>
        </w:rPr>
        <w:t>减少402.98万元</w:t>
      </w:r>
      <w:r>
        <w:rPr>
          <w:rFonts w:ascii="宋体" w:hAnsi="宋体" w:eastAsia="宋体" w:cs="宋体"/>
          <w:color w:val="000000"/>
          <w:sz w:val="28"/>
        </w:rPr>
        <w:t>，</w:t>
      </w:r>
      <w:r>
        <w:rPr>
          <w:rFonts w:ascii="宋体" w:hAnsi="宋体" w:eastAsia="宋体" w:cs="宋体"/>
          <w:sz w:val="28"/>
        </w:rPr>
        <w:t>减少21.77%</w:t>
      </w:r>
      <w:r>
        <w:rPr>
          <w:rFonts w:ascii="宋体" w:hAnsi="宋体" w:eastAsia="宋体" w:cs="宋体"/>
          <w:color w:val="000000"/>
          <w:sz w:val="28"/>
        </w:rPr>
        <w:t>，主要是因为临聘人员减少和基本建设类项目减少。</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二、收入决算情况说明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2022年度本年收入合计1448.34万元，其中：财政拨款收入1304.26万元，占90.05%；上级补助收入0万元，占0%；事业收入0万元，占0%；经营收入0万元，占0%；附属单位上缴收入0万元，占0%；其他收入144.09万元，占9.95%。</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三、支出决算情况说明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2022年度本年支出合计1448.34万元，其中：基本支出1276.06万元，占88.11%；项目支出172.29万元，占11.90%；上缴上级支出0万元，占0%；经营支出0万元，占0%；对附属单位补助支出0万元，占0%。</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四、财政拨款收入支出决算总体情况说明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2022年度财政拨款收入总计1304.26万元，与上年相比，减少440.54万元，减少25.25%，主要是因为基本建设类项目减少。</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2022年度财政拨款支出总计1304.26万元，与上年相比，减少440.54万元，减少25.25%，主要是因为基本建设类项目减少。</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五、一般公共预算财政拨款支出决算情况说明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（一）财政拨款支出决算总体情况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2022年度财政拨款支出1304.26万元，占本年支出合计的100.00%，与上年相比，财政拨款支出减少394.77万元，减少23.24%，主要是因为基本建设类项目减少。</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（二）财政拨款支出决算结构情况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2022年度财政拨款支出1304.26万元，主要用于以下方面：教育支出（类）1304.26万元，占100.00%；</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（三）财政拨款支出决算具体情况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2022年度财政拨款支出年初预算数为1978.56万元，支出决算数为</w:t>
      </w:r>
      <w:r>
        <w:rPr>
          <w:rFonts w:ascii="宋体" w:hAnsi="宋体" w:eastAsia="宋体" w:cs="宋体"/>
          <w:sz w:val="28"/>
        </w:rPr>
        <w:t>1304.26</w:t>
      </w:r>
      <w:r>
        <w:rPr>
          <w:rFonts w:ascii="宋体" w:hAnsi="宋体" w:eastAsia="宋体" w:cs="宋体"/>
          <w:color w:val="000000"/>
          <w:sz w:val="28"/>
        </w:rPr>
        <w:t>万元，完成年初预算的73.20%，其中：</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1、教育支出（类）普通教育（款）小学教育（项）。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年初预算为1257.25万元，支出决算为1070.69万元，完成预算的85.16%。决算数小于年初预算数的主要原因是：履行节约开支，临聘人员减少和基本建设类项目减少，减少相应开支。</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2、教育支出（类）普通教育（款）其他普通教育支出（项）。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年初预算为378.14万元，支出决算为233.57万元，完成预算的61.77%。决算数小于年初预算数的主要原因是：履行节约开支，减少相应的办公等费用的开支。</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3、教育支出（类）普通教育（款）学前教育（项）。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2.45</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4、教育支出（类）其他教育支出（款）其他教育支出（项）。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335.75</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5、其他支出（类）其他支出（款）其他支出（项）。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shd w:val="clear" w:color="auto" w:fill="FFFFFF"/>
        </w:rPr>
        <w:t>年初预算为</w:t>
      </w:r>
      <w:r>
        <w:rPr>
          <w:rFonts w:ascii="宋体" w:hAnsi="宋体" w:eastAsia="宋体" w:cs="宋体"/>
          <w:color w:val="000000"/>
          <w:sz w:val="28"/>
        </w:rPr>
        <w:t>4.97</w:t>
      </w:r>
      <w:r>
        <w:rPr>
          <w:rFonts w:ascii="宋体" w:hAnsi="宋体" w:eastAsia="宋体" w:cs="宋体"/>
          <w:color w:val="000000"/>
          <w:sz w:val="28"/>
          <w:shd w:val="clear" w:color="auto" w:fill="FFFFFF"/>
        </w:rPr>
        <w:t>万元，支出决算为0万元，完成预算的0%。决算数小于年初预算数的主要原因是：</w:t>
      </w:r>
      <w:r>
        <w:rPr>
          <w:rFonts w:ascii="宋体" w:hAnsi="宋体" w:eastAsia="宋体" w:cs="宋体"/>
          <w:color w:val="000000"/>
          <w:sz w:val="28"/>
        </w:rPr>
        <w:t>本年度无此项开支。</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六、一般公共预算财政拨款基本支出决算情况说明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2022年度财政拨款基本支出1212.79万元，其中：</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人员经费1002.76万元，占基本支出的82.68%，主要包括：基本工资、奖金、机关事业单位基本养老保险缴费、职业年金缴费、职工基本医疗保险缴费、其他社会保障缴费。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公用经费210.03万元，占基本支出的17.32%，主要包括办公费、印刷费、水费、电费、维修（护）费、专用材料费、劳务费、工会经费、其他商品和服务支出。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七、一般公共预算财政拨款“三公”经费支出决算情况说明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（一）“三公”经费财政拨款支出决算总体情况说明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“三公”经费财政拨款支出预算为0万元，支出决算为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万元，因年初预算金额为0万元，无法计算百分比，其中：</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因公出国（境）费支出预算为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w:t>
      </w:r>
      <w:r>
        <w:rPr>
          <w:rFonts w:hint="eastAsia" w:ascii="宋体" w:hAnsi="宋体" w:eastAsia="宋体" w:cs="宋体"/>
          <w:color w:val="000000"/>
          <w:sz w:val="28"/>
        </w:rPr>
        <w:t>因年初预算金额为0万元，无法计算百分比</w:t>
      </w:r>
      <w:bookmarkStart w:id="0" w:name="_GoBack"/>
      <w:bookmarkEnd w:id="0"/>
      <w:r>
        <w:rPr>
          <w:rFonts w:ascii="宋体" w:hAnsi="宋体" w:eastAsia="宋体" w:cs="宋体"/>
          <w:color w:val="000000"/>
          <w:sz w:val="28"/>
        </w:rPr>
        <w:t>，决算数与预算数一致，与上年相比持平，持平主要原因是</w:t>
      </w:r>
      <w:r>
        <w:rPr>
          <w:rFonts w:ascii="宋体" w:hAnsi="宋体" w:eastAsia="宋体" w:cs="宋体"/>
          <w:sz w:val="28"/>
        </w:rPr>
        <w:t>2022年无此项开支</w:t>
      </w:r>
      <w:r>
        <w:rPr>
          <w:rFonts w:ascii="宋体" w:hAnsi="宋体" w:eastAsia="宋体" w:cs="宋体"/>
          <w:color w:val="000000"/>
          <w:sz w:val="28"/>
        </w:rPr>
        <w:t>。</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公务接待费支出预算为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万元，因年初预算金额为0万元，无法计算百分比，决算数与预算数一致，与上年相比持平，持平主要原因是学校无需公务接待费。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公务用车购置费支出预算为</w:t>
      </w:r>
      <w:r>
        <w:rPr>
          <w:rFonts w:ascii="宋体" w:hAnsi="宋体" w:eastAsia="宋体" w:cs="宋体"/>
          <w:sz w:val="28"/>
        </w:rPr>
        <w:t>0</w:t>
      </w:r>
      <w:r>
        <w:rPr>
          <w:rFonts w:ascii="宋体" w:hAnsi="宋体" w:eastAsia="宋体" w:cs="宋体"/>
          <w:color w:val="000000"/>
          <w:sz w:val="28"/>
        </w:rPr>
        <w:t>万元，支出决算为</w:t>
      </w:r>
      <w:r>
        <w:rPr>
          <w:rFonts w:ascii="宋体" w:hAnsi="宋体" w:eastAsia="宋体" w:cs="宋体"/>
          <w:sz w:val="28"/>
        </w:rPr>
        <w:t>0</w:t>
      </w:r>
      <w:r>
        <w:rPr>
          <w:rFonts w:ascii="宋体" w:hAnsi="宋体" w:eastAsia="宋体" w:cs="宋体"/>
          <w:color w:val="000000"/>
          <w:sz w:val="28"/>
        </w:rPr>
        <w:t>万元，因年初预算金额为0万元，无法计算百分比，决算数与预算数一致，与上年相比持平，持平主要原因是学校无需公务用车购置费。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公务用车运行维护费支出预算为0万元，支出决算为0万元，因年初预算金额为0万元，无法计算百分比，决算数与预算数一致，与上年相比持平，持平主要原因是学校无需公务用车维护费。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黑体" w:hAnsi="黑体" w:eastAsia="黑体" w:cs="宋体"/>
          <w:b/>
          <w:sz w:val="28"/>
        </w:rPr>
        <w:t>（二）“三公”经费财政拨款支出决算具体情况说明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年度“三公”经费财政拨款支出决算中，公务接待费支出决算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%，因公出国（境）费支出决算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%，公务用车购置费及运行维护费支出决算</w:t>
      </w:r>
      <w:r>
        <w:rPr>
          <w:rFonts w:ascii="宋体" w:hAnsi="宋体" w:eastAsia="宋体" w:cs="宋体"/>
          <w:sz w:val="28"/>
        </w:rPr>
        <w:t>0</w:t>
      </w:r>
      <w:r>
        <w:rPr>
          <w:rFonts w:ascii="宋体" w:hAnsi="宋体" w:eastAsia="宋体" w:cs="宋体"/>
          <w:color w:val="000000"/>
          <w:sz w:val="28"/>
        </w:rPr>
        <w:t>万元，占</w:t>
      </w:r>
      <w:r>
        <w:rPr>
          <w:rFonts w:ascii="宋体" w:hAnsi="宋体" w:eastAsia="宋体" w:cs="宋体"/>
          <w:sz w:val="28"/>
        </w:rPr>
        <w:t>0</w:t>
      </w:r>
      <w:r>
        <w:rPr>
          <w:rFonts w:ascii="宋体" w:hAnsi="宋体" w:eastAsia="宋体" w:cs="宋体"/>
          <w:color w:val="000000"/>
          <w:sz w:val="28"/>
        </w:rPr>
        <w:t>%。其中：</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w:t>
      </w:r>
      <w:r>
        <w:rPr>
          <w:rFonts w:ascii="宋体" w:hAnsi="宋体" w:eastAsia="宋体" w:cs="宋体"/>
          <w:sz w:val="28"/>
        </w:rPr>
        <w:t>因公出国（境）费支出决算为0万元，全年安排因公出国（境）团组0个，累计0人次，支出0万元。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2、公务接待费支出决算为</w:t>
      </w:r>
      <w:r>
        <w:rPr>
          <w:rFonts w:ascii="宋体" w:hAnsi="宋体" w:eastAsia="宋体" w:cs="宋体"/>
          <w:sz w:val="28"/>
        </w:rPr>
        <w:t>0</w:t>
      </w:r>
      <w:r>
        <w:rPr>
          <w:rFonts w:ascii="宋体" w:hAnsi="宋体" w:eastAsia="宋体" w:cs="宋体"/>
          <w:color w:val="000000"/>
          <w:sz w:val="28"/>
        </w:rPr>
        <w:t>万元，主要是全年共接待来访团组0个、来宾0人次，主要是无公务接待发生的接待支出。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3、公务用车购置费及运行维护费支出决算为0万元，其中：公务用车购置费0万元，怀化市城东小学更新</w:t>
      </w:r>
      <w:r>
        <w:rPr>
          <w:rFonts w:ascii="宋体" w:hAnsi="宋体" w:eastAsia="宋体" w:cs="宋体"/>
          <w:color w:val="000000"/>
          <w:sz w:val="28"/>
        </w:rPr>
        <w:t>公务用车0辆。</w:t>
      </w:r>
      <w:r>
        <w:rPr>
          <w:rFonts w:ascii="宋体" w:hAnsi="宋体" w:eastAsia="宋体" w:cs="宋体"/>
          <w:sz w:val="28"/>
        </w:rPr>
        <w:t>公务用车运行维护费0万元，</w:t>
      </w:r>
      <w:r>
        <w:rPr>
          <w:rFonts w:ascii="宋体" w:hAnsi="宋体" w:eastAsia="宋体" w:cs="宋体"/>
          <w:color w:val="000000"/>
          <w:sz w:val="28"/>
        </w:rPr>
        <w:t>主要是无公务用车支出，</w:t>
      </w:r>
      <w:r>
        <w:rPr>
          <w:rFonts w:ascii="宋体" w:hAnsi="宋体" w:eastAsia="宋体" w:cs="宋体"/>
          <w:sz w:val="28"/>
        </w:rPr>
        <w:t>截至2022年12月31日，</w:t>
      </w:r>
      <w:r>
        <w:rPr>
          <w:rFonts w:ascii="宋体" w:hAnsi="宋体" w:eastAsia="宋体" w:cs="宋体"/>
          <w:color w:val="000000"/>
          <w:sz w:val="28"/>
        </w:rPr>
        <w:t>我单位开支财政拨款的公务用车保有量为0辆</w:t>
      </w:r>
      <w:r>
        <w:rPr>
          <w:rFonts w:ascii="宋体" w:hAnsi="宋体" w:eastAsia="宋体" w:cs="宋体"/>
          <w:sz w:val="28"/>
        </w:rPr>
        <w:t>。</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八、政府性基金预算收入支出决算情况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年度政府性基金预算财政拨款收入</w:t>
      </w:r>
      <w:r>
        <w:rPr>
          <w:rFonts w:ascii="宋体" w:hAnsi="宋体" w:eastAsia="宋体" w:cs="宋体"/>
          <w:sz w:val="28"/>
        </w:rPr>
        <w:t>0</w:t>
      </w:r>
      <w:r>
        <w:rPr>
          <w:rFonts w:ascii="宋体" w:hAnsi="宋体" w:eastAsia="宋体" w:cs="宋体"/>
          <w:color w:val="000000"/>
          <w:sz w:val="28"/>
        </w:rPr>
        <w:t>万元；年初结转和结余</w:t>
      </w:r>
      <w:r>
        <w:rPr>
          <w:rFonts w:ascii="宋体" w:hAnsi="宋体" w:eastAsia="宋体" w:cs="宋体"/>
          <w:sz w:val="28"/>
        </w:rPr>
        <w:t>0</w:t>
      </w:r>
      <w:r>
        <w:rPr>
          <w:rFonts w:ascii="宋体" w:hAnsi="宋体" w:eastAsia="宋体" w:cs="宋体"/>
          <w:color w:val="000000"/>
          <w:sz w:val="28"/>
        </w:rPr>
        <w:t>万元；支出</w:t>
      </w:r>
      <w:r>
        <w:rPr>
          <w:rFonts w:ascii="宋体" w:hAnsi="宋体" w:eastAsia="宋体" w:cs="宋体"/>
          <w:sz w:val="28"/>
        </w:rPr>
        <w:t>0</w:t>
      </w:r>
      <w:r>
        <w:rPr>
          <w:rFonts w:ascii="宋体" w:hAnsi="宋体" w:eastAsia="宋体" w:cs="宋体"/>
          <w:color w:val="000000"/>
          <w:sz w:val="28"/>
        </w:rPr>
        <w:t>万元，其中：基本支出</w:t>
      </w:r>
      <w:r>
        <w:rPr>
          <w:rFonts w:ascii="宋体" w:hAnsi="宋体" w:eastAsia="宋体" w:cs="宋体"/>
          <w:sz w:val="28"/>
        </w:rPr>
        <w:t>0</w:t>
      </w:r>
      <w:r>
        <w:rPr>
          <w:rFonts w:ascii="宋体" w:hAnsi="宋体" w:eastAsia="宋体" w:cs="宋体"/>
          <w:color w:val="000000"/>
          <w:sz w:val="28"/>
        </w:rPr>
        <w:t>万元，项目支出</w:t>
      </w:r>
      <w:r>
        <w:rPr>
          <w:rFonts w:ascii="宋体" w:hAnsi="宋体" w:eastAsia="宋体" w:cs="宋体"/>
          <w:sz w:val="28"/>
        </w:rPr>
        <w:t>0</w:t>
      </w:r>
      <w:r>
        <w:rPr>
          <w:rFonts w:ascii="宋体" w:hAnsi="宋体" w:eastAsia="宋体" w:cs="宋体"/>
          <w:color w:val="000000"/>
          <w:sz w:val="28"/>
        </w:rPr>
        <w:t>万元；年末结转和结余</w:t>
      </w:r>
      <w:r>
        <w:rPr>
          <w:rFonts w:ascii="宋体" w:hAnsi="宋体" w:eastAsia="宋体" w:cs="宋体"/>
          <w:sz w:val="28"/>
        </w:rPr>
        <w:t>0</w:t>
      </w:r>
      <w:r>
        <w:rPr>
          <w:rFonts w:ascii="宋体" w:hAnsi="宋体" w:eastAsia="宋体" w:cs="宋体"/>
          <w:color w:val="000000"/>
          <w:sz w:val="28"/>
        </w:rPr>
        <w:t>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九、关于机关运行经费支出说明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本部门2022年度机关运行经费支出0万元，比上年决算数持平，主要原因是：本单位为财政补助事业单位，无机关运行经费。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十、一般性支出情况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2022</w:t>
      </w:r>
      <w:r>
        <w:rPr>
          <w:rFonts w:ascii="宋体" w:hAnsi="宋体" w:eastAsia="宋体" w:cs="宋体"/>
          <w:color w:val="000000"/>
          <w:sz w:val="28"/>
        </w:rPr>
        <w:t>年本部门开支会议费</w:t>
      </w:r>
      <w:r>
        <w:rPr>
          <w:rFonts w:ascii="宋体" w:hAnsi="宋体" w:eastAsia="宋体" w:cs="宋体"/>
          <w:sz w:val="28"/>
        </w:rPr>
        <w:t>0</w:t>
      </w:r>
      <w:r>
        <w:rPr>
          <w:rFonts w:ascii="宋体" w:hAnsi="宋体" w:eastAsia="宋体" w:cs="宋体"/>
          <w:color w:val="000000"/>
          <w:sz w:val="28"/>
        </w:rPr>
        <w:t>万元，用于召开0场会议，人数0人，内容为无；开支培训费</w:t>
      </w:r>
      <w:r>
        <w:rPr>
          <w:rFonts w:ascii="宋体" w:hAnsi="宋体" w:eastAsia="宋体" w:cs="宋体"/>
          <w:sz w:val="28"/>
        </w:rPr>
        <w:t>0</w:t>
      </w:r>
      <w:r>
        <w:rPr>
          <w:rFonts w:ascii="宋体" w:hAnsi="宋体" w:eastAsia="宋体" w:cs="宋体"/>
          <w:color w:val="000000"/>
          <w:sz w:val="28"/>
        </w:rPr>
        <w:t>万元，用于开展0场培训，人数0人，内容为无；未举办节庆、晚会、论坛、赛事等，开支0万元。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十一、关于政府采购支出说明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本部门2022年度政府采购支出总额0万元，其中：政府采购货物支出0万元、政府采购工程支出0万元、政府采购服务支出0万元。授予中小企业合同金额0万元，占政府采购支出总额的百分比无法计算，原因是政府采购支出总额为0万元，其中：授予小微企业合同金额0万元，占政府采购支出总额的百分比无法计算，原因是政府采购支出总额0万元；货物采购授予中小企业合同金额占货物支出金额的百分比无法计算，原因是政府采购货物支出金额为0万元，工程采购授予中小企业合同金额占工程支出金额的百分比无法计算，原因是政府采购工程支出金额为0万元，服务采购授予中小企业合同金额占服务支出金额的百分比无法计算，原因是政府采购服务支出金额为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十二、关于国有资产占用情况说明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截至2022年12月31日，本单位共有车辆0辆，其中，主要领导干部用车0辆，机要通信用车0辆、应急保障用车0辆、执法执勤用车0辆、特种专业技术用车0辆、其他用车0辆，其他用车主要是无；单位价值50万元以上通用设备0台（套）；单位价值100万元以上专用设备0台（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1"/>
        <w:rPr>
          <w:rFonts w:ascii="宋体" w:hAnsi="宋体" w:eastAsia="宋体" w:cs="宋体"/>
          <w:vanish w:val="0"/>
          <w:sz w:val="24"/>
        </w:rPr>
      </w:pPr>
      <w:r>
        <w:rPr>
          <w:rFonts w:ascii="黑体" w:hAnsi="黑体" w:eastAsia="黑体" w:cs="宋体"/>
          <w:b/>
          <w:sz w:val="28"/>
        </w:rPr>
        <w:t>十三、关于2022年度预算绩效情况的说明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宋体" w:hAnsi="宋体" w:eastAsia="宋体" w:cs="宋体"/>
          <w:b/>
          <w:sz w:val="28"/>
        </w:rPr>
        <w:t>（一）部门整体支出绩效情况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按照我区预算绩效管理工作的总体要求，2022年我单位整体支出全部实现整体支出绩效目标管理。取得相应的效益。整个项目的运行完全按照我校内部管理制度、区教育局及财政的有关规定执行，所有开支均按照财务管理制度严格执行，不存在违规违法的问题。严格按照上级指示，在规定的时间里完成好了各项绩效目标工作</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outlineLvl w:val="2"/>
        <w:rPr>
          <w:rFonts w:ascii="宋体" w:hAnsi="宋体" w:eastAsia="宋体" w:cs="宋体"/>
          <w:vanish w:val="0"/>
          <w:sz w:val="24"/>
        </w:rPr>
      </w:pPr>
      <w:r>
        <w:rPr>
          <w:rFonts w:ascii="宋体" w:hAnsi="宋体" w:eastAsia="宋体" w:cs="宋体"/>
          <w:b/>
          <w:sz w:val="28"/>
        </w:rPr>
        <w:t>（二）存在的问题及原因分析</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2022年度我校在公用经费控制方面还有所欠缺，主要是没有做好充足的计划。加上我校财务人员因岗位限制而不得不兼负繁重的教学任务，亦非专业出身的财务人员，对新的财务专业知识仍然处在摸索阶段，专业不精，有待进一步加强学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第四部分 名词解释</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1、财政拨款收入：指单位本年度从同级财政部门取得的各类财政拨款。</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2、上级补助收入：指事业单位从主管部门和上级单位取得的非财政补助收入。</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3、机关运行经费：指行政单位（含参照公务员法管理的事业单位）使用一般公共预算安排的基本支出中的公用经费支出，包括办公及印刷费、邮电费、差旅费、会议费、福利费、日常维修费、专用材料及一般设备购置费、办公用房水电费、办公用房取暖费、办公用房物业管理费、公务用车运行维护费及其他费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4、事业收入：指事业单位开展专业业务活动及其辅助活动取得的收入，事业单位收到的财政专户实际核拨的教育收费等资金在此反映。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5、经营收入：指事业单位在专业业务活动及其辅助活动之外开展非独立核算经营活动取得的收入。</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6、附属单位上缴收入：指事业单位附属独立核算单位按照有关规定上缴的收入。</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7、其他收入：指单位取得的除上述“财政拨款收入”、“事业收入”、“经营收入”等以外的各项收入。</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8、使用非财政拨款结余：指事业单位使用非财政拨款结余（原事业基金）弥补当年收支差额的数额。</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9、年初结转和结余：指单位上年结转本年使用的基本支出结转、项目支出结转和结余和经营结余。</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10、结余分配：指事业单位按规定对非财政拨款结余资金提取的专用基金、缴纳的所得税和转入非财政拨款结余等。</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11、年末结转和结余资金：指本年度或以前年度预算安排、因客观条件发生变化无法按原计划实施，需要延迟到以后年度按有关规定继续使用的资金。</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12、基本支出：指为保障机构正常运转、完成日常工作任务而发生的支出，包括人员经费和公用经费。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13、项目支出：指在为完成特定的工作任务和事业发展目标所发生的支出。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14、上缴上级支出：指事业单位按照财政部门和主管部门的规定上缴上级单位的支出。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15、经营支出：指事业单位在专业业务活动及其辅助活动之外开展非独立核算经营活动发生的支出。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16、对附属单位补助支出：指事业单位用财政拨款收入之外的收入对附属单位补助发生的支出。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color w:val="000000"/>
          <w:sz w:val="28"/>
        </w:rPr>
        <w:t>17、“三公”经费：指单位用一般公共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购置支出（含车辆购置税、牌照费）以及按规定保留的公务用车燃料费、维修费、过路过桥费、保险费、安全奖励费用等支出；公务接待费反映单位按规定开支的各类公务接待（含外宾接待）费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outlineLvl w:val="0"/>
        <w:rPr>
          <w:rFonts w:ascii="宋体" w:hAnsi="宋体" w:eastAsia="宋体" w:cs="宋体"/>
          <w:vanish w:val="0"/>
          <w:sz w:val="24"/>
        </w:rPr>
      </w:pPr>
      <w:r>
        <w:rPr>
          <w:rFonts w:ascii="黑体" w:hAnsi="黑体" w:eastAsia="黑体" w:cs="宋体"/>
          <w:b/>
          <w:color w:val="000000"/>
          <w:sz w:val="33"/>
        </w:rPr>
        <w:t>第五部分 附件</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YTc2ZGZiNzZiNDVlOGViOWVmM2JhOTY0NGJkNjUyYzgifQ=="/>
    <w:docVar w:name="KSO_WPS_MARK_KEY" w:val="c2fbc551-0035-495c-b87d-1fa70e971c3c"/>
  </w:docVars>
  <w:rsids>
    <w:rsidRoot w:val="00000000"/>
    <w:rsid w:val="010407DC"/>
    <w:rsid w:val="32085282"/>
    <w:rsid w:val="75626FA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heme="minorBidi"/>
      <w:sz w:val="24"/>
      <w:szCs w:val="24"/>
      <w:lang w:val="en-US" w:eastAsia="uk-UA" w:bidi="ar-SA"/>
    </w:rPr>
  </w:style>
  <w:style w:type="character" w:default="1" w:styleId="5">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23</Pages>
  <Words>7668</Words>
  <Characters>9813</Characters>
  <TotalTime>1</TotalTime>
  <ScaleCrop>false</ScaleCrop>
  <LinksUpToDate>false</LinksUpToDate>
  <CharactersWithSpaces>10011</CharactersWithSpaces>
  <Application>WPS Office_11.1.0.15320_F1E327BC-269C-435d-A152-05C5408002CA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2024-08-19T16:32:00Z</dcterms:created>
  <dc:creator>HUAWEI</dc:creator>
  <cp:lastModifiedBy>赵奕雯</cp:lastModifiedBy>
  <dcterms:modified xsi:type="dcterms:W3CDTF">2024-08-27T07:28:15Z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2052-11.1.0.15320</vt:lpwstr>
  </property>
  <property fmtid="{D5CDD505-2E9C-101B-9397-08002B2CF9AE}" pid="3" name="ICV">
    <vt:lpwstr>7A16366A10D24551A59EA9D20C1ECCB9_12</vt:lpwstr>
  </property>
</Properties>
</file>