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mc:Ignorable="w14 w15 wp14">
  <!-- Generated by Spire.Doc -->
  <w:body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怀化市鹤城区文学艺术界联合会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目 录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第一部分2023年部门预算公开说明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（一）收入预算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（二）支出预算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四、一般公共预算拨款支出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（一）基本支出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（二）项目支出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（一）机关运行经费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（二）“三公”经费预算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（三）一般性支出情况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（四）政府采购情况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（五）国有资产占用使用及新增资产配置情况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（六）预算绩效目标说明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第二部分 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第一部分 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区文联是区委、区政府领导下的文学艺术界的群众团体，其主要任务是贯彻党的文艺路线、方针、政策，为繁荣社会主义文艺事业奉献力量；履行团结引导联络协调、服务管理、自律维权的职能，开展多种多样的主题文艺活动、文艺创作引导、文艺评奖等活动；加强与上级文联，兄弟县、市（区）文联的联系，增进友谊，开展对外文化交流活动；承办区委、区政府交办的其他事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怀化市鹤城区文学艺术界联合会单位内设机构包括：内设机构2个，分别为文艺创作股、综合股。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纳入2023年怀化市鹤城区文学艺术界联合会部门预算编制范围包括：怀化市鹤城区文学艺术界联合会本级。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（一）收入预算：</w:t>
      </w:r>
      <w:r>
        <w:rPr>
          <w:rFonts w:ascii="宋体" w:eastAsia="宋体" w:hAnsi="宋体" w:cs="宋体"/>
          <w:sz w:val="24"/>
        </w:rPr>
        <w:t xml:space="preserve">2023年本部门收入预算73.85万元，一般公共预算收入73.85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增加25.98万元，主要原因是行政人员增加，充实文联干部队伍，根据区委深改委会议精神，增加文艺创作引导专项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（二）支出预算：</w:t>
      </w:r>
      <w:r>
        <w:rPr>
          <w:rFonts w:ascii="宋体" w:eastAsia="宋体" w:hAnsi="宋体" w:cs="宋体"/>
          <w:sz w:val="24"/>
        </w:rPr>
        <w:t xml:space="preserve">2023年本部门支出预算73.85万元，其中，一般公共服务支出59.06万元，社会保障和就业支出8.73万元，卫生健康支出2.42万元，住房保障支出3.63万元。支出较上年增加25.98万元，主要原因是人员支出（工资福利支出）、公用经费（商品和服务的支出）、项目支出（专项业务支出）的增加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2023年本部门一般公共预算支出73.85万元，其中，一般公共服务支出59.06万元，占79.97%，社会保障和就业支出8.73万元，占11.82%，卫生健康支出2.42万元，占3.28%，住房保障支出3.63万元，占4.92%。具体安排情况如下： 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（一）基本支出：</w:t>
      </w:r>
      <w:r>
        <w:rPr>
          <w:rFonts w:ascii="宋体" w:eastAsia="宋体" w:hAnsi="宋体" w:cs="宋体"/>
          <w:sz w:val="24"/>
        </w:rPr>
        <w:t xml:space="preserve">2023年本部门基本支出预算数62.45万元，主要是为保障部门正常运转、完成日常工作任务而发生的各项支出。其中，人员经费58.11万元，主要包括：基本工资、津贴补贴、奖金、社会保障缴费、其他工资福利支出、离休费、退休费、抚恤金、奖励金、住房公积金、其他对个人和家庭的补助支出；公用经费4.34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（二）项目支出：</w:t>
      </w:r>
      <w:r>
        <w:rPr>
          <w:rFonts w:ascii="宋体" w:eastAsia="宋体" w:hAnsi="宋体" w:cs="宋体"/>
          <w:sz w:val="24"/>
        </w:rPr>
        <w:t xml:space="preserve">2023年本部门项目支出预算11.4万元，主要是部门为完成特定行政工作任务或事业发展目标而发生的支出，包括有关事业发展专项、专项业务费、基本建设支出等。其中：行政运行支出11.4万元，主要用于推动创作文艺、学术交流、人才培训和调研工作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本部门无政府性基金安排的支出。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（一）机关运行经费：</w:t>
      </w:r>
      <w:r>
        <w:rPr>
          <w:rFonts w:ascii="宋体" w:eastAsia="宋体" w:hAnsi="宋体" w:cs="宋体"/>
          <w:sz w:val="24"/>
        </w:rPr>
        <w:t xml:space="preserve">2023年本部门机关运行经费4.34万元，比上年预算增加1.07万元，上升32.72%，主要原因是工作人员的增加，开展工作后各项开支的增加。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（二）“三公”经费预算：</w:t>
      </w:r>
      <w:r>
        <w:rPr>
          <w:rFonts w:ascii="宋体" w:eastAsia="宋体" w:hAnsi="宋体" w:cs="宋体"/>
          <w:sz w:val="24"/>
        </w:rPr>
        <w:t xml:space="preserve">2023年本部门“三公”经费预算数为0万元，其中，公务接待费0万元，公务用车购置及运行费0万元（其中，公务用车购置费0万元，公务用车运行费0万元），因公出国（境）费0万元。2023年“三公”经费预算较上年持平，主要原因是单位本年无”三公“经费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（三）一般性支出情况：</w:t>
      </w:r>
      <w:r>
        <w:rPr>
          <w:rFonts w:ascii="宋体" w:eastAsia="宋体" w:hAnsi="宋体" w:cs="宋体"/>
          <w:sz w:val="24"/>
        </w:rPr>
        <w:t xml:space="preserve">2023年本部门会议费预算0.3万元，拟召开各协会工作会议，人数30人，内容为传达会议精神；2023培训费预算0.2万元，拟开展文化与创作培训，人数50人，内容为宣传政策方针，普及法律知识，宣传清廉文化等； ；拟举办0场节庆、晚会、论坛、赛事活动，开支0万元。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（四）政府采购情况：</w:t>
      </w:r>
      <w:r>
        <w:rPr>
          <w:rFonts w:ascii="宋体" w:eastAsia="宋体" w:hAnsi="宋体" w:cs="宋体"/>
          <w:sz w:val="24"/>
        </w:rPr>
        <w:t xml:space="preserve">2023年本部门政府采购预算总额0万元，其中，货物类采购预算0万元；工程类采购预算0万元；服务类采购预算0万元。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（五）国有资产占用使用及新增资产配置情况：</w:t>
      </w:r>
      <w:r>
        <w:rPr>
          <w:rFonts w:ascii="宋体" w:eastAsia="宋体" w:hAnsi="宋体" w:cs="宋体"/>
          <w:sz w:val="24"/>
        </w:rPr>
        <w:t xml:space="preserve"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（六）预算绩效目标说明：</w:t>
      </w:r>
      <w:r>
        <w:rPr>
          <w:rFonts w:ascii="宋体" w:eastAsia="宋体" w:hAnsi="宋体" w:cs="宋体"/>
          <w:sz w:val="24"/>
        </w:rPr>
        <w:t xml:space="preserve">本部门所有支出实行绩效目标管理，其中：纳入2023年部门整体支出绩效目标的金额为73.85万元，基本支出62.45万元，单位项目支出11.4万元。具体绩效目标详见报表。本年度预算无重点项目支出。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第二部分2023年部门预算表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2、收入总表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3、支出总表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4、支出预算分类汇总表（按政府预算经济分类）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5、支出预算分类汇总表（按部门预算经济分类）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6、项目支出预算明细表（按政府预算经济分类）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7、支出预算分类明细表（按部门预算经济分类）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8、财政拨款收支总表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9、一般公共预算支出表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10、一般公共预算基本支出表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11、一般公共预算基本支出表--人员经费(工资福利支出)(按政府预算经济分类)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12、一般公共预算基本支出表--人员经费(工资福利支出)(按部门预算经济分类)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13、一般公共预算基本支出表--人员经费(对个人和家庭的补助)(按政府预算经济分类)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14、一般公共预算基本支出表--人员经费(对个人和家庭的补助)（按部门预算经济分类）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15、一般公共预算基本支出表--公用经费(商品和服务支出)（按政府预算经济分类）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16、一般公共预算基本支出表--公用经费(商品和服务支出)(按部门预算经济分类)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17、一般公共预算“三公”经费支出表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18、政府性基金预算支出表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19、政府性基金预算支出分类汇总表（按政府预算经济分类）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20、政府性基金预算支出分类汇总表（按部门预算经济分类）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21、国有资本经营预算支出表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22、财政专户管理资金预算支出表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23、项目支出表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24、专项资金预算汇总表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25、政府购买服务支出预算表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26、政府采购预算表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27、项目支出绩效目标表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28、整体支出绩效目标表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29、单位新增资产汇总表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注：以上部门预算报表中，空表表示本部门无相关收支情况。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sectPr>
      <w:pgSz w:w="11907" w:h="16839" w:orient="portrait"/>
      <w:pgMar w:top="1440" w:right="1440" w:bottom="1440" w:left="1440" w:header="720" w:footer="720" w:gutter="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xmlns:w15="http://schemas.microsoft.com/office/word/2012/wordml" mc:Ignorable="w14 w15">
  <w:zoom w:percent="100"/>
  <w:bordersDoNotSurroundFooter w:val="0"/>
  <w:bordersDoNotSurroundHeader w:val="0"/>
  <w:doNotTrackMoves/>
  <w:defaultTabStop w:val="720"/>
  <w:characterSpacingControl w:val="doNotCompress"/>
  <w:compat>
    <w:doNotLeaveBackslashAlone/>
    <w:doNotExpandShiftReturn/>
    <w:adjustLineHeightInTable/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Normal(Web)">
    <w:name w:val="Normal (Web)"/>
    <w:basedOn w:val="Normal"/>
    <w:qFormat/>
    <w:rPr>
      <w:sz w:val="24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numbering" Target="numbering.xml" /><Relationship Id="rId4" Type="http://schemas.openxmlformats.org/officeDocument/2006/relationships/settings" Target="setting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2024-08-01T11:15:09Z</dcterms:created>
  <dcterms:modified xsi:type="dcterms:W3CDTF">2024-08-01T11:15:09Z</dcterms:modified>
</cp:coreProperties>
</file>