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w15="http://schemas.microsoft.com/office/word/2012/wordml" mc:Ignorable="w14 w15 wp14">
  <!-- Generated by Spire.Doc -->
  <w:body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怀化市鹤城区人力资源和社会保障局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目 录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第一部分2023年部门预算公开说明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（一）收入预算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（二）支出预算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四、一般公共预算拨款支出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（一）基本支出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（二）项目支出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（一）机关运行经费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（二）“三公”经费预算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（三）一般性支出情况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（四）政府采购情况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（五）国有资产占用使用及新增资产配置情况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（六）预算绩效目标说明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第二部分 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第一部分 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贯彻执行国家、省、市人力资源和社会保障方针政策和法律法规，负责全区人力资源和社会保障事业发展规划、综合管理、监督指导、协调服务并组织实施。组织实施和执行上级部门的企业职工基本养老保险、机关事业单位养老保险、城乡居民养老保险、失业保险、工伤保险等社会的政策和标准，负责全区职业技能培训鉴定、劳务输出、劳动合同鉴证、劳动关系协调指导、劳动争议调解仲裁、劳动保障监察、高校毕业生就业、企业退休职工社会化管理等工作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怀化市鹤城区人力资源和社会保障局单位内设机构包括：内设机构9个，分别为办公室、财务股、就业股、事业单位管理股、人教股、养老保险股、法规股、工资福利股、专业技术人员管理股。下设非独立核算事业单位4个：劳动监察大队、仲裁院、绩效办、信息中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纳入2023年怀化市鹤城区人力资源和社会保障局部门预算编制范围包括：怀化市鹤城区人力资源和社会保障局本级。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（一）收入预算：</w:t>
      </w:r>
      <w:r>
        <w:rPr>
          <w:rFonts w:ascii="宋体" w:eastAsia="宋体" w:hAnsi="宋体" w:cs="宋体"/>
          <w:sz w:val="24"/>
        </w:rPr>
        <w:t xml:space="preserve">2023年本部门收入预算655.89万元，一般公共预算收入655.89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减少771.35万元，主要原因是人员减少，工资工作经费减少，特岗工资由农业股做在乡村振兴资金预算里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（二）支出预算：</w:t>
      </w:r>
      <w:r>
        <w:rPr>
          <w:rFonts w:ascii="宋体" w:eastAsia="宋体" w:hAnsi="宋体" w:cs="宋体"/>
          <w:sz w:val="24"/>
        </w:rPr>
        <w:t xml:space="preserve">2023年本部门支出预算655.89万元，其中，社会保障和就业支出604.76万元，卫生健康支出20.45万元，住房保障支出30.68万元。支出较上年减少771.35万元，主要原因是人员减少，工资工作经费减少，特岗工资由农业股做在乡村振兴资金预算里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2023年本部门一般公共预算支出655.89万元，其中，社会保障和就业支出604.76万元，占92.20%，卫生健康支出20.45万元，占3.12%，住房保障支出30.68万元，占4.68%。具体安排情况如下： 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（一）基本支出：</w:t>
      </w:r>
      <w:r>
        <w:rPr>
          <w:rFonts w:ascii="宋体" w:eastAsia="宋体" w:hAnsi="宋体" w:cs="宋体"/>
          <w:sz w:val="24"/>
        </w:rPr>
        <w:t xml:space="preserve">2023年本部门基本支出预算数579.84万元，主要是为保障部门正常运转、完成日常工作任务而发生的各项支出。其中，人员经费540.24万元，主要包括：基本工资、津贴补贴、奖金、社会保障缴费、其他工资福利支出、离休费、退休费、抚恤金、奖励金、住房公积金、其他对个人和家庭的补助支出；公用经费39.60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（二）项目支出：</w:t>
      </w:r>
      <w:r>
        <w:rPr>
          <w:rFonts w:ascii="宋体" w:eastAsia="宋体" w:hAnsi="宋体" w:cs="宋体"/>
          <w:sz w:val="24"/>
        </w:rPr>
        <w:t xml:space="preserve">2023年本部门项目支出预算76.05万元，主要是部门为完成特定行政工作任务或事业发展目标而发生的支出，包括有关事业发展专项、专项业务费、基本建设支出等。其中：一般行政管理事务支出14.32万元，主要用于人社相关业务工作开展；劳动人事争议调解仲裁支出1.73万元，主要用于仲裁办案补贴；其他就业补助支出60.00万元，主要用于区本级配套的就业补助资金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本部门无政府性基金安排的支出。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（一）机关运行经费：</w:t>
      </w:r>
      <w:r>
        <w:rPr>
          <w:rFonts w:ascii="宋体" w:eastAsia="宋体" w:hAnsi="宋体" w:cs="宋体"/>
          <w:sz w:val="24"/>
        </w:rPr>
        <w:t xml:space="preserve">2023年本部门机关运行经费39.60万元，比上年预算减少4.25万元，下降9.69%，主要原因是人员减少，工作经费减少。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（二）“三公”经费预算：</w:t>
      </w:r>
      <w:r>
        <w:rPr>
          <w:rFonts w:ascii="宋体" w:eastAsia="宋体" w:hAnsi="宋体" w:cs="宋体"/>
          <w:sz w:val="24"/>
        </w:rPr>
        <w:t xml:space="preserve">2023年本部门“三公”经费预算数为4.50万元，其中，公务接待费4.50万元，公务用车购置及运行费0万元（其中，公务用车购置费0万元，公务用车运行费0万元），因公出国（境）费0万元。2023年“三公”经费预算较上年减少1.50万元，主要原因是厉行节约、减少开支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（三）一般性支出情况：</w:t>
      </w:r>
      <w:r>
        <w:rPr>
          <w:rFonts w:ascii="宋体" w:eastAsia="宋体" w:hAnsi="宋体" w:cs="宋体"/>
          <w:sz w:val="24"/>
        </w:rPr>
        <w:t xml:space="preserve">本部门会议费预算0万元，拟召开0场会议，人数0人，内容为无；本部门培训费预算0万元，拟开展0场培训，人数0人，内容为无；拟举办0场节庆、晚会、论坛、赛事活动，开支0万元。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（四）政府采购情况：</w:t>
      </w:r>
      <w:r>
        <w:rPr>
          <w:rFonts w:ascii="宋体" w:eastAsia="宋体" w:hAnsi="宋体" w:cs="宋体"/>
          <w:sz w:val="24"/>
        </w:rPr>
        <w:t xml:space="preserve">2023年本部门政府采购预算总额5.00万元，其中，货物类采购预算5.00万元；工程类采购预算0万元；服务类采购预算0万元。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（五）国有资产占用使用及新增资产配置情况：</w:t>
      </w:r>
      <w:r>
        <w:rPr>
          <w:rFonts w:ascii="宋体" w:eastAsia="宋体" w:hAnsi="宋体" w:cs="宋体"/>
          <w:sz w:val="24"/>
        </w:rPr>
        <w:t xml:space="preserve"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（六）预算绩效目标说明：</w:t>
      </w:r>
      <w:r>
        <w:rPr>
          <w:rFonts w:ascii="宋体" w:eastAsia="宋体" w:hAnsi="宋体" w:cs="宋体"/>
          <w:sz w:val="24"/>
        </w:rPr>
        <w:t xml:space="preserve">本部门所有支出实行绩效目标管理，其中：纳入2023年部门整体支出绩效目标的金额为655.89万元，基本支出579.84万元，单位项目支出76.05万元。具体绩效目标详见报表。本年度预算无重点项目支出。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第二部分2023年部门预算表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2、收入总表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3、支出总表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4、支出预算分类汇总表（按政府预算经济分类）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5、支出预算分类汇总表（按部门预算经济分类）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6、项目支出预算明细表（按政府预算经济分类）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7、支出预算分类明细表（按部门预算经济分类）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8、财政拨款收支总表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9、一般公共预算支出表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10、一般公共预算基本支出表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11、一般公共预算基本支出表--人员经费(工资福利支出)(按政府预算经济分类)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12、一般公共预算基本支出表--人员经费(工资福利支出)(按部门预算经济分类)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13、一般公共预算基本支出表--人员经费(对个人和家庭的补助)(按政府预算经济分类)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14、一般公共预算基本支出表--人员经费(对个人和家庭的补助)（按部门预算经济分类）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15、一般公共预算基本支出表--公用经费(商品和服务支出)（按政府预算经济分类）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16、一般公共预算基本支出表--公用经费(商品和服务支出)(按部门预算经济分类)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17、一般公共预算“三公”经费支出表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18、政府性基金预算支出表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19、政府性基金预算支出分类汇总表（按政府预算经济分类）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20、政府性基金预算支出分类汇总表（按部门预算经济分类）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21、国有资本经营预算支出表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22、财政专户管理资金预算支出表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23、项目支出表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24、专项资金预算汇总表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25、政府购买服务支出预算表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26、政府采购预算表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27、项目支出绩效目标表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28、整体支出绩效目标表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29、单位新增资产汇总表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注：以上部门预算报表中，空表表示本部门无相关收支情况。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sectPr>
      <w:pgSz w:w="11907" w:h="16839" w:orient="portrait"/>
      <w:pgMar w:top="1440" w:right="1440" w:bottom="1440" w:left="1440" w:header="720" w:footer="720" w:gutter="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xmlns:w15="http://schemas.microsoft.com/office/word/2012/wordml" mc:Ignorable="w14 w15">
  <w:zoom w:percent="100"/>
  <w:bordersDoNotSurroundFooter w:val="0"/>
  <w:bordersDoNotSurroundHeader w:val="0"/>
  <w:doNotTrackMoves/>
  <w:defaultTabStop w:val="720"/>
  <w:characterSpacingControl w:val="doNotCompress"/>
  <w:compat>
    <w:doNotLeaveBackslashAlone/>
    <w:doNotExpandShiftReturn/>
    <w:adjustLineHeightInTable/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/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en-US" w:eastAsia="uk-UA" w:bidi="ar-SA"/>
    </w:rPr>
  </w:style>
  <w:style w:type="paragraph" w:styleId="Normal(Web)">
    <w:name w:val="Normal (Web)"/>
    <w:basedOn w:val="Normal"/>
    <w:qFormat/>
    <w:rPr>
      <w:sz w:val="24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numbering" Target="numbering.xml" /><Relationship Id="rId4" Type="http://schemas.openxmlformats.org/officeDocument/2006/relationships/settings" Target="setting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Spire.Doc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2024-08-02T16:07:10Z</dcterms:created>
  <dcterms:modified xsi:type="dcterms:W3CDTF">2024-08-02T16:07:10Z</dcterms:modified>
</cp:coreProperties>
</file>