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27FB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怀化市鹤城区公路建设养护中心</w:t>
      </w:r>
    </w:p>
    <w:p w14:paraId="0B5F65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46E5E95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621C0E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505E69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7DC320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6706A19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4067D8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500A9A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379E22D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42D89E8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569729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484CE7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6FD330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1F5BEFE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3191C9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574D6F2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15F3509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7F331C3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3612A4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4B27C9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042954A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14BC4B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6A31CD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711F18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023F81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511C3A5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57186EC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1A6CC1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7E3D40A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承担全区国、省道和农村公路日常养护年度计划编制工作;承担全区国、省、县道公路养护工程（公路大中修、桥隧维护、灾害防治、灾毁抢修和生命安全防护工程）、农村公路工程（公路大中修、危桥改造和生命安全防护工程）的计划编制及实施工作。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</w:rPr>
        <w:t>2、承担全区国、省、县道小修保养、桥梁和隧道的维护、公路附属设施（服务区、停车区等）维护、绿化维护等日常性养护工作；指导乡、村公路日常养护技术性工作；承担农村公路日常养护监管及分析测试工作；完善农村公路养护规章制度。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</w:rPr>
        <w:t>3、承担全区农村公路、客运站点建设规划编制拟订、组织实施、日常管理、协调解决重大事项、组织工程验收等工作。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</w:rPr>
        <w:t>4、协助相关部门做好全区国、省、县道涉路工程的安全生产、应急抢险等相关工作，为农村公路安全生产、应急抢险提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供技术支持。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</w:rPr>
        <w:t>5、参与公路行业法律法规宣传工作，协助交通行政执法部门保护路产路权;承担全区公路行业统计、信息调查、技术交流、科技成果转化、信息化等工作。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</w:rPr>
        <w:t>6、承担怀化市鹤城区交通运输局交办的其它工作。</w:t>
      </w:r>
    </w:p>
    <w:p w14:paraId="50234DE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359677B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公路建设养护中心单位内设机构包括：内设机构10个，分别为综合部、财务审计部、计划统计部、公路养护部、农村公路养护部、安全事务部、应急保障部、路政事务部、工程建设部、农村公路建设部。</w:t>
      </w:r>
    </w:p>
    <w:p w14:paraId="7057D01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76DF289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纳入2023年怀化市鹤城区公路建设养护中心部门预算编制范围包括：怀化市鹤城区公路建设养护中心本级。</w:t>
      </w:r>
    </w:p>
    <w:p w14:paraId="14E6DDC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3983C4C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024090B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4021.03万元，一般公共预算收入2974.03万元，政府性基金预算收入0万元，国有资本经营预算收入0万元，纳入专户管理的非税收入6.00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3942.80万元，主要原因是单位改制导致的人员减少及单位项目的减少。</w:t>
      </w:r>
    </w:p>
    <w:p w14:paraId="6FBCDFC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4021.03万元，其中，社会保障和就业支出279.45万元，卫生健康支出26.77万元，交通运输支出3674.65万元，住房保障支出40.16万元。支出较上年减少3942.80万元，主要原因是单位改制导致的人员减少及单位项目的减少。</w:t>
      </w:r>
    </w:p>
    <w:p w14:paraId="4D21CD5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74AFC67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2023年本部门一般公共预算支出4021.03万元，其中，社会保障和就业支出279.45万元，占6.95%，卫生健康支出26.77万元，占0.67%，交通运输支出3674.65万元，占91.39%，住房保障支出40.16万元，占1.00%。具体安排情况如下： </w:t>
      </w:r>
    </w:p>
    <w:p w14:paraId="1ECF4F4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852.10万元，主要是为保障部门正常运转、完成日常工作任务而发生的各项支出。其中，人员经费797.08万元，主要包括：基本工资、津贴补贴、奖金、社会保障缴费、其他工资福利支出、离休费、退休费、抚恤金、奖励金、住房公积金、其他对个人和家庭的补助支出；公用经费55.02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32B5A08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3168.93万元，主要是部门为完成特定行政工作任务或事业发展目标而发生的支出，包括有关事业发展专项、专项业务费、基本建设支出等。其中：行政运行支出37.99万元，主要用于工资发放及缴纳五险一金；公路养护支出1147.00万元，主要用于干部线公路的日常养护和维修、小修等支出；其他公路水路运输支出350.00万元，主要用于日常运输支出；公路建设支出1633.94万元，主要用于公路的日常建设支出。</w:t>
      </w:r>
    </w:p>
    <w:p w14:paraId="2D2169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2FAC016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31688B9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AB1763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2023年本部门机关运行经费55.02万元，比上年预算减少51.36万元，下降48.28%，主要原因是单位改制，人员减少。</w:t>
      </w:r>
    </w:p>
    <w:p w14:paraId="187F178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12.42万元，其中，公务接待费2.42万元，公务用车购置及运行费10.00万元（其中，公务用车购置费0万元，公务用车运行费10.00万元），因公出国（境）费0万元。2023年“三公”经费预算较上年持平，主要原因是严格按“三公”经费预算执行。</w:t>
      </w:r>
    </w:p>
    <w:p w14:paraId="229AFC8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 本部门培训费预算0万元，拟开展0场培训，人数0人，内容为无；拟举办0场节庆、晚会、论坛、赛事活动，开支0万元。</w:t>
      </w:r>
    </w:p>
    <w:p w14:paraId="6D28F07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2023年本部门政府采购预算总额590.94万元，其中，货物类采购预算107.00万元；工程类采购预算483.94万元；服务类采购预算0万元。</w:t>
      </w:r>
    </w:p>
    <w:p w14:paraId="2E7D8B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1辆，其中，机要通信用车0辆，应急保障用车0辆，执法执勤用车0辆，特种专业技术用车1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0881635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本部门所有支出实行绩效目标管理，其中：纳入2023年部门整体支出绩效目标的金额为4021.03万元，基本支出852.10万元，单位项目支出3168.93万元。具体绩效目标详见报表。</w:t>
      </w:r>
    </w:p>
    <w:p w14:paraId="1CEE249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32E6533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3285902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657F8F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0A34DF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702B5B6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349F6E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4BB88C9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600BF30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475A768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5693B28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6FF52E1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2688ED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293CE9E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760C42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765B756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79611B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4FEBBEE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02CFD7A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122D6F7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04646C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130E16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0A6B0B9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40C386B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5AFE2EA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0C1E7D8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00AA77B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2C15CB3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38F5C8D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15FC20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77CA411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04A1510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11327FE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035280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1B3D680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6DB4A9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6D7EBEF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595013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3404</Words>
  <Characters>3691</Characters>
  <TotalTime>0</TotalTime>
  <ScaleCrop>false</ScaleCrop>
  <LinksUpToDate>false</LinksUpToDate>
  <CharactersWithSpaces>3696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2024-07-30T09:28:00Z</dcterms:created>
  <dc:creator>PC200323</dc:creator>
  <cp:lastModifiedBy>荷扛罢葱徒</cp:lastModifiedBy>
  <dcterms:modified xsi:type="dcterms:W3CDTF">2024-07-30T01:29:57Z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96614ADCF237422D8B14A1DDA3CE69D2_12</vt:lpwstr>
  </property>
</Properties>
</file>