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A1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怀化市鹤城区智慧城市服务中心</w:t>
      </w:r>
    </w:p>
    <w:p w14:paraId="5882FA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4EB0D6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3D1A0F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1428BA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001CB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587154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0D1367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7809C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07D96E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3D0512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32D287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5CA8E7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4686B5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22A600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EA6C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24C2E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53686D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34B351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50177D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39BFC2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0C83A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1427E3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2E1E48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32FE8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18CD7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3DF18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462F37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1C721A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5221781C">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1、贯彻落实国家、省、市有关智慧城市建设、管理方面的法律、法规和规章，负责区城市管理委员会的日常工作，研究拟订全区城市管理中长期发展规划，参与城市管理重大事项研究决策工作，协调处理城市管理重大问题，组织召开区城市管理重大会议。</w:t>
      </w:r>
    </w:p>
    <w:p w14:paraId="7202A06D">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2、综合、</w:t>
      </w:r>
      <w:bookmarkStart w:id="0" w:name="_GoBack"/>
      <w:bookmarkEnd w:id="0"/>
      <w:r>
        <w:rPr>
          <w:rFonts w:ascii="宋体" w:hAnsi="宋体" w:eastAsia="宋体" w:cs="宋体"/>
          <w:sz w:val="24"/>
        </w:rPr>
        <w:t>协调、监督区城市综合管理相关部门开展城市综合管理工作，编制全区城市综合管理工作考核标准和考核细则，组织开展城市综合管理考核工作。</w:t>
      </w:r>
    </w:p>
    <w:p w14:paraId="60962DE4">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3、负责向市城市管理委员会及其办公室上报工作，并传达及转发市城市管理委员会及其办公室的各类文件，负责市城市管理委员会及其办公室和市城市管理部门下发的各类城市综合管理问题处置的督查督办工作。</w:t>
      </w:r>
    </w:p>
    <w:p w14:paraId="5A38EA04">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4、负责智慧城市指挥监督平台的管理和运行维护，指挥、协调、考核、监督街道（乡镇）、区直有关部门“数字城管”的事务性工作。</w:t>
      </w:r>
    </w:p>
    <w:p w14:paraId="09C7398F">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vanish w:val="0"/>
          <w:sz w:val="24"/>
        </w:rPr>
      </w:pPr>
      <w:r>
        <w:rPr>
          <w:rFonts w:ascii="宋体" w:hAnsi="宋体" w:eastAsia="宋体" w:cs="宋体"/>
          <w:sz w:val="24"/>
        </w:rPr>
        <w:t>5、完成区委、区政府及区政府办交办的其他任务。</w:t>
      </w:r>
    </w:p>
    <w:p w14:paraId="2C0012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20B874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怀化市鹤城区智慧城市服务中心单位内设机构包括：内设机构3个，分别为综合部、考评部、城市管理信息监督指挥中心。</w:t>
      </w:r>
    </w:p>
    <w:p w14:paraId="4ADA13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4A939A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纳入2023年怀化市鹤城区智慧城市服务中心部门预算编制范围包括：怀化市鹤城区智慧城市服务中心本级。</w:t>
      </w:r>
    </w:p>
    <w:p w14:paraId="07F7C5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6C41AC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348928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201.30万元，一般公共预算收入201.30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17.34万元，主要原因是厉行精简节约。</w:t>
      </w:r>
    </w:p>
    <w:p w14:paraId="31A7E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201.30万元，其中，一般公共服务支出112.87万元，社会保障和就业支出20.34万元，卫生健康支出5.63万元，农林水支出54.01万元，住房保障支出8.45万元。支出较上年减少17.34万元，主要原因是厉行精简节约。</w:t>
      </w:r>
    </w:p>
    <w:p w14:paraId="71BA5F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5C21C6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201.30万元，其中，一般公共服务支出112.87万元，占56.07%，社会保障和就业支出20.34万元，占10.10%，卫生健康支出5.63万元，占2.80%，农林水支出54.01万元，占26.83%，住房保障支出8.45万元，占4.20%。具体安排情况如下： </w:t>
      </w:r>
    </w:p>
    <w:p w14:paraId="54629C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147.29万元，主要是为保障部门正常运转、完成日常工作任务而发生的各项支出。其中，人员经费135.52万元，主要包括：基本工资、津贴补贴、奖金、社会保障缴费、其他工资福利支出、离休费、退休费、抚恤金、奖励金、住房公积金、其他对个人和家庭的补助支出；公用经费11.77万元，主要包括：办公费、印刷费、邮电费、差旅费、会议费、福利费、日常维修费、专用资料及一般设备购置费、办公用房水电费、办公用房取暖费、办公用房物业管理费、公务用车运行维护费以及其他费用。</w:t>
      </w:r>
    </w:p>
    <w:p w14:paraId="24A628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54.01万元，主要是部门为完成特定行政工作任务或事业发展目标而发生的支出，包括有关事业发展专项、专项业务费、基本建设支出等。其中：生产发展支出54.01万元，主要用于手持终端费用及聘用人员城管月绩效。</w:t>
      </w:r>
    </w:p>
    <w:p w14:paraId="094906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304522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6BD8C1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68946A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2023年本部门机关运行经费11.77万元，比上年预算增加1.07万元，上升10.00%，主要原因是人员增加。</w:t>
      </w:r>
    </w:p>
    <w:p w14:paraId="180288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1.00万元，其中，公务接待费0万元，公务用车购置及运行费1.00万元（其中，公务用车购置费0万元，公务用车运行费1.00万元），因公出国（境）费0万元。2023年“三公”经费预算较上年持平，主要原因是严格控制“三公”经费支出。</w:t>
      </w:r>
    </w:p>
    <w:p w14:paraId="15F553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5D5394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025F9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566347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本部门所有支出实行绩效目标管理，其中：纳入2023年部门整体支出绩效目标的金额为201.30万元，基本支出147.29万元，单位项目支出54.01万元。具体绩效目标详见报表。本年度预算无重点项目支出。</w:t>
      </w:r>
    </w:p>
    <w:p w14:paraId="00F43E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43C6DF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7CEF9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0280FA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091169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5EAC4A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45EC5D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477E0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69727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618FFD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4F2D0D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01D9A4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28F3EF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4C8DB4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506B52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097173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0B94F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57965F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10F87E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4FB2E5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521988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45353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0DF1E8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71402B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3023BB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002FCF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326CD7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6B80CC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7F14C8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0237B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1CCE5B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436DA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78F8D5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02EA43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6886B9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B58C3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5C91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MmUzMGNhMzQ4ZTVjY2Y0ZDgzNjMwYTk4MzJhYTNhMGUifQ=="/>
  </w:docVars>
  <w:rsids>
    <w:rsidRoot w:val="00000000"/>
    <w:rsid w:val="14807F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3224</Words>
  <Characters>3461</Characters>
  <TotalTime>0</TotalTime>
  <ScaleCrop>false</ScaleCrop>
  <LinksUpToDate>false</LinksUpToDate>
  <CharactersWithSpaces>3465</CharactersWithSpaces>
  <Application>WPS Office_12.1.0.17140_F1E327BC-269C-435d-A152-05C5408002CA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2024-08-02T11:01:00Z</dcterms:created>
  <dc:creator>C.7</dc:creator>
  <cp:lastModifiedBy>鱼与鱼</cp:lastModifiedBy>
  <dcterms:modified xsi:type="dcterms:W3CDTF">2024-08-05T08:58:44Z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179DECA60B3740828820A4201B9606DC_12</vt:lpwstr>
  </property>
</Properties>
</file>