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63D33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怀化市鹤城区城中街道办事处</w:t>
      </w:r>
    </w:p>
    <w:p w14:paraId="4BD4AE6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 w14:paraId="29AACF6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 w14:paraId="784E253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第一部分2023年部门预算公开说明</w:t>
      </w:r>
    </w:p>
    <w:p w14:paraId="1922543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2134484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（一）职能职责</w:t>
      </w:r>
    </w:p>
    <w:p w14:paraId="13A5BC8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（二）机构设置</w:t>
      </w:r>
    </w:p>
    <w:p w14:paraId="45BAA19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2F498FC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0F4B832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（一）收入预算</w:t>
      </w:r>
    </w:p>
    <w:p w14:paraId="4BDB6B7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（二）支出预算</w:t>
      </w:r>
    </w:p>
    <w:p w14:paraId="05DA012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 w14:paraId="6138793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（一）基本支出</w:t>
      </w:r>
    </w:p>
    <w:p w14:paraId="280CC7B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（二）项目支出</w:t>
      </w:r>
    </w:p>
    <w:p w14:paraId="47390DC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6D19420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640BCB9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（一）机关运行经费</w:t>
      </w:r>
    </w:p>
    <w:p w14:paraId="419E6B8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（二）“三公”经费预算</w:t>
      </w:r>
    </w:p>
    <w:p w14:paraId="405410D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（三）一般性支出情况</w:t>
      </w:r>
    </w:p>
    <w:p w14:paraId="595B37A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（四）政府采购情况</w:t>
      </w:r>
    </w:p>
    <w:p w14:paraId="12DD1A4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（五）国有资产占用使用及新增资产配置情况</w:t>
      </w:r>
    </w:p>
    <w:p w14:paraId="153C263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（六）预算绩效目标说明</w:t>
      </w:r>
    </w:p>
    <w:p w14:paraId="5D98A03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33DBFE0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</w:t>
      </w:r>
      <w:r>
        <w:rPr>
          <w:rFonts w:ascii="宋体" w:hAnsi="宋体" w:eastAsia="宋体" w:cs="宋体"/>
          <w:b/>
          <w:sz w:val="24"/>
        </w:rPr>
        <w:t> 2023</w:t>
      </w:r>
      <w:r>
        <w:rPr>
          <w:rFonts w:ascii="黑体" w:hAnsi="黑体" w:eastAsia="黑体" w:cs="宋体"/>
          <w:b/>
          <w:sz w:val="24"/>
        </w:rPr>
        <w:t>年部门预算表</w:t>
      </w:r>
    </w:p>
    <w:p w14:paraId="146E119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5B90FF1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303C5F6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36"/>
        </w:rPr>
        <w:t>第一部分</w:t>
      </w:r>
      <w:r>
        <w:rPr>
          <w:rFonts w:ascii="宋体" w:hAnsi="宋体" w:eastAsia="宋体" w:cs="宋体"/>
          <w:sz w:val="24"/>
        </w:rPr>
        <w:t> </w:t>
      </w:r>
      <w:r>
        <w:rPr>
          <w:rFonts w:ascii="宋体" w:hAnsi="宋体" w:eastAsia="宋体" w:cs="宋体"/>
          <w:sz w:val="36"/>
        </w:rPr>
        <w:t>部门预算公开说明</w:t>
      </w:r>
    </w:p>
    <w:p w14:paraId="4EA91B3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62050F0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 w14:paraId="22FA10B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城中办事处在区委、区政府正确领导下，负责承办政府各职能部门在本辖区开展的各项行政事业性事务；负责办事处社会经济发展工作；负责落实党中央国务院的一系列惠民政策工作；负责做好与办事处群众利益相关的社会保障、劳务输出、社会稳定、计划生育、优抚救济、社区自治，办理办事处的公益事业性工作。</w:t>
      </w:r>
    </w:p>
    <w:p w14:paraId="385D35D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 w14:paraId="4A7EFB8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鹤城区城中街道办事处单位内设机构包括：内设机构10个，分别为5个办公室，2个服务站所，3个中心；分别为：党政办公室、党建办公室、社会事务办公室、自然资源生态办公室、经济发展办公室；党务政务服务中心、社会事务服务中心、退役军人服务站、社会治安和应急管理中心、财政所。</w:t>
      </w:r>
    </w:p>
    <w:p w14:paraId="1E05163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1CC580F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纳入2023年怀化市鹤城区城中街道办事处部门预算编制范围包括：怀化市鹤城区城中街道办事处本级。</w:t>
      </w:r>
    </w:p>
    <w:p w14:paraId="2899FDC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7D6D309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 w14:paraId="3487E1B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2443.70万元，一般公共预算收入2443.70万元，政府性基金预算收入0万元，国有资本经营预算收入0万元，纳入专户管理的非税收入70.00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减少589.44万元，主要原因是人员的减少。</w:t>
      </w:r>
    </w:p>
    <w:p w14:paraId="4EB89D3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2443.70万元，其中，一般公共服务支出785.62万元，社会保障和就业支出251.49万元，卫生健康支出67.94万元，城乡社区支出1238.21万元，住房保障支出100.44万元。支出较上年减少589.44万元，主要原因是人员的减少。</w:t>
      </w:r>
    </w:p>
    <w:p w14:paraId="12CDCA1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 w14:paraId="157C181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2443.70万元，其中，一般公共服务支出785.62万元，占32.15%，社会保障和就业支出251.49万元，占10.29%，卫生健康支出67.94万元，占2.78%，城乡社区支出1238.21万元，占50.67%，住房保障支出100.44万元，占4.11%。具体安排情况如下： </w:t>
      </w:r>
    </w:p>
    <w:p w14:paraId="42D19D3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1782.90万元，主要是为保障部门正常运转、完成日常工作任务而发生的各项支出。其中，人员经费1710.58万元，主要包括：基本工资、津贴补贴、奖金、社会保障缴费、其他工资福利支出、离休费、退休费、抚恤金、奖励金、住房公积金、其他对个人和家庭的补助支出；公用经费72.32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3E296D7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660.80万元，主要是部门为完成特定行政工作任务或事业发展目标而发生的支出，包括有关事业发展专项、专项业务费、基本建设支出等。其中：行政运行支出132.80万元，主要用于各社区人员运转及服务群众支出；行政运行支出8.00万元，主要用于各社区人员运转开支；行政运行支出475.00万元，主要用于办事处人员运转开支；一般行政管理事务支出45.00万元，主要用于基础设施维护支出。</w:t>
      </w:r>
    </w:p>
    <w:p w14:paraId="35ED7E5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59A6C69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 w14:paraId="68AF6B3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2D18AAA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2023年本部门机关运行经费72.32万元，比上年预算增加1.46万元，上升2.06%，主要原因是工会经费增加。</w:t>
      </w:r>
    </w:p>
    <w:p w14:paraId="3CF829D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5.63万元，其中，公务接待费3.07万元，公务用车购置及运行费2.56万元（其中，公务用车购置费0万元，公务用车运行费2.56万元），因公出国（境）费0万元。2023年“三公”经费预算较上年减少1.41万元，主要原因是公务接待费和公务用车运行费开支减少。</w:t>
      </w:r>
    </w:p>
    <w:p w14:paraId="659D221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本部门会议费预算0万元，拟召开0场会议，人数0人，内容为无；2023培训费预算0.60万元，拟开展开展事业工作人员培训，人数37人，内容为事业工作人员在职培训；拟举办0场节庆、晚会、论坛、赛事活动，开支0万元。</w:t>
      </w:r>
    </w:p>
    <w:p w14:paraId="4F6F3D8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</w:t>
      </w:r>
      <w:bookmarkStart w:id="0" w:name="_GoBack"/>
      <w:bookmarkEnd w:id="0"/>
      <w:r>
        <w:rPr>
          <w:rFonts w:ascii="宋体" w:hAnsi="宋体" w:eastAsia="宋体" w:cs="宋体"/>
          <w:sz w:val="24"/>
        </w:rPr>
        <w:t>预算总额140.80万元，其中，货物类采购预算91.00万元；工程类采购预算0万元；服务类采购预算49.80万元。</w:t>
      </w:r>
    </w:p>
    <w:p w14:paraId="7D69E42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2023年12月底，本部门共有公务用车1辆，其中，机要通信用车0辆，应急保障用车0辆，执法执勤用车0辆，特种专业技术用车0辆，其他按照规定配备的公务用车1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 w14:paraId="5CAB1F6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本部门所有支出实行绩效目标管理，其中：纳入2023年部门整体支出绩效目标的金额为2443.70万元，基本支出1782.90万元，单位项目支出660.80万元。具体绩效目标详见报表。</w:t>
      </w:r>
    </w:p>
    <w:p w14:paraId="671CD22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0E530B4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 w14:paraId="2C4192E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 w14:paraId="743684D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第二部分2023年部门预算表</w:t>
      </w:r>
    </w:p>
    <w:p w14:paraId="0FFA01B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 w14:paraId="7EC3E4B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 w14:paraId="47456B9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 w14:paraId="6651B35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 w14:paraId="3446A95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 w14:paraId="02E1DA4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 w14:paraId="150088F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 w14:paraId="3B15098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 w14:paraId="56BDA4E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 w14:paraId="75EE1D7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 w14:paraId="27482F0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 w14:paraId="77A2A83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 w14:paraId="03E56F4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 w14:paraId="0590DF8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 w14:paraId="4DF4143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 w14:paraId="3182D0C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 w14:paraId="2F64F15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 w14:paraId="1D6D229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 w14:paraId="5356ABC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 w14:paraId="5635B0C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 w14:paraId="5384E96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 w14:paraId="13DF765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 w14:paraId="2CC564E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 w14:paraId="56A403A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 w14:paraId="3AF2000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 w14:paraId="3E9CE47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 w14:paraId="5921F9E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 w14:paraId="02D6865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 w14:paraId="08F7170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 w14:paraId="3A09BF4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 w14:paraId="2442D94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23D352F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01DFF6A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NTg0MzMyNGJiMDEzODc5ODNlMGVjODViOWRkZjg1MDgifQ=="/>
  </w:docVars>
  <w:rsids>
    <w:rsidRoot w:val="00000000"/>
    <w:rsid w:val="6F3723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3166</Words>
  <Characters>3470</Characters>
  <TotalTime>0</TotalTime>
  <ScaleCrop>false</ScaleCrop>
  <LinksUpToDate>false</LinksUpToDate>
  <CharactersWithSpaces>3476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2024-07-30T15:20:00Z</dcterms:created>
  <dc:creator>PC200323</dc:creator>
  <cp:lastModifiedBy>荷扛罢葱徒</cp:lastModifiedBy>
  <dcterms:modified xsi:type="dcterms:W3CDTF">2024-07-30T07:21:25Z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BAED2976743D4BEB884E61409A746DEE_12</vt:lpwstr>
  </property>
</Properties>
</file>