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37029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怀化市鹤城区城南街道办事处</w:t>
      </w:r>
    </w:p>
    <w:p w14:paraId="35AEA2F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1B9511C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6FC10BF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710D481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374793F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563A74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20052B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CF271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456650D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5E8CA26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7B13DE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0DC875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6321BF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5D8AD4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5BAF72F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4B9255A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5BEECC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24288D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1ADD1C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161A291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00DF59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392845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56067B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507F65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2C6EEFF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744074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1EE51BB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E96FED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244D75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城南街道办事处在区委区政府正确领导下，负责承办政府各职能部门在本辖区开展的各项行政事业性事务；负责办事处社会经济发展工作；负责落实党中央国务院的一系列惠民政策工作，负责做好与办事处群众利益相关的社会保障、劳务输出、社会稳定、计划生育、优抚救济、社区自治、农业补助等工作，办理办事处的公益事业性工作。</w:t>
      </w:r>
    </w:p>
    <w:p w14:paraId="00F9C6E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6479BE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城南街道办事处单位内设机构包括：内设机构6个，分别为党政办公室、党建办公室、经济发展办公室、社会事务办公室、自然资源和生态环境办公室、社会治安和应急管理办公室;设置以下一类事业单位:社会事务综合服务中心、农业综合服务中心、党务政务服务中心、退役军人服务站。按有关规定设置街道人大政协机构、党的纪律检查委员会和监察机构、人民武装部和工会、共青团、妇联等机构。乡财政所不计入街道党政机构限额，但主要负责街道财政事务。</w:t>
      </w:r>
    </w:p>
    <w:p w14:paraId="17E0CC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1868C0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纳入2023年怀化市鹤城区城南街道办事处部门预算编制范围包括：怀化市鹤城区城南街道办事处本级。</w:t>
      </w:r>
    </w:p>
    <w:p w14:paraId="1D1207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61A3E9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59B7A27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2188.84万元，一般公共预算收入2188.84万元，政府性基金预算收入0万元，国有资本经营预算收入0万元，纳入专户管理的非税收入110.60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258.41万元，主要原因是项目支出预算经费减少。</w:t>
      </w:r>
    </w:p>
    <w:p w14:paraId="59E976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2188.84万元，其中，一般公共服务支出1141.80万元，社会保障和就业支出243.10万元，卫生健康支出67.20万元，城乡社区支出611.05万元，农林水支出30.00万元，住房保障支出95.70万元。支出较上年减少258.41万元，主要原因是项目支出预算经费减少。</w:t>
      </w:r>
    </w:p>
    <w:p w14:paraId="7D9648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208908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2188.84万元，其中，一般公共服务支出1141.80万元，占52.16%，社会保障和就业支出243.10万元，占11.11%，卫生健康支出67.20万元，占3.07%，城乡社区支出611.05万元，占27.92%，农林水支出30.00万元，占1.37%，住房保障支出95.70万元，占4.37%。具体安排情况如下： </w:t>
      </w:r>
    </w:p>
    <w:p w14:paraId="5136FF5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1821.74万元，主要是为保障部门正常运转、完成日常工作任务而发生的各项支出。其中，人员经费1702.66万元，主要包括：基本工资、津贴补贴、奖金、社会保障缴费、其他工资福利支出、离休费、退休费、抚恤金、奖励金、住房公积金、其他对个人和家庭的补助支出；公用经费119.08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4589C94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367.10万元，主要是部门为完成特定行政工作任务或事业发展目标而发生的支出，包括有关事业发展专项、专项业务费、基本建设支出等。其中：行政运行支出94.90万元，主要用于日常办公运行支出；信息化建设支出8.00万元，主要用于日常信息化建设支出；行政运行支出234.20万元，主要用于日常事业运行支出；对村民委员会和村党支部的补助支出30.00万元，主要用于公务人员补助支出。</w:t>
      </w:r>
    </w:p>
    <w:p w14:paraId="7CE9689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667BD94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4D21CCE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1697E2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2023年本部门机关运行经费119.08万元，比上年预算减少3.99万元，下降3.24%，主要原因是项目支出预算经费减少。</w:t>
      </w:r>
    </w:p>
    <w:p w14:paraId="4189B5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3.33万元，其中，公务接待费0.48万元，公务用车购置及运行费2.85万元（其中，公务用车购置费0万元，公务用车运行费2.85万元），因公出国（境）费0万元。2023年“三公”经费预算较上年持平，主要原因是严格按“三公”经费预算执行。</w:t>
      </w:r>
    </w:p>
    <w:p w14:paraId="78D6354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2023年本部门会议费预算0.10万元，拟召开开座谈培训会议，人数80人，内容为会议开支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  <w:r>
        <w:rPr>
          <w:rFonts w:ascii="宋体" w:hAnsi="宋体" w:eastAsia="宋体" w:cs="宋体"/>
          <w:sz w:val="24"/>
        </w:rPr>
        <w:t>本部门培训费预算0万元，拟开展0场培训，人数0人，内容为无；拟举办0场节庆、晚会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、论坛、赛事活动，开支0万元。</w:t>
      </w:r>
    </w:p>
    <w:p w14:paraId="1FE2D6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65A82B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1辆，其中，机要通信用车0辆，应急保障用车0辆，执法执勤用车0辆，特种专业技术用车0辆，其他按照规定配备的公务用车1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3C979D3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本部门所有支出实行绩效目标管理，其中：纳入2023年部门整体支出绩效目标的金额为2188.84万元，基本支出1821.74万元，单位项目支出367.10万元。具体绩效目标详见报表。</w:t>
      </w:r>
    </w:p>
    <w:p w14:paraId="02E155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0EF1DC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4152A1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79A3843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4CD1BD4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6A536FA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23F3FFF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3693C21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0677508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6ABA80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0AABFF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24600DC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32830E4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136EF6D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6FFFBB1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08206A5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37CFDC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10EF22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0351E9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4258D5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3DB1782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4748F80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B97EB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618BA0F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574568F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07A681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3DD8525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6DF47C1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0B1CA0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753B41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5A8EB0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500F4D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5A95A6F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52A067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2F5D7E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366054A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96B050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2D6F10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3274</Words>
  <Characters>3573</Characters>
  <TotalTime>0</TotalTime>
  <ScaleCrop>false</ScaleCrop>
  <LinksUpToDate>false</LinksUpToDate>
  <CharactersWithSpaces>3578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2024-07-30T16:15:00Z</dcterms:created>
  <dc:creator>PC200323</dc:creator>
  <cp:lastModifiedBy>荷扛罢葱徒</cp:lastModifiedBy>
  <dcterms:modified xsi:type="dcterms:W3CDTF">2024-07-30T08:15:30Z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5B886E97DE2F4AF094AD22CC0821F336_12</vt:lpwstr>
  </property>
</Properties>
</file>