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EC7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怀化市鹤城区农业农村局</w:t>
      </w:r>
    </w:p>
    <w:p w14:paraId="0C6714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6F2185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7B5DB2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14:paraId="36B581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408575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14:paraId="40D5C7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14:paraId="356BE8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34F5EE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3E1805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14:paraId="505C6A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14:paraId="0BADED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5E0833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14:paraId="2CC284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14:paraId="3D09B0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7D3BE7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29D6D5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14:paraId="4F0FDC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14:paraId="109C15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14:paraId="44570B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14:paraId="25DF70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14:paraId="618FAC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14:paraId="6B6F4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701BB4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14:paraId="0926DE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76FA2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C5E28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14:paraId="518DFD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223DBA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348195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1、统筹研究和组织实施“三农”工作的发展中长期规划、重大政策。指导农业综合执法。参与涉农的价格、收储、金融保险、进出口等政策制定。</w:t>
      </w:r>
    </w:p>
    <w:p w14:paraId="3532D8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2、统筹推动发展农村社会事业、农村公共服务、农村文化、农村基础设施和乡村治理。牵头组织改善农村人居环境。指导农村精神文明和优秀农耕文化建设。指导农业行业安全生产工作。</w:t>
      </w:r>
    </w:p>
    <w:p w14:paraId="315AE4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3、研究提出深化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14:paraId="0BC01B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4、指导乡村特色产业、农产品加工业、休闲农业和乡镇企业发展工作。提出促进大宗农产品流通的建议，培育、保护农业品牌。统计综合农业农村经济信息，监测分析农业农村经济运行。承担农业统计和农业农村信息化有关工作。</w:t>
      </w:r>
    </w:p>
    <w:p w14:paraId="131AAD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5、负责种植业、畜牧业、渔业、农垦、农业机械化等农业各产业的监督管理。指导粮食等农产品生产。组织构建现代农业产业体系、生产体系、经营体系，指导农业标准化生产。负责农业行政执法工作，渔政监督管理，推进农业依法行政。</w:t>
      </w:r>
    </w:p>
    <w:p w14:paraId="70CF7F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6、负责农产品质量安全监督管理。组织开展农产品质量安全监测、追溯、风险评估，统计综合农产品质量安全有关信息。贯彻执行农产品质量安全国家和省级标准，参与制定农产品质量安全地方标准并会同有关部门组织实施。指导农业检验检测体系建设。</w:t>
      </w:r>
    </w:p>
    <w:p w14:paraId="772CB1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7、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14:paraId="561170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8、负责有关农业生产资料和农业投入品的监督管理。组织农业生产资料市场体系建设。贯彻执行农业生产资料、兽药质量、兽药残留限量和残留检测方法国家标准并监督实施。组织兽医医政、兽药药政药检工作，负责执业兽医行业管理，配合市农业农村局开展畜禽屠宰行业工作。</w:t>
      </w:r>
    </w:p>
    <w:p w14:paraId="202085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9、负责农业防灾减灾、农作物重大病虫害防控和动植物重大疫病防治工作。指导动植物防疫检疫体系建设，组织、监督区内动植物防疫检疫工作，协助发布并组织扑灭疫情。</w:t>
      </w:r>
    </w:p>
    <w:p w14:paraId="4C2FED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10、负责农业投资管理。编制农业投资项目建设规划，提出农业投资规模和方向、扶持农业农村发展财政项目的建议，按规定权限审批农业投资项目，负责农业投资项目资金安排和监督管理。</w:t>
      </w:r>
    </w:p>
    <w:p w14:paraId="58B3E6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11、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14:paraId="4D16F5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12、指导农业农村人才工作。拟订农业农村人才队伍建设规划并组织实施，指导农业教育和农业职业技能开发，指导新型职业农民培育、农业科技人才培养和农村实用人才培训工作。</w:t>
      </w:r>
    </w:p>
    <w:p w14:paraId="7F074D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13、组织参与农业对外合作工作。承办有关农业涉外事务，组织开展农业贸易促进和有关对外交流合作，具体执行有关农业援外项目。</w:t>
      </w:r>
    </w:p>
    <w:p w14:paraId="494CE4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eastAsia="zh-CN"/>
        </w:rPr>
      </w:pPr>
      <w:r>
        <w:rPr>
          <w:rFonts w:ascii="宋体" w:hAnsi="宋体" w:eastAsia="宋体" w:cs="宋体"/>
          <w:sz w:val="24"/>
        </w:rPr>
        <w:t>14、贯彻执行上级有关农业综合开发的方针政策，提出农田建设项目需求建议，承担耕地质量管理相关工作，参与开展永久基本农田保护。承担农业综合开发项目、农田整治项目、农田水利建设项目管理工作。</w:t>
      </w:r>
    </w:p>
    <w:p w14:paraId="649808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15、完成区委、区政府和区委农村工作领导小组交办的其他任务。</w:t>
      </w:r>
    </w:p>
    <w:p w14:paraId="649BC9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580203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农业农村局单位内设机构包括：内设机构10个，分别为办公室、人事科技教育股(区农业转基因生物安全管理办公室)、行政审批与农业资源保护利用股（法规股）、改革发展规划与农村社会事业促进股、计划财务股、乡村产业发展股、市场信息化与农产品质量安全监管股、种养业管理股、农田建设与农业机械化管理股、农业执法股(农药管理股)。</w:t>
      </w:r>
    </w:p>
    <w:p w14:paraId="39C308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3E2B8B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纳入2023年怀化市鹤城区农业农村局部门预算</w:t>
      </w:r>
      <w:bookmarkStart w:id="0" w:name="_GoBack"/>
      <w:bookmarkEnd w:id="0"/>
      <w:r>
        <w:rPr>
          <w:rFonts w:ascii="宋体" w:hAnsi="宋体" w:eastAsia="宋体" w:cs="宋体"/>
          <w:sz w:val="24"/>
        </w:rPr>
        <w:t>编制范围包括：怀化市鹤城区农业农村局本级。</w:t>
      </w:r>
    </w:p>
    <w:p w14:paraId="10AC5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493C5D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31BD48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6616.49万元，一般公共预算收入6616.49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458.76万元，主要原因是项目资金增加。</w:t>
      </w:r>
    </w:p>
    <w:p w14:paraId="432B77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6616.49万元，其中，社会保障和就业支出320.89万元，卫生健康支出45.23万元，城乡社区支出80.00万元，农林水支出6111.92万元，住房保障支出58.45万元。支出较上年增加458.76万元，主要原因是项目资金增加。</w:t>
      </w:r>
    </w:p>
    <w:p w14:paraId="159C63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43DF8C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6616.49万元，其中，社会保障和就业支出320.89万元，占4.85%，卫生健康支出45.23万元，占0.68%，城乡社区支出80.00万元，占1.21%，农林水支出6111.92万元，占92.37%，住房保障支出58.45万元，占0.88%。具体安排情况如下： </w:t>
      </w:r>
    </w:p>
    <w:p w14:paraId="317C83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1198.21万元，主要是为保障部门正常运转、完成日常工作任务而发生的各项支出。其中，人员经费1127.21万元，主要包括：基本工资、津贴补贴、奖金、社会保障缴费、其他工资福利支出、离休费、退休费、抚恤金、奖励金、住房公积金、其他对个人和家庭的补助支出；公用经费71.00万元，主要包括：办公费、印刷费、邮电费、差旅费、会议费、福利费、日常维修费、专用资料及一般设备购置费、办公用房水电费、办公用房取暖费、办公用房物业管理费、公务用车运行维护费以及其他费用。</w:t>
      </w:r>
    </w:p>
    <w:p w14:paraId="16B505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5418.28万元，主要是部门为完成特定行政工作任务或事业发展目标而发生的支出，包括有关事业发展专项、专项业务费、基本建设支出等。其中：城乡社区环境卫生支出80.00万元，主要用于城乡社区环境卫生；行政运行支出0.68万元，主要用于保障单位机构正常运转、完成日常工作任务而发生的各项支出；事业运行支出5.00万元，主要用于办公开支；其他农业农村支出2459.60万元，主要用于其他农业各项支出；农业资源保护修复与利用支出1164.00万元，主要用于农业资源保护修复与利用支出；统计监测与信息服务支出10.00万元，主要用于统计监测与信息；科技转化与推广服务支出44.00万元，主要用于培训费、差旅费；农产品加工与促销支出80.00万元，主要用于农产品加工与促销；农产品质量安全支出40.00万元，主要用于农产品质量安全监管的检测费、印刷费、差旅费，化肥减量的肥料费、差旅费；一般行政管理事务支出60.00万元，主要用于日常工作任务而发生的各项支出；农村合作经济支出20.00万元，主要用于农业（粮食）生产全程社会化服务的油菜款及差旅费；执法监管支出100.00万元，主要用于农药监督管理；病虫害控制支出60.00万元，主要用于农药款、杀虫灯款、差旅费；防灾救灾支出15.00万元，主要用于防灾救灾；农业生产发展支出100.00万元，主要用于稳定粮食生产办公耗材、印刷费、差旅费；其他巩固脱贫攻坚成果衔接乡村振兴支出1180.00万元，主要用于巩固脱贫攻坚成果衔接乡村振兴。</w:t>
      </w:r>
    </w:p>
    <w:p w14:paraId="21288C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62D44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4EF7E4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52759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2023年本部门机关运行经费71.00万元，比上年预算减少4.31万元，下降5.72%，主要原因是严格执行中央八项规定，厉行节约。</w:t>
      </w:r>
    </w:p>
    <w:p w14:paraId="05A2A3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35.65万元，其中，公务接待费17.65万元，公务用车购置及运行费18.00万元（其中，公务用车购置费0万元，公务用车运行费18.00万元），因公出国（境）费0万元。2023年“三公”经费预算较上年持平，主要原因是严格控制“三公”经费支出。</w:t>
      </w:r>
    </w:p>
    <w:p w14:paraId="084CB6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75FA60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2023年本部门政府采购预算总额718.48万元，其中，货物类采购预算715.48万元；工程类采购预算0万元；服务类采购预算3.00万元。</w:t>
      </w:r>
    </w:p>
    <w:p w14:paraId="37A920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1辆，其中，机要通信用车0辆，应急保障用车0辆，执法执勤用车0辆，特种专业技术用车0辆，其他按照规定配备的公务用车1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3078D6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本部门所有支出实行绩效目标管理，其中：纳入2023年部门整体支出绩效目标的金额为6616.49万元，基本支出1198.21万元，单位项目支出5418.28万元。具体绩效目标详见报表。本年度预算无重点项目支出。</w:t>
      </w:r>
    </w:p>
    <w:p w14:paraId="42597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01663B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77BDA0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01C28B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14:paraId="45CE5A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585523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478E9F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72E916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79B2A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1E2496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54887B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000D6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6236A9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449C42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0717ED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4FB3D0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6B255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4989DC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3DE792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765800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45098B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75CB2A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5FB7A9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5302E0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2B25D7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042F9F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640473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09DD09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002ECF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19AF6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16584A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3867AE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5A8063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46173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79D5D5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F7BD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BD0D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MmUzMGNhMzQ4ZTVjY2Y0ZDgzNjMwYTk4MzJhYTNhMGUifQ=="/>
  </w:docVars>
  <w:rsids>
    <w:rsidRoot w:val="00000000"/>
    <w:rsid w:val="653D03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4824</Words>
  <Characters>5173</Characters>
  <TotalTime>0</TotalTime>
  <ScaleCrop>false</ScaleCrop>
  <LinksUpToDate>false</LinksUpToDate>
  <CharactersWithSpaces>5177</CharactersWithSpaces>
  <Application>WPS Office_12.1.0.17140_F1E327BC-269C-435d-A152-05C5408002CA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2024-08-02T10:48:00Z</dcterms:created>
  <dc:creator>C.7</dc:creator>
  <cp:lastModifiedBy>鱼与鱼</cp:lastModifiedBy>
  <dcterms:modified xsi:type="dcterms:W3CDTF">2024-08-05T08:39:03Z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C88DBD7964754E1983CD4E010A2C8732_12</vt:lpwstr>
  </property>
</Properties>
</file>