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mc:Ignorable="w14 w15 wp14">
  <!-- Generated by Spire.Doc -->
  <w:body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怀化市鹤城区教育局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44"/>
        </w:rPr>
        <w:t xml:space="preserve">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目 录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第一部分2023年部门预算公开说明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（一）收入预算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（二）支出预算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四、一般公共预算拨款支出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（一）基本支出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（二）项目支出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（一）机关运行经费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（二）“三公”经费预算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（三）一般性支出情况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（四）政府采购情况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（五）国有资产占用使用及新增资产配置情况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sz w:val="24"/>
        </w:rPr>
        <w:t xml:space="preserve">（六）预算绩效目标说明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第二部分 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第一部分 部门预算公开说明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一、部门基本概况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（一）职能职责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主管本行政区域内的教育教学管理工作，贯彻执行党和国家教育工作方针、政策和法律、法规；研究制定教育发展规划，研究拟定教育体制改革的政策措施和实施方案并组织实施等工作。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（二）机构设置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怀化市鹤城区教育局单位内设机构包括：内设机构18个，分别为办公室、人事股、基础教育股、计财股、基建股、教育工会、教育督导室、学生资助管理中心、法规股、纪工委、招考办、体卫所、职教成教站、学前教育股、电教装备站、勤管站、教研室、关工委。分别负责全局办公室工作、负责教务考务工作、负责学生政治教育工作、负责后勤工作、负责财务管理工作、负责教学研究工作、负责工会工作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二、部门预算单位构成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纳入2023年怀化市鹤城区教育局部门预算编制范围包括：怀化市鹤城区教育局本级。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三、部门收支总体情况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（一）收入预算：</w:t>
      </w:r>
      <w:r>
        <w:rPr>
          <w:rFonts w:ascii="宋体" w:eastAsia="宋体" w:hAnsi="宋体" w:cs="宋体"/>
          <w:sz w:val="24"/>
        </w:rPr>
        <w:t xml:space="preserve">2023年本部门收入预算25466.16万元，一般公共预算收入24566.16万元，政府性基金预算收入0万元，国有资本经营预算收入0万元，纳入专户管理的非税收入900.00万元，社会保障基金预算资金0万元，财政专户管理资金收入900.00万元，上级财政补助0万元，事业收入0万元，事业单位经营收入0万元，上级单位补助收入0万元，附属单位上缴收入0万元，其他收入0万元。其中，年初结转结余0万元，收入较上年增加25466.16万元，主要原因是新增特定类项目及学前教育公用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（二）支出预算：</w:t>
      </w:r>
      <w:r>
        <w:rPr>
          <w:rFonts w:ascii="宋体" w:eastAsia="宋体" w:hAnsi="宋体" w:cs="宋体"/>
          <w:sz w:val="24"/>
        </w:rPr>
        <w:t xml:space="preserve">2023年本部门支出预算25466.16万元，其中，教育支出25466.16万元。支出较上年增加25466.16万元，主要原因是新增特定类项目及学前教育公用经费。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四、一般公共预算支出情况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2023年本部门一般公共预算支出25466.16万元，其中，教育支出25466.16万元，占100.00%。具体安排情况如下： 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（一）基本支出：</w:t>
      </w:r>
      <w:r>
        <w:rPr>
          <w:rFonts w:ascii="宋体" w:eastAsia="宋体" w:hAnsi="宋体" w:cs="宋体"/>
          <w:sz w:val="24"/>
        </w:rPr>
        <w:t xml:space="preserve">2023年本部门基本支出预算数1242.44万元，主要是为保障部门正常运转、完成日常工作任务而发生的各项支出。其中，人员经费1163.57万元，主要包括：基本工资、津贴补贴、奖金、社会保障缴费、其他工资福利支出、离休费、退休费、抚恤金、奖励金、住房公积金、其他对个人和家庭的补助支出；公用经费78.87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（二）项目支出：</w:t>
      </w:r>
      <w:r>
        <w:rPr>
          <w:rFonts w:ascii="宋体" w:eastAsia="宋体" w:hAnsi="宋体" w:cs="宋体"/>
          <w:sz w:val="24"/>
        </w:rPr>
        <w:t xml:space="preserve">2023年本部门项目支出预算24223.72万元，主要是部门为完成特定行政工作任务或事业发展目标而发生的支出，包括有关事业发展专项、专项业务费、基本建设支出等。其中：行政运行支出23165.72万元，主要用于日常公用开支；其他教育支出1058.00万元，主要用于其他教育性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五、政府性基金预算支出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本部门无政府性基金安排的支出。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六、其他重要事项的情况说明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（一）机关运行经费：</w:t>
      </w:r>
      <w:r>
        <w:rPr>
          <w:rFonts w:ascii="宋体" w:eastAsia="宋体" w:hAnsi="宋体" w:cs="宋体"/>
          <w:sz w:val="24"/>
        </w:rPr>
        <w:t xml:space="preserve">2023年本部门机关运行经费78.87万元，比上年预算增加78.87万元，持平，主要原因是增加了学前教育公用经费。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（二）“三公”经费预算：</w:t>
      </w:r>
      <w:r>
        <w:rPr>
          <w:rFonts w:ascii="宋体" w:eastAsia="宋体" w:hAnsi="宋体" w:cs="宋体"/>
          <w:sz w:val="24"/>
        </w:rPr>
        <w:t xml:space="preserve"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单位本年无”三公“经费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（三）一般性支出情况：</w:t>
      </w:r>
      <w:r>
        <w:rPr>
          <w:rFonts w:ascii="宋体" w:eastAsia="宋体" w:hAnsi="宋体" w:cs="宋体"/>
          <w:sz w:val="24"/>
        </w:rPr>
        <w:t xml:space="preserve">本部门会议费预算0万元，拟召开0场会议，人数0人，内容为无；本部门培训费预算0万元，拟开展0场培训，人数0人，内容为无；拟举办0场节庆、晚会、论坛、赛事活动，开支0万元。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（四）政府采购情况：</w:t>
      </w:r>
      <w:r>
        <w:rPr>
          <w:rFonts w:ascii="宋体" w:eastAsia="宋体" w:hAnsi="宋体" w:cs="宋体"/>
          <w:sz w:val="24"/>
        </w:rPr>
        <w:t xml:space="preserve">2023年本部门政府采购预算总额0万元，其中，货物类采购预算0万元；工程类采购预算0万元；服务类采购预算0万元。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（五）国有资产占用使用及新增资产配置情况：</w:t>
      </w:r>
      <w:r>
        <w:rPr>
          <w:rFonts w:ascii="宋体" w:eastAsia="宋体" w:hAnsi="宋体" w:cs="宋体"/>
          <w:sz w:val="24"/>
        </w:rPr>
        <w:t xml:space="preserve"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b/>
          <w:sz w:val="24"/>
        </w:rPr>
        <w:t xml:space="preserve">（六）预算绩效目标说明：</w:t>
      </w:r>
      <w:r>
        <w:rPr>
          <w:rFonts w:ascii="宋体" w:eastAsia="宋体" w:hAnsi="宋体" w:cs="宋体"/>
          <w:sz w:val="24"/>
        </w:rPr>
        <w:t xml:space="preserve">本部门所有支出实行绩效目标管理，其中：纳入2023年部门整体支出绩效目标的金额为25466.16万元，基本支出1242.44万元，单位项目支出24223.72万元。具体绩效目标详见报表。本年度预算无重点项目支出。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4"/>
        </w:rPr>
        <w:t xml:space="preserve">七、名词解释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eastAsia="宋体" w:hAnsi="宋体" w:cs="宋体"/>
          <w:vanish w:val="0"/>
          <w:sz w:val="24"/>
        </w:rPr>
      </w:pPr>
      <w:r>
        <w:rPr>
          <w:rFonts w:ascii="黑体" w:eastAsia="黑体" w:hAnsi="黑体" w:cs="宋体"/>
          <w:b/>
          <w:sz w:val="28"/>
        </w:rPr>
        <w:t xml:space="preserve">第二部分2023年部门预算表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1、收支总表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2、收入总表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3、支出总表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4、支出预算分类汇总表（按政府预算经济分类）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5、支出预算分类汇总表（按部门预算经济分类）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6、项目支出预算明细表（按政府预算经济分类）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7、支出预算分类明细表（按部门预算经济分类）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8、财政拨款收支总表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9、一般公共预算支出表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10、一般公共预算基本支出表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11、一般公共预算基本支出表--人员经费(工资福利支出)(按政府预算经济分类)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12、一般公共预算基本支出表--人员经费(工资福利支出)(按部门预算经济分类)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13、一般公共预算基本支出表--人员经费(对个人和家庭的补助)(按政府预算经济分类)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14、一般公共预算基本支出表--人员经费(对个人和家庭的补助)（按部门预算经济分类）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15、一般公共预算基本支出表--公用经费(商品和服务支出)（按政府预算经济分类）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16、一般公共预算基本支出表--公用经费(商品和服务支出)(按部门预算经济分类)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17、一般公共预算“三公”经费支出表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18、政府性基金预算支出表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19、政府性基金预算支出分类汇总表（按政府预算经济分类）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20、政府性基金预算支出分类汇总表（按部门预算经济分类）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21、国有资本经营预算支出表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22、财政专户管理资金预算支出表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23、项目支出表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24、专项资金预算汇总表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25、政府购买服务支出预算表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26、政府采购预算表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27、项目支出绩效目标表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28、整体支出绩效目标表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29、单位新增资产汇总表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  <w:r>
        <w:rPr>
          <w:rFonts w:ascii="宋体" w:eastAsia="宋体" w:hAnsi="宋体" w:cs="宋体"/>
          <w:sz w:val="24"/>
        </w:rPr>
        <w:t xml:space="preserve">注：以上部门预算报表中，空表表示本部门无相关收支情况。</w:t>
      </w: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p>
      <w:pPr>
        <w:pStyle w:val="Normal(Web)"/>
        <w:divId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eastAsia="宋体" w:hAnsi="宋体" w:cs="宋体"/>
          <w:vanish w:val="0"/>
          <w:sz w:val="24"/>
        </w:rPr>
      </w:pPr>
    </w:p>
    <w:sectPr>
      <w:pgSz w:w="11907" w:h="16839" w:orient="portrait"/>
      <w:pgMar w:top="1440" w:right="1440" w:bottom="1440" w:left="144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Normal(Web)">
    <w:name w:val="Normal (Web)"/>
    <w:basedOn w:val="Normal"/>
    <w:qFormat/>
    <w:rPr>
      <w:sz w:val="24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2024-08-01T11:20:39Z</dcterms:created>
  <dcterms:modified xsi:type="dcterms:W3CDTF">2024-08-01T11:20:39Z</dcterms:modified>
</cp:coreProperties>
</file>