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w15="http://schemas.microsoft.com/office/word/2012/wordml" mc:Ignorable="w14 w15 wp14">
  <!-- Generated by Spire.Doc -->
  <w:body>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怀化市鹤城区黄金坳中心完全小学</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目 录</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第一部分2023年部门预算公开说明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（一）收入预算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（二）支出预算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四、一般公共预算拨款支出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（一）基本支出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（一）机关运行经费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（二）“三公”经费预算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（三）一般性支出情况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（四）政府采购情况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（五）国有资产占用使用及新增资产配置情况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（六）预算绩效目标说明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第二部分 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第一部分 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怀化市鹤城区黄金坳小学是一所实施义务教育的初级小学，组织教育教学，保证教育教学质量，促进基础教育发展，以教职工和学生的人生幸福和生命质量作为重点的开展小学学历教育（相关社会服务）的机构</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怀化市鹤城区黄金坳中心完全小学单位内设机构包括：内设机构9个，分别为校长室、书记室、副校长室、教导处、教研室、总务处、办公室、工会、德育处。</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纳入2023年怀化市鹤城区黄金坳中心完全小学部门预算编制范围包括：怀化市鹤城区黄金坳中心完全小学本级。</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2023年部门预算仅包括本级预算。收入包括一般公共预算、政府性基金、国有资本经营预算等财政拨款收入，以及经营收入、事业收入等单位资金；支出包括保机关基本运行的经费以及归口管理专项经费。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（一）收入预算：</w:t>
      </w:r>
      <w:r>
        <w:rPr>
          <w:rFonts w:ascii="宋体" w:eastAsia="宋体" w:hAnsi="宋体" w:cs="宋体"/>
          <w:sz w:val="24"/>
        </w:rPr>
        <w:t xml:space="preserve">2023年本部门收入预算856.42万元，一般公共预算收入856.42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727.69万元，主要原因是由于项目维修资金的减少以及学生公用经费，保安工资,班主任津贴，课后服务费，等没有纳入2023本级单位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（二）支出预算：</w:t>
      </w:r>
      <w:r>
        <w:rPr>
          <w:rFonts w:ascii="宋体" w:eastAsia="宋体" w:hAnsi="宋体" w:cs="宋体"/>
          <w:sz w:val="24"/>
        </w:rPr>
        <w:t xml:space="preserve">2023年本部门支出预算856.42万元，其中，教育支出856.42万元。支出较上年减少727.69万元，主要原因是由于项目维修资金的减少以及学生公用经费，保安工资,班主任津贴，课后服务费，等没有纳入2023本级单位预算。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2023年本部门一般公共预算支出856.42万元，其中，教育支出856.42万元，占100.00%。具体安排情况如下： </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（一）基本支出：</w:t>
      </w:r>
      <w:r>
        <w:rPr>
          <w:rFonts w:ascii="宋体" w:eastAsia="宋体" w:hAnsi="宋体" w:cs="宋体"/>
          <w:sz w:val="24"/>
        </w:rPr>
        <w:t xml:space="preserve">2023年本部门基本支出预算数856.42万元，主要是为保障部门正常运转、完成日常工作任务而发生的各项支出。其中，人员经费833.85万元，主要包括：基本工资、津贴补贴、奖金、社会保障缴费、其他工资福利支出、离休费、退休费、抚恤金、奖励金、住房公积金、其他对个人和家庭的补助支出；公用经费22.57万元，主要包括：办公费、印刷费、邮电费、差旅费、会议费、福利费、日常维修费、专用资料及一般设备购置费、办公用房水电费、办公用房取暖费、办公用房物业管理费、公务用车运行维护费以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（二）项目支出：</w:t>
      </w:r>
      <w:r>
        <w:rPr>
          <w:rFonts w:ascii="宋体" w:eastAsia="宋体" w:hAnsi="宋体" w:cs="宋体"/>
          <w:sz w:val="24"/>
        </w:rPr>
        <w:t xml:space="preserve">2023年本部门项目支出预算0万元，主要是部门为完成特定行政工作任务或事业发展目标而发生的支出，包括有关事业发展专项、专项业务费、基本建设支出等。</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本部门无政府性基金安排的支出。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（一）机关运行经费：</w:t>
      </w:r>
      <w:r>
        <w:rPr>
          <w:rFonts w:ascii="宋体" w:eastAsia="宋体" w:hAnsi="宋体" w:cs="宋体"/>
          <w:sz w:val="24"/>
        </w:rPr>
        <w:t xml:space="preserve">2023年本部门机关运行经费22.57万元，比上年预算减少1.11万元，下降4.69%，主要原因是学生公用经费没有纳入2023年本级预算。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（二）“三公”经费预算：</w:t>
      </w:r>
      <w:r>
        <w:rPr>
          <w:rFonts w:ascii="宋体" w:eastAsia="宋体" w:hAnsi="宋体" w:cs="宋体"/>
          <w:sz w:val="24"/>
        </w:rPr>
        <w:t xml:space="preserve">2023年本部门“三公”经费预算数为0万元，其中，公务接待费0万元，公务用车购置及运行费0万元（其中，公务用车购置费0万元，公务用车运行费0万元），因公出国（境）费0万元。2023年“三公”经费预算较上年持平，主要原因是本单位无“三公”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（三）一般性支出情况：</w:t>
      </w:r>
      <w:r>
        <w:rPr>
          <w:rFonts w:ascii="宋体" w:eastAsia="宋体" w:hAnsi="宋体" w:cs="宋体"/>
          <w:sz w:val="24"/>
        </w:rPr>
        <w:t xml:space="preserve">本部门会议费预算0万元，拟召开0场会议，人数0人，内容为无；本部门培训费预算0万元，拟开展0场培训，人数0人，内容为无；拟举办0场节庆、晚会、论坛、赛事活动，开支0万元。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（四）政府采购情况：</w:t>
      </w:r>
      <w:r>
        <w:rPr>
          <w:rFonts w:ascii="宋体" w:eastAsia="宋体" w:hAnsi="宋体" w:cs="宋体"/>
          <w:sz w:val="24"/>
        </w:rPr>
        <w:t xml:space="preserve">2023年本部门政府采购预算总额0万元，其中，货物类采购预算0万元；工程类采购预算0万元；服务类采购预算0万元。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（五）国有资产占用使用及新增资产配置情况：</w:t>
      </w:r>
      <w:r>
        <w:rPr>
          <w:rFonts w:ascii="宋体" w:eastAsia="宋体" w:hAnsi="宋体" w:cs="宋体"/>
          <w:sz w:val="24"/>
        </w:rPr>
        <w:t xml:space="preserve">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（六）预算绩效目标说明：</w:t>
      </w:r>
      <w:r>
        <w:rPr>
          <w:rFonts w:ascii="宋体" w:eastAsia="宋体" w:hAnsi="宋体" w:cs="宋体"/>
          <w:sz w:val="24"/>
        </w:rPr>
        <w:t xml:space="preserve">本部门所有支出实行绩效目标管理，其中：纳入2023年部门整体支出绩效目标的金额为856.42万元，基本支出856.42万元，单位项目支出0万元。具体绩效目标详见报表。本年度预算无重点项目支出。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第二部分2023年部门预算表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2、收入总表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3、支出总表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4、支出预算分类汇总表（按政府预算经济分类）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5、支出预算分类汇总表（按部门预算经济分类）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6、项目支出预算明细表（按政府预算经济分类）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7、支出预算分类明细表（按部门预算经济分类）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8、财政拨款收支总表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9、一般公共预算支出表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10、一般公共预算基本支出表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11、一般公共预算基本支出表--人员经费(工资福利支出)(按政府预算经济分类)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12、一般公共预算基本支出表--人员经费(工资福利支出)(按部门预算经济分类)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13、一般公共预算基本支出表--人员经费(对个人和家庭的补助)(按政府预算经济分类)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14、一般公共预算基本支出表--人员经费(对个人和家庭的补助)（按部门预算经济分类）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15、一般公共预算基本支出表--公用经费(商品和服务支出)（按政府预算经济分类）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16、一般公共预算基本支出表--公用经费(商品和服务支出)(按部门预算经济分类)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17、一般公共预算“三公”经费支出表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18、政府性基金预算支出表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19、政府性基金预算支出分类汇总表（按政府预算经济分类）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20、政府性基金预算支出分类汇总表（按部门预算经济分类）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21、国有资本经营预算支出表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22、财政专户管理资金预算支出表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23、项目支出表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24、专项资金预算汇总表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25、政府购买服务支出预算表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26、政府采购预算表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27、项目支出绩效目标表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28、整体支出绩效目标表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29、单位新增资产汇总表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注：以上部门预算报表中，空表表示本部门无相关收支情况。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sectPr>
      <w:pgSz w:w="11907" w:h="16839" w:orient="portrait"/>
      <w:pgMar w:top="1440" w:right="1440" w:bottom="1440" w:left="1440" w:header="720" w:footer="720" w:gutter="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xmlns:w15="http://schemas.microsoft.com/office/word/2012/wordml" mc:Ignorable="w14 w15">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paragraph" w:styleId="Normal(Web)">
    <w:name w:val="Normal (Web)"/>
    <w:basedOn w:val="Normal"/>
    <w:qFormat/>
    <w:rPr>
      <w:sz w:val="24"/>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numbering" Target="numbering.xml" /><Relationship Id="rId4"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2024-08-01T15:36:18Z</dcterms:created>
  <dcterms:modified xsi:type="dcterms:W3CDTF">2024-08-01T15:36:18Z</dcterms:modified>
</cp:coreProperties>
</file>