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5A994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怀化市鹤城区农机事务中心</w:t>
      </w:r>
    </w:p>
    <w:p w14:paraId="3A864B5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2023年部门预算公开说明</w:t>
      </w:r>
    </w:p>
    <w:p w14:paraId="58E0974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目 录</w:t>
      </w:r>
    </w:p>
    <w:p w14:paraId="0653A72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第一部分2023年部门预算公开说明</w:t>
      </w:r>
    </w:p>
    <w:p w14:paraId="36121F6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5DDEB73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（一）职能职责</w:t>
      </w:r>
    </w:p>
    <w:p w14:paraId="4333C54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（二）机构设置</w:t>
      </w:r>
    </w:p>
    <w:p w14:paraId="50C00BA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68E3874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03A7A75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（一）收入预算</w:t>
      </w:r>
    </w:p>
    <w:p w14:paraId="79CC8A6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（二）支出预算</w:t>
      </w:r>
    </w:p>
    <w:p w14:paraId="47B264A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四、一般公共预算拨款支出</w:t>
      </w:r>
    </w:p>
    <w:p w14:paraId="5BFD279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（一）基本支出</w:t>
      </w:r>
    </w:p>
    <w:p w14:paraId="513AF03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（二）项目支出</w:t>
      </w:r>
    </w:p>
    <w:p w14:paraId="5668C3E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77CE603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59393B2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（一）机关运行经费</w:t>
      </w:r>
    </w:p>
    <w:p w14:paraId="05ED721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（二）“三公”经费预算</w:t>
      </w:r>
    </w:p>
    <w:p w14:paraId="70106C7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（三）一般性支出情况</w:t>
      </w:r>
    </w:p>
    <w:p w14:paraId="4C46538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（四）政府采购情况</w:t>
      </w:r>
    </w:p>
    <w:p w14:paraId="7B41E8C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（五）国有资产占用使用及新增资产配置情况</w:t>
      </w:r>
    </w:p>
    <w:p w14:paraId="4A8FEB4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（六）预算绩效目标说明</w:t>
      </w:r>
    </w:p>
    <w:p w14:paraId="6B987AB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5A8C42A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第二部分 2023年部门预算表</w:t>
      </w:r>
    </w:p>
    <w:p w14:paraId="210EF35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01780F5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01820A2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第一部分 部门预算公开说明</w:t>
      </w:r>
    </w:p>
    <w:p w14:paraId="3199CFE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13B4DBC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（一）职能职责</w:t>
      </w:r>
    </w:p>
    <w:p w14:paraId="0D978ECB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atLeast"/>
        <w:ind w:firstLine="480" w:firstLineChars="200"/>
        <w:jc w:val="both"/>
        <w:textAlignment w:val="auto"/>
        <w:rPr>
          <w:rFonts w:ascii="宋体" w:hAnsi="宋体" w:eastAsia="宋体" w:cs="宋体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4"/>
        </w:rPr>
        <w:t>区农机事务中心贯彻落实党中央和省委、 市委、关于农业农村和农业机械化工作的方针政策和决策部署，全面落实区委关于农业农村和农业机械化工作的部署要求，在履行职责过程中坚持和加强党对农业机械化工作的集中统一领导。主要职责是：</w:t>
      </w:r>
    </w:p>
    <w:p w14:paraId="5D0DC31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atLeast"/>
        <w:ind w:firstLine="480" w:firstLineChars="200"/>
        <w:jc w:val="both"/>
        <w:textAlignment w:val="auto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  <w:szCs w:val="24"/>
          <w:lang w:val="en-US" w:eastAsia="uk-UA" w:bidi="ar-SA"/>
        </w:rPr>
        <w:t>1、</w:t>
      </w:r>
      <w:r>
        <w:rPr>
          <w:rFonts w:ascii="宋体" w:hAnsi="宋体" w:eastAsia="宋体" w:cs="宋体"/>
          <w:sz w:val="24"/>
        </w:rPr>
        <w:t>为全区农业农机械化发展提供技术性支撑和公益性、事业性服务。</w:t>
      </w:r>
    </w:p>
    <w:p w14:paraId="3E00D5E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atLeas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ascii="宋体" w:hAnsi="宋体" w:eastAsia="宋体" w:cs="宋体"/>
          <w:sz w:val="24"/>
        </w:rPr>
        <w:t>2、承担全区农业机械化事业发展规划和有关标准、技术规范的研究工作，调查研究农业机械社会化服务和产业化发展的经济、技术问题，开展相关评估论证，提出对策建议。</w:t>
      </w:r>
    </w:p>
    <w:p w14:paraId="32292B9D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atLeas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ascii="宋体" w:hAnsi="宋体" w:eastAsia="宋体" w:cs="宋体"/>
          <w:sz w:val="24"/>
        </w:rPr>
        <w:t>3、为全区农业机械化生产、农机社会化服务、农机维修、农机抗灾救灾、农机安全生产监管等相关工作提供技术支持、服务保障和相关公益服务。承担农业机械从业人员教育培训和职业技能开发工作。</w:t>
      </w:r>
    </w:p>
    <w:p w14:paraId="1AC15A58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atLeas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ascii="宋体" w:hAnsi="宋体" w:eastAsia="宋体" w:cs="宋体"/>
          <w:sz w:val="24"/>
        </w:rPr>
        <w:t>4、承担农业机械补贴政策实施相关事务性工作。</w:t>
      </w:r>
    </w:p>
    <w:p w14:paraId="0DF7F3B2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atLeas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ascii="宋体" w:hAnsi="宋体" w:eastAsia="宋体" w:cs="宋体"/>
          <w:sz w:val="24"/>
        </w:rPr>
        <w:t>5、承担农业机械化信息网络建设运行、农业机械化生产信息统计工作。</w:t>
      </w:r>
    </w:p>
    <w:p w14:paraId="5E674B9C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atLeas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ascii="宋体" w:hAnsi="宋体" w:eastAsia="宋体" w:cs="宋体"/>
          <w:sz w:val="24"/>
        </w:rPr>
        <w:t>6、承担农业机械化新机具、新技术的引进和示范推广等相关技术性、事务性工作。</w:t>
      </w:r>
    </w:p>
    <w:p w14:paraId="5FFA7BC3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atLeas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ascii="宋体" w:hAnsi="宋体" w:eastAsia="宋体" w:cs="宋体"/>
          <w:sz w:val="24"/>
        </w:rPr>
        <w:t>7、对乡镇和涉农街道农业综合服务中心进行业务和技术指导。</w:t>
      </w:r>
    </w:p>
    <w:p w14:paraId="426E3B77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atLeast"/>
        <w:ind w:firstLine="480" w:firstLineChars="200"/>
        <w:jc w:val="both"/>
        <w:textAlignment w:val="auto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8、完成区委、区政府及区农业农村局交办的其他任务。</w:t>
      </w:r>
    </w:p>
    <w:p w14:paraId="411A693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（二）机构设置</w:t>
      </w:r>
    </w:p>
    <w:p w14:paraId="16F4EDD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怀化市鹤城区农机事务中心单位内设机构包括：内设机构4个，分别为综合部、生产服务部、产业发展部、安全监理部。</w:t>
      </w:r>
    </w:p>
    <w:p w14:paraId="63B8265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5544007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纳入2023年怀化市鹤城区农机事务中心部门预算编制范围包括：怀化市鹤城区农机事务中心本级。</w:t>
      </w:r>
    </w:p>
    <w:p w14:paraId="5169184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79F4D76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 w14:paraId="3162B32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（一）收入预算：</w:t>
      </w:r>
      <w:r>
        <w:rPr>
          <w:rFonts w:ascii="宋体" w:hAnsi="宋体" w:eastAsia="宋体" w:cs="宋体"/>
          <w:sz w:val="24"/>
        </w:rPr>
        <w:t>2023年本部门收入预算251.16万元，一般公共预算收入251.16万元，政府性基金预算收入0万元，国有资本经营预算收入0万元，纳入专户管理的非税收入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增加251.16万元，主要原因是人员支出收入增加。</w:t>
      </w:r>
    </w:p>
    <w:p w14:paraId="2579902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（二）支出预算：</w:t>
      </w:r>
      <w:r>
        <w:rPr>
          <w:rFonts w:ascii="宋体" w:hAnsi="宋体" w:eastAsia="宋体" w:cs="宋体"/>
          <w:sz w:val="24"/>
        </w:rPr>
        <w:t>2023年本部门支出预算251.16万元，其中，社会保障和就业支出37.60万元，卫生健康支出10.70万元，农林水支出189.53万元，住房保障支出13.33万元。支出较上年增加251.16万元，主要原因是人员支出收入增加。</w:t>
      </w:r>
    </w:p>
    <w:p w14:paraId="6082725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四、一般公共预算支出情况</w:t>
      </w:r>
    </w:p>
    <w:p w14:paraId="76AF6A3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2023年本部门一般公共预算支出251.16万元，其中，社会保障和就业支出37.60万元，占14.97%，卫生健康支出10.70万元，占4.26%，农林水支出189.53万元，占75.46%，住房保障支出13.33万元，占5.31%。具体安排情况如下： </w:t>
      </w:r>
    </w:p>
    <w:p w14:paraId="113F0A8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（一）基本支出：</w:t>
      </w:r>
      <w:r>
        <w:rPr>
          <w:rFonts w:ascii="宋体" w:hAnsi="宋体" w:eastAsia="宋体" w:cs="宋体"/>
          <w:sz w:val="24"/>
        </w:rPr>
        <w:t>2023年本部门基本支出预算数245.74万元，主要是为保障部门正常运转、完成日常工作任务而发生的各项支出。其中，人员经费226.80万元，主要包括：基本工资、津贴补贴、奖金、社会保障缴费、其他工资福利支出、离休费、退休费、抚恤金、奖励金、住房公积金、其他对个人和家庭的补助支出；公用经费18.94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73F657D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（二）项目支出：</w:t>
      </w:r>
      <w:r>
        <w:rPr>
          <w:rFonts w:ascii="宋体" w:hAnsi="宋体" w:eastAsia="宋体" w:cs="宋体"/>
          <w:sz w:val="24"/>
        </w:rPr>
        <w:t>2023年本部门项目支出预算5.42万元，主要是部门为完成特定行政工作任务或事业发展目标而发生的支出，包括有关事业发展专项、专项业务费、基本建设支出等。其中：事业运行支出0.62万元，主要用于伤残补贴费用；科技转化与推广服务支出1.80万元，主要用于农机购置费用；执法监管支出3.00万元，主要用于农机车辆载客整治。</w:t>
      </w:r>
    </w:p>
    <w:p w14:paraId="1BA14B6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48875BB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本部门无政府性基金安排的支出。</w:t>
      </w:r>
    </w:p>
    <w:p w14:paraId="0DDFF68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69C229E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（一）机关运行经费：</w:t>
      </w:r>
      <w:r>
        <w:rPr>
          <w:rFonts w:ascii="宋体" w:hAnsi="宋体" w:eastAsia="宋体" w:cs="宋体"/>
          <w:sz w:val="24"/>
        </w:rPr>
        <w:t>2023年本部门机关运行经费18.94万元，比上年预算增加18.94万元，持平，主要原因是厉行节约，严控支出。</w:t>
      </w:r>
    </w:p>
    <w:p w14:paraId="567D8B9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（二）“三公”经费预算：</w:t>
      </w:r>
      <w:r>
        <w:rPr>
          <w:rFonts w:ascii="宋体" w:hAnsi="宋体" w:eastAsia="宋体" w:cs="宋体"/>
          <w:sz w:val="24"/>
        </w:rPr>
        <w:t>2023年本部门“三公”经费预算数为4.00万元，其中，公务接待费0万元，公务用车购置及运行费4.00万元（其中，公务用车购置费0万元，公务用车运行费4.00万元），因公出国（境）费0万元。2023年“三公”经费预算较上年增加4.00万元，主要原因是严控“三公”经费支出。</w:t>
      </w:r>
    </w:p>
    <w:p w14:paraId="737CEA6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（三）一般性支出情况：</w:t>
      </w:r>
      <w:r>
        <w:rPr>
          <w:rFonts w:ascii="宋体" w:hAnsi="宋体" w:eastAsia="宋体" w:cs="宋体"/>
          <w:sz w:val="24"/>
        </w:rPr>
        <w:t>本部门会议费预算0万元，拟召开0场会议，人数0人，内容为无；2023培训费预算0.80万元，拟开展1场培训，人数10人，内容为农机推广与安全监理；拟举办0场节庆、晚会、论坛、赛事活动，开支0万元。</w:t>
      </w:r>
    </w:p>
    <w:p w14:paraId="429C1BE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（四）政府采购情况：</w:t>
      </w:r>
      <w:r>
        <w:rPr>
          <w:rFonts w:ascii="宋体" w:hAnsi="宋体" w:eastAsia="宋体" w:cs="宋体"/>
          <w:sz w:val="24"/>
        </w:rPr>
        <w:t>2023年本部门政府采购预算总额0万元，其中，货物类采购预算0万元；工程类采购预算0万元；服务类采购预算0万元。</w:t>
      </w:r>
    </w:p>
    <w:p w14:paraId="4E5FAA3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（五）国有资产占用使用及新增资产配置情况：</w:t>
      </w:r>
      <w:r>
        <w:rPr>
          <w:rFonts w:ascii="宋体" w:hAnsi="宋体" w:eastAsia="宋体" w:cs="宋体"/>
          <w:sz w:val="24"/>
        </w:rPr>
        <w:t>截至2022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 w14:paraId="03E196B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（六）预算绩效目标说明：</w:t>
      </w:r>
      <w:r>
        <w:rPr>
          <w:rFonts w:ascii="宋体" w:hAnsi="宋体" w:eastAsia="宋体" w:cs="宋体"/>
          <w:sz w:val="24"/>
        </w:rPr>
        <w:t>本部门所有支出实行绩效目标管理，其中：纳入2023年部门整体支出绩效目标的金额为251.16万元，基本支出245.74万元，单位项目支出5.42万元。具体绩效目标详见报表。本年度预算无重点项目支出。</w:t>
      </w:r>
    </w:p>
    <w:p w14:paraId="52A789D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0A846EA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 w14:paraId="5C4E6D5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 w14:paraId="3932673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第二部分2023年部门预算表</w:t>
      </w:r>
    </w:p>
    <w:p w14:paraId="5D0030F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1、收支总表</w:t>
      </w:r>
    </w:p>
    <w:p w14:paraId="34670C1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2、收入总表</w:t>
      </w:r>
    </w:p>
    <w:p w14:paraId="4F2BA73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3、支出总表</w:t>
      </w:r>
    </w:p>
    <w:p w14:paraId="6611EE1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4、支出预算分类汇总表（按政府预算经济分类）</w:t>
      </w:r>
    </w:p>
    <w:p w14:paraId="1A82E02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5、支出预算分类汇总表（按部门预算经济分类）</w:t>
      </w:r>
    </w:p>
    <w:p w14:paraId="284F4E0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6、项目支出预算明细表（按政府预算经济分类）</w:t>
      </w:r>
    </w:p>
    <w:p w14:paraId="253EBC9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7、支出预算分类明细表（按部门预算经济分类）</w:t>
      </w:r>
    </w:p>
    <w:p w14:paraId="0AA98BF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8、财政拨款收支总表</w:t>
      </w:r>
    </w:p>
    <w:p w14:paraId="2DEE9AC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9、一般公共预算支出表</w:t>
      </w:r>
    </w:p>
    <w:p w14:paraId="510DF04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10、一般公共预算基本支出表</w:t>
      </w:r>
    </w:p>
    <w:p w14:paraId="5F6152E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11、一般公共预算基本支出表--人员经费(工资福利支出)(按政府预算经济分类)</w:t>
      </w:r>
    </w:p>
    <w:p w14:paraId="0662D5B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12、一般公共预算基本支出表--人员经费(工资福利支出)(按部门预算经济分类)</w:t>
      </w:r>
    </w:p>
    <w:p w14:paraId="6D4B519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13、一般公共预算基本支出表--人员经费(对个人和家庭的补助)(按政府预算经济分类)</w:t>
      </w:r>
    </w:p>
    <w:p w14:paraId="1F7888A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14、一般公共预算基本支出表--人员经费(对个人和家庭的补助)（按部门预算经济分类）</w:t>
      </w:r>
    </w:p>
    <w:p w14:paraId="71DD21F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15、一般公共预算基本支出表--公用经费(商品和服务支出)（按政府预算经济分类）</w:t>
      </w:r>
    </w:p>
    <w:p w14:paraId="17AE94D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16、一般公共预算基本支出表--公用经费(商品和服务支出)(按部门预算经济分类)</w:t>
      </w:r>
    </w:p>
    <w:p w14:paraId="672B635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17、一般公共预算“三公”经费支出表</w:t>
      </w:r>
    </w:p>
    <w:p w14:paraId="634FBAE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18、政府性基金预算支出表</w:t>
      </w:r>
    </w:p>
    <w:p w14:paraId="227D45F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19、政府性基金预算支出分类汇总表（按政府预算经济分类）</w:t>
      </w:r>
    </w:p>
    <w:p w14:paraId="200A9EF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20、政府性基金预算支出分类汇总表（按部门预算经济分类）</w:t>
      </w:r>
    </w:p>
    <w:p w14:paraId="4A008A2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21、国有资本经营预算支出表</w:t>
      </w:r>
    </w:p>
    <w:p w14:paraId="36D84C2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22、财政专户管理资金预算支出表</w:t>
      </w:r>
    </w:p>
    <w:p w14:paraId="4B768F7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23、项目支出表</w:t>
      </w:r>
    </w:p>
    <w:p w14:paraId="35BCE70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24、专项资金预算汇总表</w:t>
      </w:r>
    </w:p>
    <w:p w14:paraId="41892DD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25、政府购买服务支出预算表</w:t>
      </w:r>
    </w:p>
    <w:p w14:paraId="32AA190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26、政府采购预算表</w:t>
      </w:r>
    </w:p>
    <w:p w14:paraId="34653D5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27、项目支出绩效目标表</w:t>
      </w:r>
    </w:p>
    <w:p w14:paraId="6DD6094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28、整体支出绩效目标表</w:t>
      </w:r>
    </w:p>
    <w:p w14:paraId="53161D4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29、单位新增资产汇总表</w:t>
      </w:r>
    </w:p>
    <w:p w14:paraId="7BF6D48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注：以上部门预算报表中，空表表示本部门无相关收支情况。</w:t>
      </w:r>
    </w:p>
    <w:p w14:paraId="018C7F4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68D4AAA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0038F4D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MmUzMGNhMzQ4ZTVjY2Y0ZDgzNjMwYTk4MzJhYTNhMGUifQ=="/>
  </w:docVars>
  <w:rsids>
    <w:rsidRoot w:val="00000000"/>
    <w:rsid w:val="10F87FE4"/>
    <w:rsid w:val="1E037A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3334</Words>
  <Characters>3573</Characters>
  <TotalTime>2</TotalTime>
  <ScaleCrop>false</ScaleCrop>
  <LinksUpToDate>false</LinksUpToDate>
  <CharactersWithSpaces>3578</CharactersWithSpaces>
  <Application>WPS Office_12.1.0.17140_F1E327BC-269C-435d-A152-05C5408002CA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2024-08-02T10:53:00Z</dcterms:created>
  <dc:creator>C.7</dc:creator>
  <cp:lastModifiedBy>鱼与鱼</cp:lastModifiedBy>
  <dcterms:modified xsi:type="dcterms:W3CDTF">2024-08-05T08:37:32Z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043E0CC6487A4A708CE8C114A1BCC036_12</vt:lpwstr>
  </property>
</Properties>
</file>