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E8F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怀化市鹤城区医疗保障局</w:t>
      </w:r>
    </w:p>
    <w:p w14:paraId="06587D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099F6B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5047C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577A4E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47BFA9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130E7B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534B80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9E612D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3843B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2311E1D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1C4D59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65CC16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0DD77E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498986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8F92A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E5F5C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689E8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24E565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4F2DA4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7D0086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60F535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1BEEE2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2BB3F7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23AED4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442070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121A0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5775C25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4C1E5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4EF04700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1、制定全区定点医药机构协议和支付管理办法并组织实施。</w:t>
      </w:r>
    </w:p>
    <w:p w14:paraId="73467F9E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2、负责全区医疗保障经办管理、公共服务体系和信息化建设。</w:t>
      </w:r>
    </w:p>
    <w:p w14:paraId="305E908F">
      <w:pPr>
        <w:pStyle w:val="2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atLeast"/>
        <w:ind w:firstLine="480" w:firstLineChars="200"/>
        <w:jc w:val="both"/>
        <w:textAlignment w:val="auto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3、组织制定并实施全区医疗保障基金监督管理，推进医疗保障基金支付方式改革。</w:t>
      </w:r>
    </w:p>
    <w:p w14:paraId="61D440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5E22AA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怀化市鹤城区医疗保障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局单位内设机构包括：内设机构3个，分别为办公室、规划财务和法规股（加挂行政审批股）、业务股。</w:t>
      </w:r>
    </w:p>
    <w:p w14:paraId="31D170C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BEB39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纳入2023年怀化市鹤城区医疗保障局部门预算编制范围包括：怀化市鹤城区医疗保障局本级。</w:t>
      </w:r>
    </w:p>
    <w:p w14:paraId="7C446B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0B734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64FB49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25483.30万元，一般公共预算收入25483.30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23312.80万元，主要原因是将上级补助收入纳入预算。</w:t>
      </w:r>
    </w:p>
    <w:p w14:paraId="76FA42F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2023年本部门支出预算25483.30万元，其中，社会保障和就业支出515.29万元，卫生健康支出24937.51万元，住房保障支出30.50万元。支出较上年增加23312.80万元，主要原因是将上级补助收入纳入预算。</w:t>
      </w:r>
    </w:p>
    <w:p w14:paraId="71C107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38813C5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2023年本部门一般公共预算支出25483.30万元，其中，社会保障和就业支出515.29万元，占2.02%，卫生健康支出24937.51万元，占97.86%，住房保障支出30.50万元，占0.12%。具体安排情况如下： </w:t>
      </w:r>
    </w:p>
    <w:p w14:paraId="1C9C144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536.40万元，主要是为保障部门正常运转、完成日常工作任务而发生的各项支出。其中，人员经费494.40万元，主要包括：基本工资、津贴补贴、奖金、社会保障缴费、其他工资福利支出、离休费、退休费、抚恤金、奖励金、住房公积金、其他对个人和家庭的补助支出；公用经费42.00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37A3E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24946.90万元，主要是部门为完成特定行政工作任务或事业发展目标而发生的支出，包括有关事业发展专项、专项业务费、基本建设支出等。其中：企业关闭破产补助支出450.00万元，主要用于企业关闭破产补助；公务员医疗补助支出200.00万元，主要用于公职人员医疗补助经费；财政对城乡居民基本医疗保险基金的补助支出22360.00万元，主要用于城乡居民医疗保险各级财政配套；财政对其他基本医疗保险基金的补助支出1371.30万元，主要用于全区离休老员医疗经费；城乡医疗救助支出500.00万元，主要用于城乡医疗救助；行政运行支出65.60万元，主要用于保障单位机构正常运转、完成日常工作任务而发生的各项支出。</w:t>
      </w:r>
    </w:p>
    <w:p w14:paraId="1C596F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2861F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1FE2BF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F7649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2023年本部门机关运行经费42.00万元，比上年预算增加4.34万元，上升11.52%，主要原因是人员增加。</w:t>
      </w:r>
    </w:p>
    <w:p w14:paraId="728F61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1.73万元，其中，公务接待费1.73万元，公务用车购置及运行费0万元（其中，公务用车购置费0万元，公务用车运行费0万元），因公出国（境）费0万元。2023年“三公”经费预算较上年减少1.27万元，主要原因是贯彻中央八项规定，践行厉行节约。</w:t>
      </w:r>
    </w:p>
    <w:p w14:paraId="695085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390650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2023年本部门政府采购预算总额10.00万元，其中，货物类采购预算10.00万元；工程类采购预算0万元；服务类采购预算0万元。</w:t>
      </w:r>
    </w:p>
    <w:p w14:paraId="638A01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4FA7FF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本部门所有支出实行绩效目标管理，其中：纳入2023年部门整体支出绩效目标的金额为25483.30万元，基本支出536.40万元，单位项目支出24946.90万元。具体绩效目标详见报表。本年度预算无重点项目支出。</w:t>
      </w:r>
    </w:p>
    <w:p w14:paraId="08EAFB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8C39C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B9533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A5E5C8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043D63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45186A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27E6ED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55A88D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4222B15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505967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75605E6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5DE21B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02C469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09115FB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252C7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D2B73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2667D0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3FC680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67268D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089B40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4C2D90D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24C273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1DD7FF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04BA62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1B65D0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1BF4BF1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077F07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5D4A6E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0BD5C3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5F0148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42F8A4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735211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1323B3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17B6A6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620C67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7B3F4CE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5A1373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5DB30C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3087</Words>
  <Characters>3366</Characters>
  <TotalTime>0</TotalTime>
  <ScaleCrop>false</ScaleCrop>
  <LinksUpToDate>false</LinksUpToDate>
  <CharactersWithSpaces>3370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2024-08-02T17:07:00Z</dcterms:created>
  <dc:creator>C.7</dc:creator>
  <cp:lastModifiedBy>鱼与鱼</cp:lastModifiedBy>
  <dcterms:modified xsi:type="dcterms:W3CDTF">2024-08-05T08:56:03Z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A7973B8F58E94A54ADC8C65BCB803FE0_12</vt:lpwstr>
  </property>
</Properties>
</file>