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怀化市第二中学部门决算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第一部分怀化市第二中学单位概况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怀化市第二中学单位概况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（一）怀化市第二中学是全额拨款的事业单位。</w:t>
      </w:r>
    </w:p>
    <w:p>
      <w:pPr>
        <w:spacing w:line="600" w:lineRule="exact"/>
        <w:ind w:firstLine="640" w:firstLineChars="200"/>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（二）主要工作职责：全面贯彻党的教育方针，落实九年义务教育各项政策，保障学生受教育的各项权利，维护教师职工各项权益。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 8</w:t>
      </w:r>
      <w:r>
        <w:rPr>
          <w:rFonts w:hint="eastAsia" w:cs="仿宋" w:asciiTheme="minorEastAsia" w:hAnsiTheme="minorEastAsia"/>
          <w:sz w:val="32"/>
          <w:szCs w:val="32"/>
        </w:rPr>
        <w:t>个职能处室：学校办公室、校长室、工会、党支部、总务处、教务处、教研室、财务室。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（二）决算单位构成：怀化市第二中学本级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2021年度收入合计3292.61万元。与上年相比，增加354.1万元，增长12%，主要是因为公用经费标准的增加教师工资上涨以及医疗、养老、工伤、失业、生育等保险的缴费基数调整。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2021年度支出合计3243.85万元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年末结转和结余48.76</w:t>
      </w:r>
      <w:r>
        <w:rPr>
          <w:rFonts w:hint="eastAsia" w:asciiTheme="minorEastAsia" w:hAnsiTheme="minorEastAsia" w:eastAsiaTheme="minorEastAsia"/>
          <w:sz w:val="32"/>
          <w:szCs w:val="32"/>
          <w:lang w:val="en-US" w:eastAsia="zh-CN"/>
        </w:rPr>
        <w:t>万元，支出总计3292.61万元。</w:t>
      </w:r>
      <w:r>
        <w:rPr>
          <w:rFonts w:hint="eastAsia" w:asciiTheme="minorEastAsia" w:hAnsiTheme="minorEastAsia" w:eastAsiaTheme="minorEastAsia"/>
          <w:sz w:val="32"/>
          <w:szCs w:val="32"/>
        </w:rPr>
        <w:t>与上年相比，增加354.1元，增长12%，主要是因为公用经费标准的增加教师工资上涨以及医疗、养老、工伤、失业、生育等保险的缴费基数调整。</w:t>
      </w:r>
    </w:p>
    <w:p>
      <w:pPr>
        <w:pStyle w:val="10"/>
        <w:ind w:firstLine="640" w:firstLineChars="20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2021年度收入合计3292.61万元，其中：财政拨款收入2830.28万元，占86%；上级补助收入0万元，占0%；事业收入0万元，占0%；经营收入0万元，占0%；附属单位上缴收入0万元，占0%；其他收入462.34万元，占14%。</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2021年度支出合计3243.85万元，其中：基本支出3153.5万元，占95.8%；项目支出90.35万元，占2.7%；上缴上级支出0万元，占0%；经营支出0万元，占0%；对附属单位补助支出0万元，占0%。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2021年度财政拨款收入合计2830.28万元。与上年相比，增加354.1万元，增长12%，主要是因为公用经费标准的增加教师工资上涨以及医疗、养老、工伤、失业、生育等保险的缴费基数调整。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2021年度财政拨款支出合2830.28万元。与上年相比，增加354.1万元，增长12%，主要是因为公用经费标准的增加教师工资上涨以及医疗、养老、工伤、失业、生育等保险的缴费基数调整。</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2830.28万元，占本年支出合计的86%，与上年相比，财政拨款支出增加377.97万元，增长15%，主要是因为公用经费标准的增加教师工资上涨以及医疗、养老、工伤、失业、生育等保险的缴费基数调整。</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2021年度财政拨款支出2830.28万元，主要用于以下方面：教育（类）支出2830.28万元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占100%;</w:t>
      </w:r>
    </w:p>
    <w:p>
      <w:pPr>
        <w:pStyle w:val="10"/>
        <w:ind w:firstLine="480"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2021年度财政拨款支出年初预算数为2830.28万元，支出决算数为2830.28万元，完成年初预算的100%，其中：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1、教育支出（类）普通教育（款）中学教育（项）。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年初预算为2739.93元，支出决算为2739.93万元，完成年初预算的100%。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2、教育支出（类）普通教育（款）其他普通教育支出（项）。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年初预算为90.35万元，支出决算为90.35万元，完成年初预算的100%。</w:t>
      </w:r>
    </w:p>
    <w:p>
      <w:pPr>
        <w:pStyle w:val="10"/>
        <w:rPr>
          <w:rFonts w:hint="eastAsia"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2739.93万元，其中：人员经费2303.9万元，占基本支出的84%,主要包括基本工资、津贴补贴、奖金、伙食补助费机关事业养老保险缴费、职工基本医疗保险缴费、其他社会保障缴费、住房公积金、其他工资福利支出、其他对个人和家庭的补助、助学金、生活补助；公用经费436.54万元，占基本支出的15.9%，主要包括办公费、印刷费、咨询费、手续费、水费、电费、维修费、邮电费、工会经费、劳务费、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ind w:firstLine="480"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p>
      <w:pPr>
        <w:pStyle w:val="10"/>
        <w:ind w:firstLine="640" w:firstLineChars="200"/>
        <w:rPr>
          <w:rFonts w:asciiTheme="minorEastAsia" w:hAnsiTheme="minorEastAsia" w:eastAsiaTheme="minorEastAsia"/>
          <w:b/>
          <w:sz w:val="32"/>
          <w:szCs w:val="32"/>
        </w:rPr>
      </w:pPr>
      <w:bookmarkStart w:id="0" w:name="_GoBack"/>
      <w:bookmarkEnd w:id="0"/>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 本单位全年未产生因公出国（境）费支出。</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2、公务接待费支出决算为0万元，全年共接待来访团组0个、来宾0人次，本单位全年无公务接待支出。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3、公务用车购置费及运行维护费支出决算为0万元，其中：公务用车购置费0万元，本单位未购置公务用车</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公务用车运行维护费0万元，本单位无公务用车，截止2021年12月31日，我单位开支财政拨款的公务用车保有量为0辆。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2021年度本单位政府性基金预算财政拨款收入0万元；年初结转和结余0万元；支出0万元，其中基本支出0万元，项目支出0万元；年末结转和结余0万元。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本单位公用经费为436.54万元，同比增加142.13万元，原因是提高了教师的公用经费标准由原来的1100元每人提高到3700每人以及往年账款进行了结账。</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2021年本部门开支会议费0万元，用于召开0会议，人数0人，开支培训费0万元，用于开展培训，人数0人，未举办节庆、晚会、论坛、赛事活动，开支0万元。</w:t>
      </w:r>
    </w:p>
    <w:p>
      <w:pPr>
        <w:pStyle w:val="10"/>
        <w:ind w:firstLine="640" w:firstLineChars="20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其他用车无；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年度一般公共预算项目支出全面开展绩效自评，其中，一级项目1个，二级项目1个，共涉及资金</w:t>
      </w:r>
      <w:r>
        <w:rPr>
          <w:rFonts w:hint="eastAsia" w:asciiTheme="minorEastAsia" w:hAnsiTheme="minorEastAsia"/>
          <w:sz w:val="32"/>
          <w:szCs w:val="32"/>
        </w:rPr>
        <w:t>90.35</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组织对“0”“0”等0个项目开展了部门评价，涉及一般公共预算支出0万元，政府性基金预算支出0万元，国有资本经营预算支出0万元。从评价情况来看，情况合理、合法、社会反映良好。</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组织对“0”“0”等0个单位开展整体支出绩效评价，涉及一般公共预算支出0万元，政府性基金预算支出0万元。从评价情况来看，情况合理、合法、社会反映良好。</w:t>
      </w:r>
    </w:p>
    <w:p>
      <w:pPr>
        <w:autoSpaceDE w:val="0"/>
        <w:autoSpaceDN w:val="0"/>
        <w:adjustRightInd w:val="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 xml:space="preserve">   （2）部门决算中项目绩效自评结果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安保工资”项目绩效自评综述：根据年初设定的绩效目标，项目绩效自评得分为100分。项目全年预算数为4.96万元，执行数为10.35万元，完成预算的156.0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雇佣保安人数为6人；二是确保学校安全事故发生率为0。发现的主要问题及原因：我校是由七公司子弟学校改建，校舍陈旧，楼梯狭窄，易发生安全事故，下课时保安要负责各个楼梯口的守护工作，责任重大。下一步改进措施：进一步加强安保工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“临聘老师工资”项目绩效自评综述：根据年初设定的绩效目标，项目绩效自评得分为100分。项目全年预算数为80万元，执行数为80万元，完成预算的100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弥补了师资力量的不足，协助完成我校48个班级的教学及班级管理工作。发现的主要问题是临聘教师师资不稳定，教师培训工作每个学期都要进行，主要原因的很多临聘教师考上了编制。下一步改进措施：加强师资力量的培训，以维持较高的教学及管理水平。</w:t>
      </w:r>
    </w:p>
    <w:p>
      <w:pPr>
        <w:ind w:firstLine="640" w:firstLineChars="200"/>
        <w:jc w:val="left"/>
        <w:rPr>
          <w:rFonts w:cs="黑体" w:asciiTheme="minorEastAsia" w:hAnsiTheme="minorEastAsia"/>
          <w:b/>
          <w:color w:val="000000"/>
          <w:kern w:val="0"/>
          <w:sz w:val="32"/>
          <w:szCs w:val="32"/>
        </w:rPr>
      </w:pPr>
      <w:r>
        <w:rPr>
          <w:rFonts w:hint="eastAsia" w:asciiTheme="minorEastAsia" w:hAnsiTheme="minorEastAsia"/>
          <w:sz w:val="32"/>
          <w:szCs w:val="32"/>
        </w:rPr>
        <w:t>2</w:t>
      </w:r>
      <w:r>
        <w:rPr>
          <w:rFonts w:hint="eastAsia" w:cs="黑体" w:asciiTheme="minorEastAsia" w:hAnsiTheme="minorEastAsia"/>
          <w:color w:val="000000"/>
          <w:kern w:val="0"/>
          <w:sz w:val="32"/>
          <w:szCs w:val="32"/>
        </w:rPr>
        <w:t>021年在上级部门的正确领导下，保证各项资金使用的真实、合法、有效，充分发挥资金使用效率。年初制定的支出绩效目标总体完成情况良好，学校实现平稳运行，各项教育教学工作正常有序。</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0"/>
        <w:rPr>
          <w:rFonts w:hint="eastAsia" w:ascii="宋体" w:hAnsi="宋体" w:eastAsia="宋体" w:cs="Times New Roman"/>
          <w:sz w:val="32"/>
          <w:szCs w:val="32"/>
        </w:rPr>
      </w:pPr>
      <w:r>
        <w:rPr>
          <w:rFonts w:hint="eastAsia"/>
          <w:sz w:val="32"/>
          <w:szCs w:val="32"/>
        </w:rPr>
        <w:t xml:space="preserve">   </w:t>
      </w:r>
      <w:r>
        <w:rPr>
          <w:rFonts w:hint="eastAsia" w:ascii="宋体" w:hAnsi="宋体" w:eastAsia="宋体" w:cs="Times New Roman"/>
          <w:sz w:val="32"/>
          <w:szCs w:val="32"/>
        </w:rPr>
        <w:t>2021年怀化市第二中学实际操作申报的项目共2个，分别为：临聘老师、安保人员工资并已单独在绩效评价中公开。</w:t>
      </w:r>
    </w:p>
    <w:p>
      <w:pPr>
        <w:pStyle w:val="10"/>
        <w:rPr>
          <w:rFonts w:hint="eastAsia" w:ascii="宋体" w:hAnsi="宋体" w:eastAsia="宋体" w:cs="Times New Roman"/>
          <w:sz w:val="32"/>
          <w:szCs w:val="32"/>
          <w:lang w:eastAsia="zh-CN"/>
        </w:rPr>
      </w:pPr>
      <w:r>
        <w:rPr>
          <w:rFonts w:hint="eastAsia" w:ascii="宋体" w:hAnsi="宋体" w:eastAsia="宋体" w:cs="Times New Roman"/>
          <w:sz w:val="32"/>
          <w:szCs w:val="32"/>
        </w:rPr>
        <w:t xml:space="preserve">   2021年 怀化市第二中学严格按照上级指示完成了预算与支出，保证了学校的正常工作开展；确保各项决策部署得到有效落实产生了良好的社会效应，也取得了发展的可持续性、长效性</w:t>
      </w:r>
      <w:r>
        <w:rPr>
          <w:rFonts w:hint="eastAsia" w:ascii="宋体" w:hAnsi="宋体" w:eastAsia="宋体" w:cs="Times New Roman"/>
          <w:sz w:val="32"/>
          <w:szCs w:val="32"/>
          <w:lang w:eastAsia="zh-CN"/>
        </w:rPr>
        <w:t>。</w:t>
      </w: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2021年度部门整体支出绩效评价报告</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一、部门、单位基本情况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怀化市第二中学成立于1968年，共设立7个办公室：校长室，党支部，办公室，教导处，财务室，教研室，总务室。</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承担了中学教育事务。</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部门基本概况：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2021年部门预算编报范围包括一个机构。单位有编制数184，在编166人，领导班子成员11人，共有干部职工166人，其中在职166人（自收自支0人）、离退休86人。一个党支部，共有党员65人。</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二、一般公共预算支出情况</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（一）基本支出情况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1.收入预算：2021年总收入3292.61万元，其中一般公共预算财政拨款收入2830.28万元。</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2.支出预算：2021年总支出3292.61万元，其中基本支出2739.93万元。（其中人员经费2303.39万元，公用经费支出436.54万元。）</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3.“三公经费”增减情况：本年度三公经费支出额为0万元，其中，因公出国（境）费0元，公务用车购置及运行维护费0元，公务接待费0万元，根据中央八项规定及《党政机关厉行节约反对浪费条例》规定，较上年度减少0万元。</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4.政府采购执行情况：2021年度政府采购预算为0万元。</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（二）项目支出情况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1.项目安排情况：怀化市第二中学2021年度专项资金安排为保安工资、临聘老师工资专项资金，年初预算数为90.35万元。</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2.项目支出使用情况：怀化市第二中学2021年度年初预算专项经费90.35万元，年底决算90.35.万元（其中使用项目为临聘老师工资，保安工资）。</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三、政府性基金预算支出情况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本单位2021年无政府基金预算支出。</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四、国有资本经营预算支出情况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本单位2021无国有资本经营预算支出。</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五、社会保险基金预算支出情况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本单位2021年无社会保险基金预算支出。</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六、部门整体支出绩效情况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2021年，怀化市第二中学按照“”四本预算”，确立支出绩效目标，资金到位及时，使用规范的前提下，使用过程公开透明，确保了学校营养午餐的正常开支，学生家长较为满意整体支出绩效较好。</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七、存在的问题及原因分析</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存在的问题及原因分析：2021年财务工作在“科学、规范、精细”方面离上级要求还存在一定差距，预算编制的科学性、预算执行进度、信息化建设、绩效管理等方面还还存在着不合理性，使得工作有时没有完全符合上级部门的精神，步伐没有及时跟进。</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八、下一步改进措施</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 我校在预算绩效管理方面离上级的要求还有一段差距，整体支出绩效报告也是在初步摸索的过程中编制的，需要不断地规范和完善。下一步，我校将科学合理编制预算，严格执行预算.</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2、完善绩效评价体系，加强监督检查和考核工作。</w:t>
      </w:r>
    </w:p>
    <w:p>
      <w:pPr>
        <w:pStyle w:val="11"/>
        <w:widowControl/>
        <w:spacing w:line="600" w:lineRule="exact"/>
        <w:ind w:left="640" w:firstLine="0" w:firstLineChars="0"/>
        <w:rPr>
          <w:rFonts w:hint="eastAsia" w:cs="黑体" w:asciiTheme="minorEastAsia" w:hAnsiTheme="minorEastAsia" w:eastAsiaTheme="minorEastAsia"/>
          <w:b/>
          <w:color w:val="000000"/>
          <w:kern w:val="0"/>
          <w:sz w:val="32"/>
          <w:szCs w:val="32"/>
          <w:lang w:val="en-US" w:eastAsia="zh-CN" w:bidi="ar-SA"/>
        </w:rPr>
      </w:pPr>
      <w:r>
        <w:rPr>
          <w:rFonts w:hint="eastAsia" w:cs="黑体" w:asciiTheme="minorEastAsia" w:hAnsiTheme="minorEastAsia" w:eastAsiaTheme="minorEastAsia"/>
          <w:b/>
          <w:color w:val="000000"/>
          <w:kern w:val="0"/>
          <w:sz w:val="32"/>
          <w:szCs w:val="32"/>
          <w:lang w:val="en-US" w:eastAsia="zh-CN" w:bidi="ar-SA"/>
        </w:rPr>
        <w:t>九、其他需要说明的情况</w:t>
      </w:r>
    </w:p>
    <w:p>
      <w:pPr>
        <w:pStyle w:val="11"/>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无其他需要说明的情况。</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3A12"/>
    <w:rsid w:val="000273BD"/>
    <w:rsid w:val="000415B7"/>
    <w:rsid w:val="00041E3F"/>
    <w:rsid w:val="00055DAA"/>
    <w:rsid w:val="00061F7B"/>
    <w:rsid w:val="000658A3"/>
    <w:rsid w:val="00074155"/>
    <w:rsid w:val="00081AF1"/>
    <w:rsid w:val="000873EF"/>
    <w:rsid w:val="00090F54"/>
    <w:rsid w:val="00095F66"/>
    <w:rsid w:val="000A3F69"/>
    <w:rsid w:val="000B46D9"/>
    <w:rsid w:val="000B6518"/>
    <w:rsid w:val="000D69F6"/>
    <w:rsid w:val="000D7CAA"/>
    <w:rsid w:val="00103957"/>
    <w:rsid w:val="00103E10"/>
    <w:rsid w:val="00124A1F"/>
    <w:rsid w:val="0012501A"/>
    <w:rsid w:val="0013244E"/>
    <w:rsid w:val="00133FF8"/>
    <w:rsid w:val="00135CAE"/>
    <w:rsid w:val="00152C6D"/>
    <w:rsid w:val="00162D39"/>
    <w:rsid w:val="001678BD"/>
    <w:rsid w:val="00177716"/>
    <w:rsid w:val="00182373"/>
    <w:rsid w:val="00182B50"/>
    <w:rsid w:val="001A67DB"/>
    <w:rsid w:val="001A7E7C"/>
    <w:rsid w:val="001C3C29"/>
    <w:rsid w:val="001D51E5"/>
    <w:rsid w:val="001E080D"/>
    <w:rsid w:val="001E53D0"/>
    <w:rsid w:val="001E64B7"/>
    <w:rsid w:val="001F0C3B"/>
    <w:rsid w:val="00202C14"/>
    <w:rsid w:val="00202C82"/>
    <w:rsid w:val="00214427"/>
    <w:rsid w:val="00220AF1"/>
    <w:rsid w:val="00226CB7"/>
    <w:rsid w:val="00232E55"/>
    <w:rsid w:val="00245571"/>
    <w:rsid w:val="00254241"/>
    <w:rsid w:val="00264552"/>
    <w:rsid w:val="00264EF9"/>
    <w:rsid w:val="00265724"/>
    <w:rsid w:val="002657FE"/>
    <w:rsid w:val="0027254E"/>
    <w:rsid w:val="00272A94"/>
    <w:rsid w:val="0027426B"/>
    <w:rsid w:val="002A1B24"/>
    <w:rsid w:val="002C67DD"/>
    <w:rsid w:val="002D5318"/>
    <w:rsid w:val="002E0A30"/>
    <w:rsid w:val="002F53BB"/>
    <w:rsid w:val="00312854"/>
    <w:rsid w:val="003130C4"/>
    <w:rsid w:val="00316C4B"/>
    <w:rsid w:val="0032192B"/>
    <w:rsid w:val="00327823"/>
    <w:rsid w:val="00327FFA"/>
    <w:rsid w:val="003408EB"/>
    <w:rsid w:val="003479BD"/>
    <w:rsid w:val="00367F9C"/>
    <w:rsid w:val="0037197D"/>
    <w:rsid w:val="00371F95"/>
    <w:rsid w:val="003768D5"/>
    <w:rsid w:val="00384AD4"/>
    <w:rsid w:val="00391578"/>
    <w:rsid w:val="00393C37"/>
    <w:rsid w:val="003A0B97"/>
    <w:rsid w:val="003A2E80"/>
    <w:rsid w:val="003C4197"/>
    <w:rsid w:val="003C47E6"/>
    <w:rsid w:val="003C4FC2"/>
    <w:rsid w:val="003D0331"/>
    <w:rsid w:val="003E2331"/>
    <w:rsid w:val="003F09E1"/>
    <w:rsid w:val="003F19F6"/>
    <w:rsid w:val="004077C0"/>
    <w:rsid w:val="00416E61"/>
    <w:rsid w:val="00422DC4"/>
    <w:rsid w:val="0042790C"/>
    <w:rsid w:val="00441008"/>
    <w:rsid w:val="004506F9"/>
    <w:rsid w:val="00452E9A"/>
    <w:rsid w:val="004717A2"/>
    <w:rsid w:val="00473DF3"/>
    <w:rsid w:val="00477986"/>
    <w:rsid w:val="00487911"/>
    <w:rsid w:val="00491741"/>
    <w:rsid w:val="00497300"/>
    <w:rsid w:val="004B0C8D"/>
    <w:rsid w:val="004B0CEE"/>
    <w:rsid w:val="004B69AD"/>
    <w:rsid w:val="004C2BCE"/>
    <w:rsid w:val="004E0DDA"/>
    <w:rsid w:val="004E20A1"/>
    <w:rsid w:val="004E71CA"/>
    <w:rsid w:val="004F7926"/>
    <w:rsid w:val="00500E5F"/>
    <w:rsid w:val="005122EF"/>
    <w:rsid w:val="0051441A"/>
    <w:rsid w:val="00517C33"/>
    <w:rsid w:val="00517D5F"/>
    <w:rsid w:val="00521AF2"/>
    <w:rsid w:val="00523644"/>
    <w:rsid w:val="005302D3"/>
    <w:rsid w:val="0054069E"/>
    <w:rsid w:val="00544866"/>
    <w:rsid w:val="005767CC"/>
    <w:rsid w:val="00590D9F"/>
    <w:rsid w:val="00595D26"/>
    <w:rsid w:val="00596343"/>
    <w:rsid w:val="005A74E6"/>
    <w:rsid w:val="005B404E"/>
    <w:rsid w:val="005D4D55"/>
    <w:rsid w:val="005E05B1"/>
    <w:rsid w:val="005E2BCC"/>
    <w:rsid w:val="005E2CFB"/>
    <w:rsid w:val="005E5EA4"/>
    <w:rsid w:val="005F2103"/>
    <w:rsid w:val="005F3D1C"/>
    <w:rsid w:val="0060317E"/>
    <w:rsid w:val="00611D0C"/>
    <w:rsid w:val="006128CD"/>
    <w:rsid w:val="006175DE"/>
    <w:rsid w:val="0062378F"/>
    <w:rsid w:val="006315A1"/>
    <w:rsid w:val="00641842"/>
    <w:rsid w:val="00651EEC"/>
    <w:rsid w:val="00677DC8"/>
    <w:rsid w:val="00683D5A"/>
    <w:rsid w:val="0068607F"/>
    <w:rsid w:val="00686673"/>
    <w:rsid w:val="00687A54"/>
    <w:rsid w:val="00691E8C"/>
    <w:rsid w:val="006A22C4"/>
    <w:rsid w:val="006A2B60"/>
    <w:rsid w:val="006A348B"/>
    <w:rsid w:val="006A351B"/>
    <w:rsid w:val="006B0422"/>
    <w:rsid w:val="006B0ECC"/>
    <w:rsid w:val="006C1B53"/>
    <w:rsid w:val="006D7730"/>
    <w:rsid w:val="006D7D5B"/>
    <w:rsid w:val="006E5284"/>
    <w:rsid w:val="006F084B"/>
    <w:rsid w:val="006F2E81"/>
    <w:rsid w:val="006F3EB5"/>
    <w:rsid w:val="006F6E93"/>
    <w:rsid w:val="00702E34"/>
    <w:rsid w:val="00703928"/>
    <w:rsid w:val="00704395"/>
    <w:rsid w:val="00710FE7"/>
    <w:rsid w:val="00717621"/>
    <w:rsid w:val="00720FF1"/>
    <w:rsid w:val="00725530"/>
    <w:rsid w:val="00727A53"/>
    <w:rsid w:val="00735AEF"/>
    <w:rsid w:val="0076627B"/>
    <w:rsid w:val="00767FBF"/>
    <w:rsid w:val="00771860"/>
    <w:rsid w:val="00787B42"/>
    <w:rsid w:val="007C4539"/>
    <w:rsid w:val="007F3657"/>
    <w:rsid w:val="0080432A"/>
    <w:rsid w:val="00812ED5"/>
    <w:rsid w:val="00823B6C"/>
    <w:rsid w:val="008277D9"/>
    <w:rsid w:val="0084478C"/>
    <w:rsid w:val="0086638C"/>
    <w:rsid w:val="0086745C"/>
    <w:rsid w:val="00896B37"/>
    <w:rsid w:val="008A3E8D"/>
    <w:rsid w:val="008A5384"/>
    <w:rsid w:val="008D0352"/>
    <w:rsid w:val="009237C4"/>
    <w:rsid w:val="00944C48"/>
    <w:rsid w:val="00950252"/>
    <w:rsid w:val="00952B5F"/>
    <w:rsid w:val="00966747"/>
    <w:rsid w:val="00967F5D"/>
    <w:rsid w:val="00983E24"/>
    <w:rsid w:val="009A0F95"/>
    <w:rsid w:val="009B3ADF"/>
    <w:rsid w:val="009C3B52"/>
    <w:rsid w:val="009E6817"/>
    <w:rsid w:val="009E6E9A"/>
    <w:rsid w:val="00A01D2B"/>
    <w:rsid w:val="00A15314"/>
    <w:rsid w:val="00A21365"/>
    <w:rsid w:val="00A26165"/>
    <w:rsid w:val="00A37EC9"/>
    <w:rsid w:val="00A42218"/>
    <w:rsid w:val="00A534D7"/>
    <w:rsid w:val="00A70249"/>
    <w:rsid w:val="00A70B02"/>
    <w:rsid w:val="00A71D9F"/>
    <w:rsid w:val="00A86BA5"/>
    <w:rsid w:val="00A92E9F"/>
    <w:rsid w:val="00AC2F28"/>
    <w:rsid w:val="00AD5AC2"/>
    <w:rsid w:val="00AE1B53"/>
    <w:rsid w:val="00B00049"/>
    <w:rsid w:val="00B07D0E"/>
    <w:rsid w:val="00B15FEC"/>
    <w:rsid w:val="00B33BEA"/>
    <w:rsid w:val="00B42C25"/>
    <w:rsid w:val="00B43F86"/>
    <w:rsid w:val="00B57C9F"/>
    <w:rsid w:val="00B63572"/>
    <w:rsid w:val="00B676DC"/>
    <w:rsid w:val="00B779F4"/>
    <w:rsid w:val="00B845B3"/>
    <w:rsid w:val="00B85D8B"/>
    <w:rsid w:val="00BB2339"/>
    <w:rsid w:val="00BB4A40"/>
    <w:rsid w:val="00BC54A1"/>
    <w:rsid w:val="00BD6C3E"/>
    <w:rsid w:val="00BE3674"/>
    <w:rsid w:val="00BE4569"/>
    <w:rsid w:val="00C10681"/>
    <w:rsid w:val="00C3049A"/>
    <w:rsid w:val="00C31B1E"/>
    <w:rsid w:val="00C379B1"/>
    <w:rsid w:val="00C442C8"/>
    <w:rsid w:val="00C77645"/>
    <w:rsid w:val="00C93E01"/>
    <w:rsid w:val="00C93E9C"/>
    <w:rsid w:val="00C96E6E"/>
    <w:rsid w:val="00CB09EC"/>
    <w:rsid w:val="00CD0B86"/>
    <w:rsid w:val="00CE04C3"/>
    <w:rsid w:val="00CE76A0"/>
    <w:rsid w:val="00D148C6"/>
    <w:rsid w:val="00D1650A"/>
    <w:rsid w:val="00D17A8A"/>
    <w:rsid w:val="00D204AD"/>
    <w:rsid w:val="00D205B4"/>
    <w:rsid w:val="00D21ED5"/>
    <w:rsid w:val="00D415BA"/>
    <w:rsid w:val="00D63780"/>
    <w:rsid w:val="00D644EE"/>
    <w:rsid w:val="00D718D0"/>
    <w:rsid w:val="00D75489"/>
    <w:rsid w:val="00DA0C65"/>
    <w:rsid w:val="00DD06FF"/>
    <w:rsid w:val="00DD3A35"/>
    <w:rsid w:val="00DD5FE9"/>
    <w:rsid w:val="00DE326A"/>
    <w:rsid w:val="00E00C7A"/>
    <w:rsid w:val="00E209CF"/>
    <w:rsid w:val="00E27501"/>
    <w:rsid w:val="00E364B4"/>
    <w:rsid w:val="00E37D6C"/>
    <w:rsid w:val="00E443D2"/>
    <w:rsid w:val="00E47838"/>
    <w:rsid w:val="00E55B68"/>
    <w:rsid w:val="00E67BE6"/>
    <w:rsid w:val="00E841D9"/>
    <w:rsid w:val="00E8683C"/>
    <w:rsid w:val="00EA23B9"/>
    <w:rsid w:val="00EA2B72"/>
    <w:rsid w:val="00EC53EE"/>
    <w:rsid w:val="00EC5D06"/>
    <w:rsid w:val="00ED1B32"/>
    <w:rsid w:val="00EF3FD0"/>
    <w:rsid w:val="00EF4BC7"/>
    <w:rsid w:val="00F31C7E"/>
    <w:rsid w:val="00F511B7"/>
    <w:rsid w:val="00F5568F"/>
    <w:rsid w:val="00F74360"/>
    <w:rsid w:val="00F80B18"/>
    <w:rsid w:val="00F85184"/>
    <w:rsid w:val="00F86447"/>
    <w:rsid w:val="00FA6781"/>
    <w:rsid w:val="00FB462F"/>
    <w:rsid w:val="00FD01E4"/>
    <w:rsid w:val="00FE16FA"/>
    <w:rsid w:val="00FE328A"/>
    <w:rsid w:val="00FE6269"/>
    <w:rsid w:val="00FF5CD6"/>
    <w:rsid w:val="1B806224"/>
    <w:rsid w:val="348674BC"/>
    <w:rsid w:val="48FA3ACB"/>
    <w:rsid w:val="622B52CA"/>
    <w:rsid w:val="62664C78"/>
    <w:rsid w:val="711209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55456-EB80-4E9D-A4FC-896A11750BC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1007</Words>
  <Characters>5743</Characters>
  <Lines>47</Lines>
  <Paragraphs>13</Paragraphs>
  <TotalTime>0</TotalTime>
  <ScaleCrop>false</ScaleCrop>
  <LinksUpToDate>false</LinksUpToDate>
  <CharactersWithSpaces>6737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2022-09-09T04:36:00Z</dcterms:created>
  <dc:creator>李航 null</dc:creator>
  <cp:lastModifiedBy>yanyan小朋友 </cp:lastModifiedBy>
  <cp:lastPrinted>2022-07-27T12:55:00Z</cp:lastPrinted>
  <dcterms:modified xsi:type="dcterms:W3CDTF">2023-09-27T18:45:00Z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1D6D34F29AA64890BB35D2E4EFC47E59_12</vt:lpwstr>
  </property>
</Properties>
</file>