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怀化市鹤城区委网络安全和信息化委员会</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both"/>
        <w:rPr>
          <w:sz w:val="56"/>
          <w:szCs w:val="56"/>
        </w:rPr>
      </w:pPr>
    </w:p>
    <w:p>
      <w:pPr>
        <w:pStyle w:val="11"/>
        <w:spacing w:line="540" w:lineRule="exact"/>
        <w:jc w:val="both"/>
        <w:rPr>
          <w:sz w:val="56"/>
          <w:szCs w:val="56"/>
        </w:rPr>
      </w:pPr>
    </w:p>
    <w:p>
      <w:pPr>
        <w:pStyle w:val="11"/>
        <w:spacing w:line="540" w:lineRule="exact"/>
        <w:jc w:val="both"/>
        <w:rPr>
          <w:sz w:val="56"/>
          <w:szCs w:val="56"/>
        </w:rPr>
      </w:pPr>
    </w:p>
    <w:p>
      <w:pPr>
        <w:pStyle w:val="11"/>
        <w:spacing w:line="540" w:lineRule="exact"/>
        <w:jc w:val="both"/>
        <w:rPr>
          <w:sz w:val="56"/>
          <w:szCs w:val="56"/>
        </w:rPr>
      </w:pPr>
    </w:p>
    <w:p>
      <w:pPr>
        <w:pStyle w:val="11"/>
        <w:spacing w:line="540" w:lineRule="exact"/>
        <w:jc w:val="both"/>
        <w:rPr>
          <w:sz w:val="56"/>
          <w:szCs w:val="56"/>
        </w:rPr>
      </w:pPr>
    </w:p>
    <w:p>
      <w:pPr>
        <w:pStyle w:val="11"/>
        <w:spacing w:line="500" w:lineRule="exact"/>
        <w:jc w:val="both"/>
        <w:rPr>
          <w:b/>
          <w:sz w:val="36"/>
          <w:szCs w:val="28"/>
        </w:rPr>
      </w:pPr>
    </w:p>
    <w:p>
      <w:pPr>
        <w:rPr>
          <w:rFonts w:hint="eastAsia"/>
          <w:b/>
          <w:sz w:val="36"/>
          <w:szCs w:val="28"/>
        </w:rPr>
      </w:pPr>
      <w:r>
        <w:rPr>
          <w:rFonts w:hint="eastAsia"/>
          <w:b/>
          <w:sz w:val="36"/>
          <w:szCs w:val="28"/>
        </w:rPr>
        <w:br w:type="page"/>
      </w: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第一部分怀化市鹤城区委网络安全和信息化委员会单位概况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2021</w:t>
      </w:r>
      <w:r>
        <w:rPr>
          <w:rFonts w:hint="eastAsia" w:hAnsi="仿宋_GB2312"/>
          <w:b/>
          <w:sz w:val="28"/>
          <w:szCs w:val="28"/>
        </w:rPr>
        <w:t>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2021</w:t>
      </w:r>
      <w:r>
        <w:rPr>
          <w:rFonts w:hint="eastAsia" w:hAnsi="仿宋_GB2312"/>
          <w:b/>
          <w:sz w:val="28"/>
          <w:szCs w:val="28"/>
        </w:rPr>
        <w:t>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cs="仿宋_GB2312" w:asciiTheme="minorEastAsia" w:hAnsiTheme="minorEastAsia" w:eastAsiaTheme="minorEastAsia"/>
          <w:sz w:val="28"/>
          <w:szCs w:val="28"/>
        </w:rPr>
        <w:t>“三公”</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lang w:eastAsia="zh-CN"/>
        </w:rPr>
        <w:t>怀化市鹤城区委网络安全和信息化委员会</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r>
        <w:rPr>
          <w:sz w:val="72"/>
          <w:szCs w:val="72"/>
        </w:rPr>
        <w:br w:type="page"/>
      </w: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pPr>
        <w:pStyle w:val="11"/>
        <w:spacing w:line="520" w:lineRule="exact"/>
        <w:rPr>
          <w:rFonts w:hAnsi="黑体"/>
          <w:bCs/>
          <w:color w:val="auto"/>
          <w:sz w:val="32"/>
          <w:szCs w:val="32"/>
        </w:rPr>
      </w:pPr>
      <w:r>
        <w:rPr>
          <w:rFonts w:hint="eastAsia" w:hAnsi="黑体"/>
          <w:bCs/>
          <w:color w:val="auto"/>
          <w:sz w:val="32"/>
          <w:szCs w:val="32"/>
        </w:rPr>
        <w:t>二、机构设置及决算单位构成</w:t>
      </w:r>
    </w:p>
    <w:p>
      <w:pPr>
        <w:ind w:firstLine="640" w:firstLineChars="200"/>
        <w:rPr>
          <w:rFonts w:cs="仿宋_GB2312" w:asciiTheme="minorEastAsia" w:hAnsiTheme="minorEastAsia"/>
          <w:kern w:val="0"/>
          <w:sz w:val="28"/>
          <w:szCs w:val="28"/>
        </w:rPr>
      </w:pPr>
      <w:r>
        <w:rPr>
          <w:rFonts w:hint="eastAsia" w:asciiTheme="minorEastAsia" w:hAnsiTheme="minorEastAsia"/>
          <w:bCs/>
          <w:kern w:val="0"/>
          <w:sz w:val="32"/>
          <w:szCs w:val="32"/>
        </w:rPr>
        <w:t>（一）内设机构设置。机关行政编制6名，设主任1名，副主任1名，内设3</w:t>
      </w:r>
      <w:r>
        <w:rPr>
          <w:rFonts w:hint="eastAsia" w:cs="仿宋_GB2312" w:asciiTheme="minorEastAsia" w:hAnsiTheme="minorEastAsia"/>
          <w:kern w:val="0"/>
          <w:sz w:val="28"/>
          <w:szCs w:val="28"/>
        </w:rPr>
        <w:t>个股室（</w:t>
      </w:r>
      <w:r>
        <w:rPr>
          <w:rFonts w:hint="eastAsia" w:cs="仿宋_GB2312" w:asciiTheme="minorEastAsia" w:hAnsiTheme="minorEastAsia"/>
          <w:kern w:val="0"/>
          <w:sz w:val="32"/>
          <w:szCs w:val="32"/>
        </w:rPr>
        <w:t>综合股、网络安全与信息发展股、网络传播与舆情信息股</w:t>
      </w:r>
      <w:r>
        <w:rPr>
          <w:rFonts w:hint="eastAsia" w:cs="仿宋_GB2312" w:asciiTheme="minorEastAsia" w:hAnsiTheme="minorEastAsia"/>
          <w:kern w:val="0"/>
          <w:sz w:val="28"/>
          <w:szCs w:val="28"/>
        </w:rPr>
        <w:t>）。</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怀化市鹤城区委网络安全和信息化委员会</w:t>
      </w:r>
      <w:r>
        <w:rPr>
          <w:rFonts w:hint="eastAsia" w:asciiTheme="minorEastAsia" w:hAnsiTheme="minorEastAsia"/>
          <w:bCs/>
          <w:kern w:val="0"/>
          <w:sz w:val="32"/>
          <w:szCs w:val="32"/>
        </w:rPr>
        <w:t>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21年部门决算汇总公开单位构成包括单位本级。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2021</w:t>
      </w:r>
      <w:r>
        <w:rPr>
          <w:rFonts w:hint="eastAsia"/>
          <w:sz w:val="70"/>
          <w:szCs w:val="70"/>
        </w:rPr>
        <w:t>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2021年度收入合计189.05万元。与上年相比，增加90.66万元，增长92.14%，主要是因为人员经费增加，及专项工作经费增加。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2021年度支出合计189.05万元。与上年相比，增加90.66万元，增长92.14%，主要是因为人员支出增加，及专项工作支出增加。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本年收入合计189.05万元，其中：财政拨款收入189.05万元，占100%；上级补助收入0万元，占0%；事业收入0万元，占0%；经营收入0万元，占0%；附属单位上缴收入0万元，占0%；其他收入0万元，占0%。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本年支出合计189.05万元，其中：基本支出94.05万元，占49.75%；项目支出95万元，占50.25%；上缴上级支出0万元，占0%；经营支出0万元，占0%；对附属单位补助支出0万元，占0%。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2021年度财政拨款收入总计189.05万元。与上年相比，增加90.66万元，增长92.14%，主要是因为人员经费增加，及专项工作经费增加。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2021年度财政拨款支出总计189.05万元</w:t>
      </w: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。与上年相比，增加90.66万元，增长92.14%，主要是因为人员支出增加，及专项工作支出增加。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2021年度财政拨款支出189.05万元，占本年支出合计的100%，与上年相比，财政拨款支出增加90.66万元，增长92.14%，主要是因为人员支出增加，及专项工作支出增加。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color w:val="000000"/>
          <w:sz w:val="32"/>
          <w:szCs w:val="32"/>
        </w:rPr>
        <w:t>（二）财政拨款支出决算结构情况</w:t>
      </w:r>
    </w:p>
    <w:p>
      <w:pPr>
        <w:pStyle w:val="11"/>
        <w:ind w:firstLine="640" w:firstLineChars="200"/>
        <w:jc w:val="both"/>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189.05万元，主要用于以下方面：一般公共服务（类）支出175.13万元，占92.64%；社会保障和就业支出（类）支出6.85万元，占3.62%；卫生健康支出（类）支出2.83万元，占1.5%；住房保障支出住房保障支出（类）4.24万元，占2.24%</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2021年度财政拨款支出年初预算数为182.18万元，支出决算数</w:t>
      </w:r>
      <w:r>
        <w:rPr>
          <w:rFonts w:hint="eastAsia" w:asciiTheme="minorEastAsia" w:hAnsiTheme="minorEastAsia" w:eastAsiaTheme="minorEastAsia"/>
          <w:sz w:val="32"/>
          <w:szCs w:val="32"/>
          <w:lang w:val="en-US" w:eastAsia="zh-CN"/>
        </w:rPr>
        <w:t>为</w:t>
      </w:r>
      <w:r>
        <w:rPr>
          <w:rFonts w:hint="eastAsia" w:asciiTheme="minorEastAsia" w:hAnsiTheme="minorEastAsia" w:eastAsiaTheme="minorEastAsia"/>
          <w:sz w:val="32"/>
          <w:szCs w:val="32"/>
        </w:rPr>
        <w:t>189.05万元，完成年初预算的103.77%，其中：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1、一般公共服务（类）网信事务（款）行政运行（项）。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年初预算为168.26万元，支出决算为80.13万元，完成年初预算的47.62%，决算数小于年初预算数的主要原因是：预算的功能代码与财政下指标的功能代码不一样，导致决算与预算功能科目金额不一样。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2、一般公共服务（类）网信事务（款）一般行政管理事务（项）。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年初预算为0万元，支出决算为95万元，年初预算为0万元，无法计算完成比率，决算数大于年初预算数的主要原因是：预算的功能代码与财政下指标的功能代码不一样，导致决算与预算功能科目金额不一样。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年初预算为5.65万元，支出决算为6.85万元，完成年初预算的121.24%，决算数大于年初预算数的主要原因是：人员增加，缴费支出增加。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4、卫生健康支出（类）行政事业单位医疗（款）行政单位医疗（项）。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年初预算为2.83万元，支出决算为2.83万元，完成年初预算的100%。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年初预算为4.24万元，支出决算为4.24万元，完成年初预算的100%。</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94.05万元，其中：人员经费66.95万元，占基本支出的71.19%,主要包括基本工资、津贴补贴、奖金、伙食补助费机关事业单位基本养老保险缴费、职工基本医疗保险缴费、其他社会保障缴费、其他工资福利支出、生活补助；公用经费27.1万元，占基本支出的28.81%，主要包括办公费、印刷费、咨询费、水费、电费、工会经费、福利费、其他交通费用。</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“三公”经费财政拨款支出预算为0万元，支出决算为0万元，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color w:val="000000"/>
          <w:sz w:val="32"/>
          <w:szCs w:val="32"/>
        </w:rPr>
        <w:t>由于预算数为0，无法计算百分比，与</w:t>
      </w:r>
      <w:r>
        <w:rPr>
          <w:rFonts w:hint="eastAsia" w:asciiTheme="minorEastAsia" w:hAnsiTheme="minorEastAsia" w:eastAsiaTheme="minorEastAsia"/>
          <w:sz w:val="32"/>
          <w:szCs w:val="32"/>
        </w:rPr>
        <w:t>上年相比一致。</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sz w:val="32"/>
          <w:szCs w:val="32"/>
        </w:rPr>
        <w:t>与上年相比一致。</w:t>
      </w:r>
    </w:p>
    <w:p>
      <w:pPr>
        <w:pStyle w:val="11"/>
        <w:ind w:firstLine="800" w:firstLineChars="250"/>
        <w:rPr>
          <w:rFonts w:hint="eastAsia" w:asciiTheme="minorEastAsia" w:hAnsiTheme="minorEastAsia" w:eastAsiaTheme="minorEastAsia"/>
          <w:sz w:val="32"/>
          <w:szCs w:val="32"/>
        </w:rPr>
      </w:pPr>
      <w:bookmarkStart w:id="0" w:name="_GoBack"/>
      <w:r>
        <w:rPr>
          <w:rFonts w:hint="eastAsia" w:asciiTheme="minorEastAsia" w:hAnsiTheme="minorEastAsia" w:eastAsiaTheme="minorEastAsia"/>
          <w:sz w:val="32"/>
          <w:szCs w:val="32"/>
        </w:rPr>
        <w:t>公务用车购置费支出预算为0万元，支出决算为0万元，年初预算为0万元，无法计算完成比率，与上年相比一致。</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sz w:val="32"/>
          <w:szCs w:val="32"/>
        </w:rPr>
        <w:t>与上年相比一致。</w:t>
      </w:r>
    </w:p>
    <w:bookmarkEnd w:id="0"/>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640" w:firstLineChars="20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2、公务接待费支出决算为0万元，全年共接待来访团组0个、来宾0人次，主要是没有发生的接待支出。</w:t>
      </w:r>
    </w:p>
    <w:p>
      <w:pPr>
        <w:pStyle w:val="11"/>
        <w:ind w:firstLine="640" w:firstLineChars="200"/>
        <w:rPr>
          <w:rFonts w:cs="黑体" w:asciiTheme="minorEastAsia" w:hAnsiTheme="minorEastAsia"/>
          <w:color w:val="000000"/>
          <w:kern w:val="0"/>
          <w:sz w:val="32"/>
          <w:szCs w:val="32"/>
        </w:rPr>
      </w:pPr>
      <w:r>
        <w:rPr>
          <w:rFonts w:hint="eastAsia" w:asciiTheme="minorEastAsia" w:hAnsiTheme="minorEastAsia" w:eastAsiaTheme="minorEastAsia"/>
          <w:color w:val="000000"/>
          <w:sz w:val="32"/>
          <w:szCs w:val="32"/>
        </w:rPr>
        <w:t>3、公务用车购置费及运行维护费支出决算为0万元，其中：公务用车购置费0万元，单位本级更新公务用车0辆。公务用车运行维护费0万元，，</w:t>
      </w:r>
      <w:r>
        <w:rPr>
          <w:rFonts w:hint="eastAsia" w:asciiTheme="minorEastAsia" w:hAnsiTheme="minorEastAsia" w:eastAsiaTheme="minorEastAsia"/>
          <w:color w:val="000000"/>
          <w:sz w:val="32"/>
          <w:szCs w:val="32"/>
          <w:lang w:eastAsia="zh-CN"/>
        </w:rPr>
        <w:t>截至2021年</w:t>
      </w:r>
      <w:r>
        <w:rPr>
          <w:rFonts w:hint="eastAsia" w:asciiTheme="minorEastAsia" w:hAnsiTheme="minorEastAsia" w:eastAsiaTheme="minorEastAsia"/>
          <w:color w:val="000000"/>
          <w:sz w:val="32"/>
          <w:szCs w:val="32"/>
        </w:rPr>
        <w:t>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color w:val="000000"/>
          <w:sz w:val="32"/>
          <w:szCs w:val="32"/>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本部门2021年度机关运行经费支出27.1万元，比上年决算数增加17万元，增长168.31%。主要原因是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人员增加。</w:t>
      </w:r>
    </w:p>
    <w:p>
      <w:pPr>
        <w:pStyle w:val="11"/>
        <w:rPr>
          <w:rFonts w:hAnsi="黑体"/>
          <w:b/>
          <w:sz w:val="32"/>
          <w:szCs w:val="32"/>
        </w:rPr>
      </w:pPr>
      <w:r>
        <w:rPr>
          <w:rFonts w:hint="eastAsia" w:hAnsi="黑体"/>
          <w:b/>
          <w:sz w:val="32"/>
          <w:szCs w:val="32"/>
        </w:rPr>
        <w:t>十一、一般性支出情况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2021年本部门开支会议费0万元，用于召开0会议，人数0人，内容为无；开支培训费0万元，用于开展0培训，人数0人，内容为无；举办0场节庆、晚会、论坛、赛事等活动，开支0万元。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万元、政府采购工程支出0万元、政府采购服务支出0万元。授予中小企业合同金额0万元，占政府采购支出总额的0%，其中：授予小微企业合同金额0万元，占政府采购支出总额的0%。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w:t>
      </w:r>
      <w:r>
        <w:rPr>
          <w:rFonts w:hint="eastAsia" w:hAnsi="黑体"/>
          <w:b/>
          <w:sz w:val="32"/>
          <w:szCs w:val="32"/>
          <w:lang w:val="en-US" w:eastAsia="zh-CN"/>
        </w:rPr>
        <w:t>四</w:t>
      </w:r>
      <w:r>
        <w:rPr>
          <w:rFonts w:hint="eastAsia" w:hAnsi="黑体"/>
          <w:b/>
          <w:sz w:val="32"/>
          <w:szCs w:val="32"/>
        </w:rPr>
        <w:t>、2021年度预算绩效情况的说明</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本部门预算绩效管理开展情况、绩效目标和绩效评价报告另行公开</w:t>
      </w:r>
    </w:p>
    <w:p>
      <w:pPr>
        <w:pStyle w:val="11"/>
        <w:rPr>
          <w:rFonts w:hAnsi="黑体"/>
          <w:b/>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hint="eastAsia" w:cs="黑体" w:asciiTheme="minorEastAsia" w:hAnsiTheme="minorEastAsia" w:eastAsiaTheme="minorEastAsia"/>
          <w:color w:val="000000"/>
          <w:kern w:val="0"/>
          <w:sz w:val="32"/>
          <w:szCs w:val="32"/>
          <w:lang w:val="en-US" w:eastAsia="zh-CN" w:bidi="ar-SA"/>
        </w:rPr>
      </w:pPr>
      <w:r>
        <w:rPr>
          <w:rFonts w:ascii="黑体" w:eastAsia="黑体" w:cs="黑体"/>
          <w:color w:val="000000"/>
          <w:kern w:val="0"/>
          <w:sz w:val="70"/>
          <w:szCs w:val="70"/>
        </w:rPr>
        <w:br w:type="page"/>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800" w:firstLineChars="200"/>
        <w:jc w:val="center"/>
        <w:rPr>
          <w:rFonts w:eastAsia="方正小标宋_GBK"/>
          <w:sz w:val="32"/>
          <w:szCs w:val="32"/>
        </w:rPr>
      </w:pPr>
      <w:r>
        <w:rPr>
          <w:rFonts w:hint="eastAsia" w:cs="黑体" w:asciiTheme="minorEastAsia" w:hAnsiTheme="minorEastAsia"/>
          <w:b/>
          <w:color w:val="000000"/>
          <w:kern w:val="0"/>
          <w:sz w:val="40"/>
          <w:szCs w:val="40"/>
        </w:rPr>
        <w:t>2021年度部门整体支出绩效评价报告</w:t>
      </w:r>
    </w:p>
    <w:p>
      <w:pPr>
        <w:pStyle w:val="12"/>
        <w:widowControl/>
        <w:numPr>
          <w:ilvl w:val="0"/>
          <w:numId w:val="0"/>
        </w:numPr>
        <w:spacing w:line="600" w:lineRule="exact"/>
        <w:ind w:left="640" w:leftChars="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一、部门、单位基本情况</w:t>
      </w:r>
    </w:p>
    <w:p>
      <w:pPr>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pPr>
        <w:spacing w:line="560" w:lineRule="exact"/>
        <w:ind w:firstLine="640" w:firstLineChars="20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（二）机构设置情况</w:t>
      </w:r>
    </w:p>
    <w:p>
      <w:pPr>
        <w:pStyle w:val="12"/>
        <w:widowControl/>
        <w:spacing w:line="600" w:lineRule="exact"/>
        <w:ind w:left="640" w:firstLine="0" w:firstLineChars="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怀化市鹤城区委网络安全和信息化委员会作为一级部门预算单位，机关行政编制6名，设主任1名，副主任1名，内设2个股室。</w:t>
      </w:r>
    </w:p>
    <w:p>
      <w:pPr>
        <w:pStyle w:val="12"/>
        <w:widowControl/>
        <w:spacing w:line="600" w:lineRule="exac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二、一般公共预算支出情况</w:t>
      </w:r>
    </w:p>
    <w:p>
      <w:pPr>
        <w:pStyle w:val="12"/>
        <w:widowControl/>
        <w:spacing w:line="600" w:lineRule="exact"/>
        <w:ind w:left="640" w:firstLine="0" w:firstLineChars="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（一）基本支出情况</w:t>
      </w:r>
    </w:p>
    <w:p>
      <w:pPr>
        <w:pStyle w:val="12"/>
        <w:widowControl/>
        <w:spacing w:line="600" w:lineRule="exact"/>
        <w:ind w:firstLine="64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2021年度一般公共预算支出189.05万元，主要用于以下方面：一般公共服务（类）支出175.13万元，占92.64%，社会保障和就业支出6.85万元，占3.62%;卫生健康支出2.83万元，占1.5%;住房保障支出4.24万元，占2.24%。</w:t>
      </w:r>
    </w:p>
    <w:p>
      <w:pPr>
        <w:pStyle w:val="12"/>
        <w:widowControl/>
        <w:spacing w:line="600" w:lineRule="exact"/>
        <w:ind w:left="640" w:firstLine="0" w:firstLineChars="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（二）项目支出情况</w:t>
      </w:r>
    </w:p>
    <w:p>
      <w:pPr>
        <w:pStyle w:val="12"/>
        <w:widowControl/>
        <w:spacing w:line="600" w:lineRule="exact"/>
        <w:ind w:firstLine="64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度专项资金安排和使用管理情况如下：1、网络舆情监测软件租赁及舆情监测费，年初预算3万元，2021年用于保障网络舆情监测软件租赁及舆情监测；2、网评员工作经费，年初预算30万元，2021年用于保障网评员工作运转经费，实际预算安排支付20万元；3、网络安全和执法工作经费，年初预算10万元，实际预算安排支付0万元；4、网络意识形态工作经费，年初预算20万元，实际预算安排支付0万元；5、网络舆情应急处置工作经费，年初预算10万元，实际预算安排支付0万元；6、网上群众工作平台建设经费，年初预算25万元，实际预算安排支付25万元。</w:t>
      </w:r>
    </w:p>
    <w:p>
      <w:pPr>
        <w:pStyle w:val="12"/>
        <w:widowControl/>
        <w:spacing w:line="600" w:lineRule="exact"/>
        <w:ind w:left="640" w:firstLine="0" w:firstLineChars="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三、政府性基金预算支出情况</w:t>
      </w:r>
    </w:p>
    <w:p>
      <w:pPr>
        <w:pStyle w:val="12"/>
        <w:widowControl/>
        <w:spacing w:line="600" w:lineRule="exact"/>
        <w:ind w:left="640" w:firstLine="0" w:firstLineChars="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本单位2021年度无政府性基金预算支出。</w:t>
      </w:r>
    </w:p>
    <w:p>
      <w:pPr>
        <w:pStyle w:val="12"/>
        <w:widowControl/>
        <w:numPr>
          <w:ilvl w:val="0"/>
          <w:numId w:val="2"/>
        </w:numPr>
        <w:spacing w:line="600" w:lineRule="exact"/>
        <w:ind w:left="640" w:firstLine="0" w:firstLineChars="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国有资本经营预算支出情况</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本单位2021年度无国有资本经营预算支出。</w:t>
      </w:r>
    </w:p>
    <w:p>
      <w:pPr>
        <w:pStyle w:val="12"/>
        <w:widowControl/>
        <w:numPr>
          <w:ilvl w:val="0"/>
          <w:numId w:val="2"/>
        </w:numPr>
        <w:spacing w:line="600" w:lineRule="exact"/>
        <w:ind w:left="640" w:firstLine="0" w:firstLineChars="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社会保险基金预算支出情况</w:t>
      </w:r>
    </w:p>
    <w:p>
      <w:pPr>
        <w:pStyle w:val="12"/>
        <w:widowControl/>
        <w:spacing w:line="600" w:lineRule="exact"/>
        <w:ind w:left="640" w:firstLine="0" w:firstLineChars="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本单位2021年度无社会保障基金预算支出。</w:t>
      </w:r>
    </w:p>
    <w:p>
      <w:pPr>
        <w:widowControl/>
        <w:numPr>
          <w:ilvl w:val="0"/>
          <w:numId w:val="2"/>
        </w:numPr>
        <w:spacing w:line="600" w:lineRule="exact"/>
        <w:ind w:left="64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部门整体支出绩效情况</w:t>
      </w:r>
    </w:p>
    <w:p>
      <w:pPr>
        <w:widowControl/>
        <w:spacing w:line="600" w:lineRule="exact"/>
        <w:ind w:firstLine="640" w:firstLineChars="20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本单位2021年无国有资本经营预算支出、社会保险基金预算支出。部门整体支出充分利用一般公共预算支出，较好的完成了全年绩效工作目标，取得了如下成效：</w:t>
      </w:r>
    </w:p>
    <w:p>
      <w:pPr>
        <w:spacing w:line="620" w:lineRule="exact"/>
        <w:ind w:firstLine="640" w:firstLineChars="20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（一）加强组织保障，夯实网信基础</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区委网信办高度重视网信工作，以落实落细市委“l+6”文件为抓手，深入贯彻网络安全信息化重大决策部署，完善了“书记抓、抓书记，统筹抓、抓统筹”责任落实机制，全面加强党对网信工作的领导。建立健全了“党委领导、宣传网信主责、部门协同、网民参与、区、街道（乡镇）、社区（村）三级联动”的“横向到边、纵向到底”综合治理体系；审议通过了《鹤城区贯彻落实省委网信委&lt;关于加快建立网络综合治理体系的实施意见&gt;重点任务分解清单》《鹤城区党委（党组）网络安全工作责任制考核细则》等文件，厘清权责清单，明确部门责任，推动具体工作有序向前发展。</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对于网络舆情处置，始终按照“第一时间畅通舆情、第一时间作出判断、第一时间正面回应、第一时间引导舆情”的要求，坚持“正能量是总要求，管得住是硬道理，用得好是真本事”的方法论，成立了由区委书记为组长的区委重大突发事件网络舆情处置小组，统筹开展重大突发事件网络舆情处置工作。区委常委、宣传部部长牵头组建工作专班，负责做好舆情监测研判、信息发布、新闻报道、舆论引导、舆情管控等各项工作，统筹抓好网上舆情应对和网下实际问题处置，画好舆情管控应对的最大“同心圆”，合力形成“网上监管引导，网下科学处置”同频共振。</w:t>
      </w:r>
    </w:p>
    <w:p>
      <w:pPr>
        <w:spacing w:line="620" w:lineRule="exact"/>
        <w:ind w:firstLine="640" w:firstLineChars="20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（二）做强网上主流舆论阵地，提高舆论引导能力</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是组建全媒体传播矩阵。全力落实市委网信委通过的《进一步加强“1+2+N”网络传播联盟建设的意见》，通过自主建设和与省、市媒体战略合作，构建了鹤城融媒APP、红网鹤城站、今日头条号等12+域内外传播终端组成的全媒体传播矩阵，提高网上舆论传播引导力、影响力、公信力。围绕庆祝建党一百周年和区委“强工兴旅、产城融合、康养宜居”发展思路，组织网评员转赞评3500条次,网上主流舆论声势强劲。</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二是组建“网队伍”。建立了300多人的规模适度、专兼结合、协同有力、横向到边、纵向到底的网评员及舆情信息员队伍，全方位、多层次的做好舆情监测、处置及引导工作，防止舆情危机的出现和扩大化。</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三是建立网络舆情处置闭环机制。成立了区委书记担任组长的重大突发事件网络舆情应急处置小组，统筹开展重大突发事件网络舆情处置工作，落实网络舆情“区级领导包案制”和“网络舆情销号制”，形成工作闭环。全年共编发《涉鹤舆情快报》518期，《涉鹤舆情专报》31期，领导批示20条，引导处置舆情245件，交办回复网民留言652条，做到了网络舆情网上回复率达100%、网络舆情网下妥处率达100%，确保了网络舆情处置“零失误、零差错、零事故”。</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四是建立健全引导机制。网上敏感热点舆情和突发事件舆论引导机制，充分运用舆情智能监测软件系统、“监督服务微信群”和舆情信息员队伍，不断提升舆情发现力，实行网上网下双向发力，健全依法处置、舆论引导、社会面管控“三同步”应急处置机制，科学有效应对网络舆情。</w:t>
      </w:r>
    </w:p>
    <w:p>
      <w:pPr>
        <w:spacing w:line="620" w:lineRule="exact"/>
        <w:ind w:firstLine="640" w:firstLineChars="200"/>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（三）开展网络空间治理，营造干净清爽的网络环境</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是开展净网、清朗等系列专项行动。联合鹤城公安分局、区市场监管局、区文旅广体局等单位开展打击“网络水军”、网络电信诈骗、网络涉黑涉恶、“清朗·饭圈乱象整治”等信息网络领域系列专项整治行动，清理上报违法违规及负面有害信息1万余条，对微信、微博、抖音等25家自媒体进行摸底排查，申请关闭“僵尸”政务新媒体</w:t>
      </w:r>
      <w:r>
        <w:rPr>
          <w:rFonts w:hint="eastAsia" w:cs="黑体" w:asciiTheme="minorEastAsia" w:hAnsiTheme="minorEastAsia"/>
          <w:color w:val="000000"/>
          <w:kern w:val="0"/>
          <w:sz w:val="32"/>
          <w:szCs w:val="32"/>
          <w:lang w:val="en-US" w:eastAsia="zh-CN" w:bidi="ar-SA"/>
        </w:rPr>
        <w:t>账号</w:t>
      </w:r>
      <w:r>
        <w:rPr>
          <w:rFonts w:hint="eastAsia" w:cs="黑体" w:asciiTheme="minorEastAsia" w:hAnsiTheme="minorEastAsia" w:eastAsiaTheme="minorEastAsia"/>
          <w:color w:val="000000"/>
          <w:kern w:val="0"/>
          <w:sz w:val="32"/>
          <w:szCs w:val="32"/>
          <w:lang w:val="en-US" w:eastAsia="zh-CN" w:bidi="ar-SA"/>
        </w:rPr>
        <w:t>9个，移送黄色网站、赌博网站线索各1件，营造了干净清爽的网络空间环境。</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是不断完善互联网违法和不良信息举报监督体系建设。为进一步落实网信工作职责，成立了区网络安全和信息中心，新增六个事业编制，调入法律、计算机专业等3人，完善了互联网违法和不良信息举报监督体系建设。同时，充分利用舆情处置工作队伍和网络舆情工作群，增强对涉历史虚无主义有害信息以及网络谣言、诈骗信息、淫秽色情、网络赌博、网络侵权等各类网上违法和有害不良信息举报发现力、研判力、处置力。</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三是持续推进网络安全建设，筑牢网络安全“防护墙”。深入学习贯彻习近平总书记对网络安全工作重要指示精神，认真抓好学习贯彻，推进“四个坚持”落地落实。筑牢网络安全“防护墙”，全面排查整治网络安全重大风险，扎实做好庆祝建党100周年及党的十九届六中全会期间的网络安全保障。本年度与省红网新媒科技公司签订合同，为鹤城区提供网络安全检查技术支持服务，在11月，联合鹤城公安分局对区内40家重点单位，开展了网络平台建设及网络安全大检查，对发现的网络安全漏洞及时要求相关单位进行整改。</w:t>
      </w:r>
    </w:p>
    <w:p>
      <w:pPr>
        <w:spacing w:line="62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四是积极培育和发展“网红经济”，以“网”促经济。鹤城区精心培育网红经济发展中的新生态，不断加强顶层设计，建立健全网红经济产业规划，主动作为，顺应市场变化，整合资源，打造了沪上田农旅直播小镇、万达广场、锦绣五溪三处网红集聚打卡地和网红经济产业基地，全力打造鹤城电商“升级版”，帮助企业拓宽销售渠道，反向吸引区外企业到鹤城区投资兴业，掀起“二次创业”高潮。发展“网红+产业直播”销售渠道。鹤城区因地制宜，制定了网络“大V”健康发展措施，形成“网红+农产品”特色品牌，举办了“苗族糍粑节”等为主题的抖音直播带货活动。举办了鹤城区首届网红暨网红经济座谈会。12月9日鹤城区举办了首届网红暨网红经济座谈会，有效规范网红行为，为经济的发展插上科技的翅膀。</w:t>
      </w:r>
    </w:p>
    <w:p>
      <w:pPr>
        <w:pStyle w:val="12"/>
        <w:widowControl/>
        <w:spacing w:line="600" w:lineRule="exact"/>
        <w:ind w:left="640" w:firstLine="0" w:firstLineChars="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七、存在的问题及原因分析</w:t>
      </w:r>
    </w:p>
    <w:p>
      <w:pPr>
        <w:widowControl/>
        <w:spacing w:line="600" w:lineRule="exact"/>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主要存在的问题在于预算执行有偏差，形成的原因为突发状况导致的支出与预算有偏差，例如疫情防控等。</w:t>
      </w:r>
    </w:p>
    <w:p>
      <w:pPr>
        <w:widowControl/>
        <w:spacing w:line="600" w:lineRule="exact"/>
        <w:ind w:left="640"/>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八、下一步改进措施</w:t>
      </w:r>
    </w:p>
    <w:p>
      <w:pPr>
        <w:widowControl/>
        <w:spacing w:line="600" w:lineRule="exact"/>
        <w:ind w:firstLine="645"/>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line="600" w:lineRule="exact"/>
        <w:ind w:firstLine="645"/>
        <w:jc w:val="left"/>
        <w:rPr>
          <w:rFonts w:hint="eastAsia" w:cs="黑体" w:asciiTheme="minorEastAsia" w:hAnsiTheme="minorEastAsia" w:eastAsiaTheme="minorEastAsia"/>
          <w:b/>
          <w:bCs/>
          <w:color w:val="000000"/>
          <w:kern w:val="0"/>
          <w:sz w:val="32"/>
          <w:szCs w:val="32"/>
          <w:lang w:val="en-US" w:eastAsia="zh-CN" w:bidi="ar-SA"/>
        </w:rPr>
      </w:pPr>
      <w:r>
        <w:rPr>
          <w:rFonts w:hint="eastAsia" w:cs="黑体" w:asciiTheme="minorEastAsia" w:hAnsiTheme="minorEastAsia" w:eastAsiaTheme="minorEastAsia"/>
          <w:b/>
          <w:bCs/>
          <w:color w:val="000000"/>
          <w:kern w:val="0"/>
          <w:sz w:val="32"/>
          <w:szCs w:val="32"/>
          <w:lang w:val="en-US" w:eastAsia="zh-CN" w:bidi="ar-SA"/>
        </w:rPr>
        <w:t>九、其他需要说明的情况</w:t>
      </w:r>
    </w:p>
    <w:p>
      <w:pPr>
        <w:widowControl/>
        <w:spacing w:line="600" w:lineRule="exact"/>
        <w:ind w:firstLine="645"/>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无</w:t>
      </w:r>
    </w:p>
    <w:p>
      <w:pPr>
        <w:pStyle w:val="2"/>
        <w:ind w:firstLine="640"/>
        <w:rPr>
          <w:rFonts w:eastAsia="仿宋_GB2312"/>
          <w:sz w:val="32"/>
          <w:szCs w:val="32"/>
        </w:rPr>
      </w:pPr>
    </w:p>
    <w:p>
      <w:pPr>
        <w:pStyle w:val="2"/>
        <w:ind w:firstLine="640"/>
        <w:jc w:val="righ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中共怀化市鹤城区委网络安全和信息化委员会</w:t>
      </w:r>
    </w:p>
    <w:p>
      <w:pPr>
        <w:pStyle w:val="2"/>
        <w:ind w:firstLine="4480" w:firstLineChars="14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2022年5月24日</w:t>
      </w:r>
    </w:p>
    <w:p>
      <w:pPr>
        <w:spacing w:line="600" w:lineRule="exact"/>
        <w:rPr>
          <w:rFonts w:eastAsia="黑体"/>
          <w:sz w:val="32"/>
          <w:szCs w:val="3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D1D74E"/>
    <w:multiLevelType w:val="singleLevel"/>
    <w:tmpl w:val="C2D1D74E"/>
    <w:lvl w:ilvl="0" w:tentative="0">
      <w:start w:val="4"/>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35BB7"/>
    <w:rsid w:val="000415B7"/>
    <w:rsid w:val="00041E3F"/>
    <w:rsid w:val="00055DAA"/>
    <w:rsid w:val="00061F7B"/>
    <w:rsid w:val="000658A3"/>
    <w:rsid w:val="00074155"/>
    <w:rsid w:val="000A3F69"/>
    <w:rsid w:val="000F597D"/>
    <w:rsid w:val="00103957"/>
    <w:rsid w:val="00125FFA"/>
    <w:rsid w:val="00152C6D"/>
    <w:rsid w:val="00162D39"/>
    <w:rsid w:val="001678BD"/>
    <w:rsid w:val="001A67DB"/>
    <w:rsid w:val="001B7139"/>
    <w:rsid w:val="001C22EA"/>
    <w:rsid w:val="001C3C29"/>
    <w:rsid w:val="001D51E5"/>
    <w:rsid w:val="001E080D"/>
    <w:rsid w:val="001E53D0"/>
    <w:rsid w:val="001F0C3B"/>
    <w:rsid w:val="00202C82"/>
    <w:rsid w:val="00214427"/>
    <w:rsid w:val="00226CB7"/>
    <w:rsid w:val="00256486"/>
    <w:rsid w:val="00264552"/>
    <w:rsid w:val="00264EF9"/>
    <w:rsid w:val="00265724"/>
    <w:rsid w:val="0027426B"/>
    <w:rsid w:val="002C171B"/>
    <w:rsid w:val="002E0A30"/>
    <w:rsid w:val="002F4580"/>
    <w:rsid w:val="003130C4"/>
    <w:rsid w:val="00316C4B"/>
    <w:rsid w:val="0032192B"/>
    <w:rsid w:val="003479BD"/>
    <w:rsid w:val="0037197D"/>
    <w:rsid w:val="003768D5"/>
    <w:rsid w:val="003838D5"/>
    <w:rsid w:val="003C47E6"/>
    <w:rsid w:val="003C4FC2"/>
    <w:rsid w:val="00416E61"/>
    <w:rsid w:val="0042790C"/>
    <w:rsid w:val="004506F9"/>
    <w:rsid w:val="004717A2"/>
    <w:rsid w:val="00473DF3"/>
    <w:rsid w:val="00487911"/>
    <w:rsid w:val="00491741"/>
    <w:rsid w:val="004C7EFB"/>
    <w:rsid w:val="004E59AE"/>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4394B"/>
    <w:rsid w:val="00651EEC"/>
    <w:rsid w:val="00691E8C"/>
    <w:rsid w:val="006A22C4"/>
    <w:rsid w:val="006A351B"/>
    <w:rsid w:val="006B0422"/>
    <w:rsid w:val="006C1B53"/>
    <w:rsid w:val="006D7730"/>
    <w:rsid w:val="006E5284"/>
    <w:rsid w:val="006F3EB5"/>
    <w:rsid w:val="00702E34"/>
    <w:rsid w:val="00704395"/>
    <w:rsid w:val="00712D99"/>
    <w:rsid w:val="00717621"/>
    <w:rsid w:val="00720FF1"/>
    <w:rsid w:val="00727A53"/>
    <w:rsid w:val="00787B42"/>
    <w:rsid w:val="007C4539"/>
    <w:rsid w:val="007F3657"/>
    <w:rsid w:val="00812ED5"/>
    <w:rsid w:val="008277D9"/>
    <w:rsid w:val="0084478C"/>
    <w:rsid w:val="008556C3"/>
    <w:rsid w:val="0086638C"/>
    <w:rsid w:val="00875FA7"/>
    <w:rsid w:val="008A3E8D"/>
    <w:rsid w:val="008B19E6"/>
    <w:rsid w:val="00920FB0"/>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841DF"/>
    <w:rsid w:val="00A92E9F"/>
    <w:rsid w:val="00B0573C"/>
    <w:rsid w:val="00B26304"/>
    <w:rsid w:val="00B33BEA"/>
    <w:rsid w:val="00B57C9F"/>
    <w:rsid w:val="00B63572"/>
    <w:rsid w:val="00B845B3"/>
    <w:rsid w:val="00B85D8B"/>
    <w:rsid w:val="00BB4A40"/>
    <w:rsid w:val="00BD480E"/>
    <w:rsid w:val="00BD6C3E"/>
    <w:rsid w:val="00BE3674"/>
    <w:rsid w:val="00C10681"/>
    <w:rsid w:val="00C24AB4"/>
    <w:rsid w:val="00C3049A"/>
    <w:rsid w:val="00C31B1E"/>
    <w:rsid w:val="00C519AC"/>
    <w:rsid w:val="00C77645"/>
    <w:rsid w:val="00CE04C3"/>
    <w:rsid w:val="00CE76A0"/>
    <w:rsid w:val="00D0242F"/>
    <w:rsid w:val="00D11D3A"/>
    <w:rsid w:val="00D148C6"/>
    <w:rsid w:val="00D17A8A"/>
    <w:rsid w:val="00D415BA"/>
    <w:rsid w:val="00D644EE"/>
    <w:rsid w:val="00DA09C8"/>
    <w:rsid w:val="00DD06FF"/>
    <w:rsid w:val="00DD5FE9"/>
    <w:rsid w:val="00E00C7A"/>
    <w:rsid w:val="00E37D6C"/>
    <w:rsid w:val="00E55B68"/>
    <w:rsid w:val="00E67BE6"/>
    <w:rsid w:val="00E8683C"/>
    <w:rsid w:val="00EA2B72"/>
    <w:rsid w:val="00F5174C"/>
    <w:rsid w:val="00F74360"/>
    <w:rsid w:val="00FB462F"/>
    <w:rsid w:val="00FE16FA"/>
    <w:rsid w:val="00FE328A"/>
    <w:rsid w:val="00FE6269"/>
    <w:rsid w:val="00FE6E09"/>
    <w:rsid w:val="0D4F4389"/>
    <w:rsid w:val="0D95362E"/>
    <w:rsid w:val="0F0720BC"/>
    <w:rsid w:val="141C7AD9"/>
    <w:rsid w:val="1B067346"/>
    <w:rsid w:val="21E17305"/>
    <w:rsid w:val="313E5F89"/>
    <w:rsid w:val="32C54C88"/>
    <w:rsid w:val="34832F6E"/>
    <w:rsid w:val="46682FAA"/>
    <w:rsid w:val="597462E8"/>
    <w:rsid w:val="680B4D6A"/>
    <w:rsid w:val="742312EF"/>
    <w:rsid w:val="778217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正文首缩两字 Char"/>
    <w:basedOn w:val="1"/>
    <w:qFormat/>
    <w:uiPriority w:val="99"/>
    <w:rPr>
      <w:rFonts w:ascii="Verdana" w:hAnsi="Verdana"/>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8E99-0876-4457-84BE-74A901AF77D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6823</Words>
  <Characters>7258</Characters>
  <Lines>52</Lines>
  <Paragraphs>14</Paragraphs>
  <TotalTime>1</TotalTime>
  <ScaleCrop>false</ScaleCrop>
  <LinksUpToDate>false</LinksUpToDate>
  <CharactersWithSpaces>7269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2022-10-14T04:01:00Z</dcterms:created>
  <dc:creator>李航 null</dc:creator>
  <cp:lastModifiedBy>养鱼的猫</cp:lastModifiedBy>
  <cp:lastPrinted>2021-07-28T00:12:00Z</cp:lastPrinted>
  <dcterms:modified xsi:type="dcterms:W3CDTF">2023-09-27T18:47:39Z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1980C6D29CD14C6CB03B84D01567997C_13</vt:lpwstr>
  </property>
</Properties>
</file>