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sz w:val="56"/>
          <w:szCs w:val="56"/>
        </w:rPr>
      </w:pPr>
    </w:p>
    <w:p>
      <w:pPr>
        <w:pStyle w:val="10"/>
        <w:jc w:val="center"/>
        <w:rPr>
          <w:sz w:val="56"/>
          <w:szCs w:val="56"/>
        </w:rPr>
      </w:pPr>
    </w:p>
    <w:p>
      <w:pPr>
        <w:pStyle w:val="10"/>
        <w:jc w:val="center"/>
        <w:rPr>
          <w:sz w:val="84"/>
          <w:szCs w:val="84"/>
        </w:rPr>
      </w:pPr>
    </w:p>
    <w:p>
      <w:pPr>
        <w:pStyle w:val="10"/>
        <w:jc w:val="center"/>
        <w:rPr>
          <w:sz w:val="84"/>
          <w:szCs w:val="84"/>
        </w:rPr>
      </w:pPr>
    </w:p>
    <w:p>
      <w:pPr>
        <w:pStyle w:val="10"/>
        <w:jc w:val="center"/>
        <w:rPr>
          <w:sz w:val="84"/>
          <w:szCs w:val="84"/>
        </w:rPr>
      </w:pPr>
      <w:r>
        <w:rPr>
          <w:rFonts w:hint="eastAsia"/>
          <w:sz w:val="84"/>
          <w:szCs w:val="84"/>
        </w:rPr>
        <w:t>2021年度</w:t>
      </w:r>
    </w:p>
    <w:p>
      <w:pPr>
        <w:pStyle w:val="10"/>
        <w:jc w:val="center"/>
        <w:rPr>
          <w:rFonts w:hint="eastAsia"/>
          <w:sz w:val="84"/>
          <w:szCs w:val="84"/>
        </w:rPr>
      </w:pPr>
      <w:r>
        <w:rPr>
          <w:rFonts w:hint="eastAsia"/>
          <w:sz w:val="84"/>
          <w:szCs w:val="84"/>
        </w:rPr>
        <w:t>怀化市大汉小学</w:t>
      </w:r>
    </w:p>
    <w:p>
      <w:pPr>
        <w:pStyle w:val="10"/>
        <w:jc w:val="center"/>
        <w:rPr>
          <w:sz w:val="84"/>
          <w:szCs w:val="84"/>
        </w:rPr>
      </w:pPr>
      <w:r>
        <w:rPr>
          <w:rFonts w:hint="eastAsia"/>
          <w:sz w:val="84"/>
          <w:szCs w:val="84"/>
        </w:rPr>
        <w:t>部门决算</w:t>
      </w: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32"/>
          <w:szCs w:val="32"/>
        </w:rPr>
      </w:pPr>
    </w:p>
    <w:p>
      <w:pPr>
        <w:pStyle w:val="10"/>
        <w:jc w:val="center"/>
        <w:rPr>
          <w:sz w:val="32"/>
          <w:szCs w:val="32"/>
        </w:rPr>
      </w:pPr>
    </w:p>
    <w:p>
      <w:pPr>
        <w:pStyle w:val="10"/>
        <w:jc w:val="center"/>
        <w:rPr>
          <w:sz w:val="32"/>
          <w:szCs w:val="32"/>
        </w:rPr>
      </w:pPr>
    </w:p>
    <w:p>
      <w:pPr>
        <w:pStyle w:val="10"/>
        <w:jc w:val="center"/>
        <w:rPr>
          <w:sz w:val="32"/>
          <w:szCs w:val="32"/>
        </w:rPr>
      </w:pPr>
    </w:p>
    <w:p>
      <w:pPr>
        <w:pStyle w:val="10"/>
        <w:jc w:val="center"/>
        <w:rPr>
          <w:sz w:val="32"/>
          <w:szCs w:val="32"/>
        </w:rPr>
      </w:pPr>
    </w:p>
    <w:p>
      <w:pPr>
        <w:pStyle w:val="10"/>
        <w:spacing w:line="540" w:lineRule="exact"/>
        <w:jc w:val="center"/>
        <w:rPr>
          <w:sz w:val="56"/>
          <w:szCs w:val="56"/>
        </w:rPr>
      </w:pPr>
    </w:p>
    <w:p>
      <w:pPr>
        <w:pStyle w:val="10"/>
        <w:spacing w:line="500" w:lineRule="exact"/>
        <w:jc w:val="center"/>
        <w:rPr>
          <w:b/>
          <w:sz w:val="36"/>
          <w:szCs w:val="28"/>
        </w:rPr>
      </w:pPr>
    </w:p>
    <w:p>
      <w:pPr>
        <w:pStyle w:val="10"/>
        <w:spacing w:line="500" w:lineRule="exact"/>
        <w:jc w:val="center"/>
        <w:rPr>
          <w:b/>
          <w:sz w:val="36"/>
          <w:szCs w:val="28"/>
        </w:rPr>
      </w:pPr>
    </w:p>
    <w:p>
      <w:pPr>
        <w:pStyle w:val="10"/>
        <w:spacing w:line="500" w:lineRule="exact"/>
        <w:jc w:val="center"/>
        <w:rPr>
          <w:b/>
          <w:sz w:val="36"/>
          <w:szCs w:val="28"/>
        </w:rPr>
      </w:pPr>
      <w:r>
        <w:rPr>
          <w:rFonts w:hint="eastAsia"/>
          <w:b/>
          <w:sz w:val="36"/>
          <w:szCs w:val="28"/>
        </w:rPr>
        <w:t>目录</w:t>
      </w:r>
    </w:p>
    <w:p>
      <w:pPr>
        <w:pStyle w:val="10"/>
        <w:spacing w:line="500" w:lineRule="exact"/>
        <w:rPr>
          <w:rFonts w:ascii="仿宋_GB2312" w:hAnsi="仿宋_GB2312" w:cs="仿宋_GB2312"/>
          <w:b/>
          <w:sz w:val="28"/>
          <w:szCs w:val="28"/>
        </w:rPr>
      </w:pPr>
      <w:r>
        <w:rPr>
          <w:rFonts w:hint="eastAsia"/>
          <w:b/>
          <w:sz w:val="28"/>
          <w:szCs w:val="28"/>
        </w:rPr>
        <w:t>第一部分怀化市大汉小学单位概况</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0"/>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21年度部门决算表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0"/>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0"/>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21年度部门决算情况说明</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cs="仿宋_GB2312" w:asciiTheme="minorEastAsia" w:hAnsiTheme="minorEastAsia"/>
          <w:sz w:val="28"/>
          <w:szCs w:val="28"/>
        </w:rPr>
      </w:pPr>
      <w:r>
        <w:rPr>
          <w:rFonts w:hint="eastAsia" w:ascii="仿宋_GB2312" w:hAnsi="仿宋_GB2312" w:cs="仿宋_GB2312"/>
          <w:color w:val="000000"/>
          <w:kern w:val="0"/>
          <w:sz w:val="28"/>
          <w:szCs w:val="28"/>
        </w:rPr>
        <w:t>九、</w:t>
      </w:r>
      <w:r>
        <w:rPr>
          <w:rFonts w:hint="eastAsia" w:cs="仿宋_GB2312" w:asciiTheme="minorEastAsia" w:hAnsiTheme="minorEastAsia"/>
          <w:sz w:val="28"/>
          <w:szCs w:val="28"/>
        </w:rPr>
        <w:t>国有资本经营预算财政拨款收支决算情况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十二、政府采购支出说明</w:t>
      </w:r>
    </w:p>
    <w:p>
      <w:pPr>
        <w:pStyle w:val="10"/>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0"/>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500" w:lineRule="exact"/>
        <w:ind w:firstLine="135" w:firstLineChars="48"/>
        <w:jc w:val="left"/>
        <w:rPr>
          <w:rFonts w:hint="eastAsia" w:ascii="黑体" w:hAnsi="黑体" w:eastAsia="黑体" w:cs="黑体"/>
          <w:b/>
          <w:color w:val="000000"/>
          <w:kern w:val="0"/>
          <w:sz w:val="28"/>
          <w:szCs w:val="28"/>
        </w:rPr>
      </w:pPr>
      <w:r>
        <w:rPr>
          <w:rFonts w:ascii="黑体" w:hAnsi="黑体" w:eastAsia="黑体" w:cs="黑体"/>
          <w:b/>
          <w:color w:val="000000"/>
          <w:kern w:val="0"/>
          <w:sz w:val="28"/>
          <w:szCs w:val="28"/>
        </w:rPr>
        <w:t>第四部分名词解释</w:t>
      </w:r>
      <w:r>
        <w:rPr>
          <w:rFonts w:hint="eastAsia" w:ascii="黑体" w:hAnsi="黑体" w:eastAsia="黑体" w:cs="黑体"/>
          <w:b/>
          <w:color w:val="000000"/>
          <w:kern w:val="0"/>
          <w:sz w:val="28"/>
          <w:szCs w:val="28"/>
        </w:rPr>
        <w:t xml:space="preserve">    第五部分附件</w:t>
      </w:r>
    </w:p>
    <w:p>
      <w:pPr>
        <w:rPr>
          <w:rFonts w:hint="eastAsia" w:ascii="黑体" w:hAnsi="黑体" w:eastAsia="黑体" w:cs="黑体"/>
          <w:b/>
          <w:color w:val="000000"/>
          <w:kern w:val="0"/>
          <w:sz w:val="28"/>
          <w:szCs w:val="28"/>
        </w:rPr>
      </w:pPr>
      <w:r>
        <w:rPr>
          <w:rFonts w:hint="eastAsia" w:ascii="黑体" w:hAnsi="黑体" w:eastAsia="黑体" w:cs="黑体"/>
          <w:b/>
          <w:color w:val="000000"/>
          <w:kern w:val="0"/>
          <w:sz w:val="28"/>
          <w:szCs w:val="28"/>
        </w:rPr>
        <w:br w:type="page"/>
      </w:r>
    </w:p>
    <w:p>
      <w:pPr>
        <w:autoSpaceDE w:val="0"/>
        <w:autoSpaceDN w:val="0"/>
        <w:adjustRightInd w:val="0"/>
        <w:spacing w:line="500" w:lineRule="exact"/>
        <w:ind w:firstLine="135" w:firstLineChars="48"/>
        <w:jc w:val="left"/>
        <w:rPr>
          <w:rFonts w:hint="eastAsia" w:ascii="黑体" w:hAnsi="黑体" w:eastAsia="黑体" w:cs="黑体"/>
          <w:b/>
          <w:color w:val="000000"/>
          <w:kern w:val="0"/>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0"/>
        <w:jc w:val="center"/>
        <w:rPr>
          <w:sz w:val="84"/>
          <w:szCs w:val="84"/>
        </w:rPr>
      </w:pPr>
      <w:r>
        <w:rPr>
          <w:rFonts w:hint="eastAsia"/>
          <w:sz w:val="84"/>
          <w:szCs w:val="84"/>
        </w:rPr>
        <w:t>第一部分</w:t>
      </w:r>
    </w:p>
    <w:p>
      <w:pPr>
        <w:pStyle w:val="10"/>
        <w:jc w:val="center"/>
        <w:rPr>
          <w:sz w:val="84"/>
          <w:szCs w:val="84"/>
        </w:rPr>
      </w:pPr>
    </w:p>
    <w:p>
      <w:pPr>
        <w:pStyle w:val="10"/>
        <w:jc w:val="center"/>
        <w:rPr>
          <w:sz w:val="84"/>
          <w:szCs w:val="84"/>
        </w:rPr>
      </w:pPr>
      <w:r>
        <w:rPr>
          <w:rFonts w:hint="eastAsia"/>
          <w:sz w:val="84"/>
          <w:szCs w:val="84"/>
        </w:rPr>
        <w:t>怀化市大汉小学单位概况</w:t>
      </w:r>
    </w:p>
    <w:p>
      <w:pPr>
        <w:pStyle w:val="10"/>
        <w:jc w:val="center"/>
        <w:rPr>
          <w:sz w:val="84"/>
          <w:szCs w:val="84"/>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1"/>
        <w:ind w:left="0" w:leftChars="0" w:firstLine="0" w:firstLineChars="0"/>
        <w:jc w:val="left"/>
        <w:rPr>
          <w:rFonts w:ascii="黑体" w:hAnsi="黑体" w:eastAsia="黑体"/>
          <w:sz w:val="32"/>
          <w:szCs w:val="32"/>
        </w:rPr>
      </w:pPr>
    </w:p>
    <w:p>
      <w:pPr>
        <w:pStyle w:val="11"/>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ind w:firstLine="800" w:firstLineChars="250"/>
        <w:jc w:val="left"/>
        <w:rPr>
          <w:rFonts w:asciiTheme="minorEastAsia" w:hAnsiTheme="minorEastAsia"/>
          <w:sz w:val="32"/>
          <w:szCs w:val="32"/>
        </w:rPr>
      </w:pPr>
      <w:r>
        <w:rPr>
          <w:rFonts w:hint="eastAsia" w:asciiTheme="minorEastAsia" w:hAnsiTheme="minorEastAsia"/>
          <w:sz w:val="32"/>
          <w:szCs w:val="32"/>
        </w:rPr>
        <w:t>（一）</w:t>
      </w:r>
      <w:r>
        <w:rPr>
          <w:rFonts w:hint="eastAsia" w:cs="仿宋" w:asciiTheme="minorEastAsia" w:hAnsiTheme="minorEastAsia"/>
          <w:sz w:val="30"/>
          <w:szCs w:val="30"/>
        </w:rPr>
        <w:t>怀化市大汉小学是全额拨款的事业单位。</w:t>
      </w:r>
    </w:p>
    <w:p>
      <w:pPr>
        <w:spacing w:line="600" w:lineRule="exact"/>
        <w:ind w:firstLine="800" w:firstLineChars="250"/>
        <w:rPr>
          <w:rFonts w:ascii="仿宋_GB2312" w:eastAsia="仿宋_GB2312" w:hAnsiTheme="minorEastAsia"/>
          <w:sz w:val="28"/>
          <w:szCs w:val="32"/>
        </w:rPr>
      </w:pPr>
      <w:r>
        <w:rPr>
          <w:rFonts w:hint="eastAsia" w:asciiTheme="minorEastAsia" w:hAnsiTheme="minorEastAsia"/>
          <w:sz w:val="32"/>
          <w:szCs w:val="32"/>
        </w:rPr>
        <w:t>（二）</w:t>
      </w:r>
      <w:r>
        <w:rPr>
          <w:rFonts w:hint="eastAsia" w:cs="仿宋" w:asciiTheme="minorEastAsia" w:hAnsiTheme="minorEastAsia"/>
          <w:sz w:val="32"/>
          <w:szCs w:val="32"/>
        </w:rPr>
        <w:t>主要工作职责：全面贯彻党的教育方针，落实九年义务教育各项政策，保障学生受教育的各项权利，维护教师职工各项权益。</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spacing w:line="600" w:lineRule="exact"/>
        <w:ind w:firstLine="640" w:firstLineChars="200"/>
        <w:rPr>
          <w:rFonts w:asciiTheme="minorEastAsia" w:hAnsiTheme="minorEastAsia"/>
          <w:b/>
          <w:bCs/>
          <w:kern w:val="0"/>
          <w:sz w:val="32"/>
          <w:szCs w:val="32"/>
        </w:rPr>
      </w:pPr>
      <w:r>
        <w:rPr>
          <w:rFonts w:hint="eastAsia" w:asciiTheme="minorEastAsia" w:hAnsiTheme="minorEastAsia"/>
          <w:bCs/>
          <w:kern w:val="0"/>
          <w:sz w:val="32"/>
          <w:szCs w:val="32"/>
        </w:rPr>
        <w:t>（一）内设机构设置。</w:t>
      </w:r>
      <w:r>
        <w:rPr>
          <w:rFonts w:hint="eastAsia" w:ascii="Times New Roman" w:hAnsi="Times New Roman" w:eastAsia="仿宋_GB2312" w:cs="Times New Roman"/>
          <w:bCs/>
          <w:kern w:val="0"/>
          <w:sz w:val="32"/>
          <w:szCs w:val="32"/>
        </w:rPr>
        <w:t xml:space="preserve"> 9</w:t>
      </w:r>
      <w:r>
        <w:rPr>
          <w:rFonts w:hint="eastAsia" w:cs="仿宋" w:asciiTheme="minorEastAsia" w:hAnsiTheme="minorEastAsia"/>
          <w:sz w:val="32"/>
          <w:szCs w:val="32"/>
        </w:rPr>
        <w:t>个职能处室：学校办公室、校长室、工会、党支部、总务处、教务处、德育处、教研室、财务室。</w:t>
      </w:r>
    </w:p>
    <w:p>
      <w:pPr>
        <w:widowControl/>
        <w:spacing w:line="600" w:lineRule="exact"/>
        <w:ind w:firstLine="640" w:firstLineChars="200"/>
        <w:rPr>
          <w:rFonts w:ascii="Times New Roman" w:hAnsi="Times New Roman" w:eastAsia="仿宋_GB2312" w:cs="Times New Roman"/>
          <w:bCs/>
          <w:kern w:val="0"/>
          <w:sz w:val="32"/>
          <w:szCs w:val="32"/>
        </w:rPr>
      </w:pPr>
      <w:r>
        <w:rPr>
          <w:rFonts w:hint="eastAsia" w:asciiTheme="minorEastAsia" w:hAnsiTheme="minorEastAsia"/>
          <w:bCs/>
          <w:kern w:val="0"/>
          <w:sz w:val="32"/>
          <w:szCs w:val="32"/>
        </w:rPr>
        <w:t>（二）决算单位构成：怀化市大汉小学本级</w:t>
      </w:r>
      <w:r>
        <w:rPr>
          <w:rFonts w:hint="eastAsia" w:ascii="Times New Roman" w:hAnsi="Times New Roman" w:eastAsia="仿宋_GB2312" w:cs="Times New Roman"/>
          <w:bCs/>
          <w:kern w:val="0"/>
          <w:sz w:val="32"/>
          <w:szCs w:val="32"/>
        </w:rPr>
        <w:t>。</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r>
        <w:rPr>
          <w:sz w:val="72"/>
          <w:szCs w:val="72"/>
        </w:rPr>
        <w:br w:type="textWrapping"/>
      </w:r>
      <w:r>
        <w:rPr>
          <w:rFonts w:hint="eastAsia"/>
          <w:sz w:val="72"/>
          <w:szCs w:val="72"/>
        </w:rPr>
        <w:t>（表格见附件）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pStyle w:val="10"/>
        <w:rPr>
          <w:sz w:val="72"/>
          <w:szCs w:val="72"/>
        </w:rPr>
      </w:pPr>
    </w:p>
    <w:p>
      <w:pPr>
        <w:pStyle w:val="10"/>
        <w:rPr>
          <w:sz w:val="72"/>
          <w:szCs w:val="72"/>
        </w:rPr>
      </w:pPr>
    </w:p>
    <w:p>
      <w:pPr>
        <w:pStyle w:val="10"/>
        <w:rPr>
          <w:sz w:val="72"/>
          <w:szCs w:val="72"/>
        </w:rPr>
      </w:pPr>
    </w:p>
    <w:p>
      <w:pPr>
        <w:pStyle w:val="10"/>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第三部分</w:t>
      </w:r>
    </w:p>
    <w:p>
      <w:pPr>
        <w:pStyle w:val="10"/>
        <w:jc w:val="center"/>
        <w:rPr>
          <w:sz w:val="70"/>
          <w:szCs w:val="70"/>
        </w:rPr>
      </w:pPr>
    </w:p>
    <w:p>
      <w:pPr>
        <w:pStyle w:val="10"/>
        <w:jc w:val="center"/>
        <w:rPr>
          <w:sz w:val="70"/>
          <w:szCs w:val="70"/>
        </w:rPr>
      </w:pPr>
      <w:r>
        <w:rPr>
          <w:sz w:val="70"/>
          <w:szCs w:val="70"/>
        </w:rPr>
        <w:t>20</w:t>
      </w:r>
      <w:r>
        <w:rPr>
          <w:rFonts w:hint="eastAsia"/>
          <w:sz w:val="70"/>
          <w:szCs w:val="70"/>
        </w:rPr>
        <w:t>21年度部门决算情况说明</w:t>
      </w:r>
    </w:p>
    <w:p>
      <w:pPr>
        <w:widowControl/>
        <w:jc w:val="left"/>
        <w:rPr>
          <w:rFonts w:asciiTheme="minorEastAsia" w:hAnsiTheme="minorEastAsia" w:eastAsiaTheme="minorEastAsia"/>
          <w:sz w:val="32"/>
          <w:szCs w:val="32"/>
        </w:rPr>
      </w:pPr>
      <w:r>
        <w:rPr>
          <w:sz w:val="70"/>
          <w:szCs w:val="70"/>
        </w:rPr>
        <w:br w:type="page"/>
      </w:r>
    </w:p>
    <w:p>
      <w:pPr>
        <w:pStyle w:val="10"/>
        <w:rPr>
          <w:rFonts w:hAnsi="黑体"/>
          <w:b/>
          <w:sz w:val="32"/>
          <w:szCs w:val="32"/>
        </w:rPr>
      </w:pPr>
      <w:r>
        <w:rPr>
          <w:rFonts w:hint="eastAsia" w:hAnsi="黑体"/>
          <w:b/>
          <w:sz w:val="32"/>
          <w:szCs w:val="32"/>
        </w:rPr>
        <w:t>一、收入支出决算总体情况说明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2021年度收入合计1221.32万元。与上年相比，增加643.72万元，增长111%，主要是因为工资福利和学生人数增加。</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2021年度支出合计1221.32万元。与上年相比，增加643.72万元，增长111%，主要是因为工资福利和学生人数增加。</w:t>
      </w:r>
    </w:p>
    <w:p>
      <w:pPr>
        <w:pStyle w:val="10"/>
        <w:ind w:firstLine="640" w:firstLineChars="200"/>
        <w:rPr>
          <w:rFonts w:asciiTheme="minorEastAsia" w:hAnsiTheme="minorEastAsia" w:eastAsiaTheme="minorEastAsia"/>
          <w:sz w:val="32"/>
          <w:szCs w:val="32"/>
        </w:rPr>
      </w:pPr>
    </w:p>
    <w:p>
      <w:pPr>
        <w:pStyle w:val="10"/>
        <w:rPr>
          <w:rFonts w:hAnsi="黑体"/>
          <w:b/>
          <w:sz w:val="32"/>
          <w:szCs w:val="32"/>
        </w:rPr>
      </w:pPr>
      <w:r>
        <w:rPr>
          <w:rFonts w:hint="eastAsia" w:hAnsi="黑体"/>
          <w:b/>
          <w:sz w:val="32"/>
          <w:szCs w:val="32"/>
        </w:rPr>
        <w:t>二、收入决算情况说明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2021年度收入合计1221.32万元，其中：财政拨款收入938.62万元，占76.85%；上级补助收入0万元，占0%；事业收入0万元，占0%；经营收入0万元，占0%；附属单位上缴收入0万元，占0%；其他收入282.7万元，占23.15%。</w:t>
      </w:r>
    </w:p>
    <w:p>
      <w:pPr>
        <w:pStyle w:val="10"/>
        <w:rPr>
          <w:rFonts w:hAnsi="黑体"/>
          <w:b/>
          <w:sz w:val="32"/>
          <w:szCs w:val="32"/>
        </w:rPr>
      </w:pPr>
      <w:r>
        <w:rPr>
          <w:rFonts w:hint="eastAsia" w:hAnsi="黑体"/>
          <w:b/>
          <w:sz w:val="32"/>
          <w:szCs w:val="32"/>
        </w:rPr>
        <w:t>三、支出决算情况说明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2021年度支出合计1221.32万元，其中：基本支出1161.66万元，占95.12%；项目支出59.66万元，占4.88%；上缴上级支出0万元，占0%；经营支出0万元，占0%；对附属单位补助支出0万元，占0%。</w:t>
      </w:r>
    </w:p>
    <w:p>
      <w:pPr>
        <w:pStyle w:val="10"/>
        <w:rPr>
          <w:rFonts w:hAnsi="黑体"/>
          <w:b/>
          <w:sz w:val="32"/>
          <w:szCs w:val="32"/>
        </w:rPr>
      </w:pPr>
      <w:r>
        <w:rPr>
          <w:rFonts w:hint="eastAsia" w:hAnsi="黑体"/>
          <w:b/>
          <w:sz w:val="32"/>
          <w:szCs w:val="32"/>
        </w:rPr>
        <w:t>四、财政拨款收入支出决算总体情况说明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2021年度财政拨款收入合计938.62万元。与上年相比，增加405.48万元，增长76%，主要是因为主要是因为工资福利和学生人数增加。</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2021年度财政拨款支出合计938.62万元。与上年相比，增加405.48万元，增长76%，主要是因为主要是因为工资福利和学生人数增加。</w:t>
      </w:r>
    </w:p>
    <w:p>
      <w:pPr>
        <w:pStyle w:val="10"/>
        <w:rPr>
          <w:rFonts w:hAnsi="黑体"/>
          <w:b/>
          <w:sz w:val="32"/>
          <w:szCs w:val="32"/>
        </w:rPr>
      </w:pPr>
      <w:r>
        <w:rPr>
          <w:rFonts w:hint="eastAsia" w:hAnsi="黑体"/>
          <w:b/>
          <w:sz w:val="32"/>
          <w:szCs w:val="32"/>
        </w:rPr>
        <w:t>五、一般公共预算财政拨款支出决算情况说明</w:t>
      </w:r>
    </w:p>
    <w:p>
      <w:pPr>
        <w:pStyle w:val="10"/>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2021年度财政拨款支出938.62万元，占本年支出合计的76.85%，与上年相比，财政拨款支出增加405.48万元，增长76%，主要是因为主要是因为工资福利和学生人数增加。</w:t>
      </w:r>
    </w:p>
    <w:p>
      <w:pPr>
        <w:pStyle w:val="10"/>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2021年度财政拨款支出938.62万元，主要用于以下方面：一般公共服务（类）支出0万元，占0%；教育（类）支出938.62万元，占100%。</w:t>
      </w:r>
    </w:p>
    <w:p>
      <w:pPr>
        <w:pStyle w:val="10"/>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2021年度财政拨款支出年初预算数为892.32万元，支出决算数为938.62万元，完成年初预算的105.18%，其中：</w:t>
      </w:r>
    </w:p>
    <w:p>
      <w:pPr>
        <w:pStyle w:val="10"/>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lang w:val="en-US" w:eastAsia="zh-CN"/>
        </w:rPr>
        <w:t>1</w:t>
      </w:r>
      <w:r>
        <w:rPr>
          <w:rFonts w:hint="eastAsia" w:asciiTheme="minorEastAsia" w:hAnsiTheme="minorEastAsia" w:eastAsiaTheme="minorEastAsia"/>
          <w:color w:val="auto"/>
          <w:sz w:val="32"/>
          <w:szCs w:val="32"/>
        </w:rPr>
        <w:t>、教育支出（类）普通教育（款）小学教育（项）。</w:t>
      </w:r>
    </w:p>
    <w:p>
      <w:pPr>
        <w:pStyle w:val="10"/>
        <w:ind w:firstLine="800" w:firstLineChars="250"/>
        <w:jc w:val="both"/>
        <w:textAlignment w:val="baseline"/>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年初预算为716.6</w:t>
      </w:r>
      <w:r>
        <w:rPr>
          <w:rFonts w:hint="eastAsia" w:asciiTheme="minorEastAsia" w:hAnsiTheme="minorEastAsia" w:eastAsiaTheme="minorEastAsia"/>
          <w:color w:val="auto"/>
          <w:sz w:val="32"/>
          <w:szCs w:val="32"/>
          <w:lang w:val="en-US" w:eastAsia="zh-CN"/>
        </w:rPr>
        <w:t>4</w:t>
      </w:r>
      <w:r>
        <w:rPr>
          <w:rFonts w:hint="eastAsia" w:asciiTheme="minorEastAsia" w:hAnsiTheme="minorEastAsia" w:eastAsiaTheme="minorEastAsia"/>
          <w:color w:val="auto"/>
          <w:sz w:val="32"/>
          <w:szCs w:val="32"/>
        </w:rPr>
        <w:t>万元，支出决算为878.97万元，完成年初预算的122.65%，决算数大于年初预算数的主要原因是预决算口径不一致。</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2</w:t>
      </w:r>
      <w:r>
        <w:rPr>
          <w:rFonts w:hint="eastAsia" w:asciiTheme="minorEastAsia" w:hAnsiTheme="minorEastAsia" w:eastAsiaTheme="minorEastAsia"/>
          <w:sz w:val="32"/>
          <w:szCs w:val="32"/>
        </w:rPr>
        <w:t>、教育支出（类）普通教育（款）其他普通教育支出（项）。</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年初预算为9.63万元，支出决算为59.66万元，完成年初预算的619.43%，决算数大于年初预算数的主要原因是：预决算口径不一致。</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3</w:t>
      </w:r>
      <w:r>
        <w:rPr>
          <w:rFonts w:hint="eastAsia" w:asciiTheme="minorEastAsia" w:hAnsiTheme="minorEastAsia" w:eastAsiaTheme="minorEastAsia"/>
          <w:sz w:val="32"/>
          <w:szCs w:val="32"/>
        </w:rPr>
        <w:t>、教育支出（类）其他教育支出（款）其他教育支出（项）。</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年初预算为89.21万元，支出决算为0万元，完成年初预算的0%，决算数小于年初预算数的主要原因是：预决算口径不一致。</w:t>
      </w:r>
    </w:p>
    <w:p>
      <w:pPr>
        <w:pStyle w:val="10"/>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lang w:val="en-US" w:eastAsia="zh-CN"/>
        </w:rPr>
        <w:t>4</w:t>
      </w:r>
      <w:r>
        <w:rPr>
          <w:rFonts w:hint="eastAsia" w:asciiTheme="minorEastAsia" w:hAnsiTheme="minorEastAsia" w:eastAsiaTheme="minorEastAsia"/>
          <w:color w:val="auto"/>
          <w:sz w:val="32"/>
          <w:szCs w:val="32"/>
        </w:rPr>
        <w:t>、社会保障和就业支出（类）行政事业单位养老支出（款）机关事业单位基本养老保险缴费支</w:t>
      </w:r>
      <w:bookmarkStart w:id="0" w:name="_GoBack"/>
      <w:bookmarkEnd w:id="0"/>
      <w:r>
        <w:rPr>
          <w:rFonts w:hint="eastAsia" w:asciiTheme="minorEastAsia" w:hAnsiTheme="minorEastAsia" w:eastAsiaTheme="minorEastAsia"/>
          <w:color w:val="auto"/>
          <w:sz w:val="32"/>
          <w:szCs w:val="32"/>
        </w:rPr>
        <w:t>出（项）。</w:t>
      </w:r>
    </w:p>
    <w:p>
      <w:pPr>
        <w:pStyle w:val="10"/>
        <w:ind w:firstLine="640" w:firstLineChars="200"/>
        <w:jc w:val="both"/>
        <w:textAlignment w:val="baseline"/>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年初预算为76.84万元，支出决算为0万元，完成年初预算的0%，决算数小于年初预算数的主要原因是预决算口径不一致。</w:t>
      </w:r>
    </w:p>
    <w:p>
      <w:pPr>
        <w:pStyle w:val="10"/>
        <w:rPr>
          <w:rFonts w:hAnsi="黑体"/>
          <w:b/>
          <w:sz w:val="32"/>
          <w:szCs w:val="32"/>
        </w:rPr>
      </w:pPr>
      <w:r>
        <w:rPr>
          <w:rFonts w:hint="eastAsia" w:hAnsi="黑体"/>
          <w:b/>
          <w:sz w:val="32"/>
          <w:szCs w:val="32"/>
        </w:rPr>
        <w:t>六、一般公共预算财政拨款基本支出决算情况说明</w:t>
      </w:r>
    </w:p>
    <w:p>
      <w:pPr>
        <w:pStyle w:val="10"/>
        <w:ind w:firstLine="640" w:firstLineChars="20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2021年度财政拨款基本支出878.97万元，其中：人员经费721.82万元，占基本支出的82.12%,主要包括基本工资、津贴补贴、奖金、绩效工资、养老保险缴费、医疗保险缴费、其他保险缴费以及对个人和家庭的生活补助（退休人员）；公用经费157.15万元，占基本支出的17.88%，主要包括办公费、咨询费、水费、电费、差旅费、维修费、租赁费、培训费、劳务费、工会经费、福利费、税金及附加费用、办公设备购置。</w:t>
      </w:r>
    </w:p>
    <w:p>
      <w:pPr>
        <w:pStyle w:val="10"/>
        <w:rPr>
          <w:rFonts w:hAnsi="黑体"/>
          <w:b/>
          <w:sz w:val="32"/>
          <w:szCs w:val="32"/>
        </w:rPr>
      </w:pPr>
      <w:r>
        <w:rPr>
          <w:rFonts w:hint="eastAsia" w:hAnsi="黑体"/>
          <w:b/>
          <w:sz w:val="32"/>
          <w:szCs w:val="32"/>
        </w:rPr>
        <w:t>七、一般公共预算财政拨款“三公”经费支出决算情况说明</w:t>
      </w:r>
    </w:p>
    <w:p>
      <w:pPr>
        <w:pStyle w:val="10"/>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2021年度“三公”经费财政拨款支出预算为0万元，支出决算为0万元，其中：</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因公出国（境）费支出预算为0万元，支出决算为0万元。</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公务接待费支出预算为0万元，支出决算为0万元。</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公务用车购置费支出预算为0万元，支出决算为0万元。</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公务用车运行维护费支出预算为0万元，支出决算为0万元。</w:t>
      </w:r>
    </w:p>
    <w:p>
      <w:pPr>
        <w:pStyle w:val="10"/>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2021年度“三公”经费财政拨款支出决算中，公务接待费支出决算0万元，占0%,因公出国（境）费支出决算0万元，占0%,公务用车购置费及运行维护费支出决算0万元，占0%。其中：</w:t>
      </w:r>
    </w:p>
    <w:p>
      <w:pPr>
        <w:pStyle w:val="10"/>
        <w:ind w:firstLine="640" w:firstLineChars="200"/>
        <w:rPr>
          <w:rFonts w:asciiTheme="minorEastAsia" w:hAnsiTheme="minorEastAsia" w:eastAsiaTheme="minorEastAsia"/>
          <w:b/>
          <w:sz w:val="32"/>
          <w:szCs w:val="32"/>
        </w:rPr>
      </w:pPr>
      <w:r>
        <w:rPr>
          <w:rFonts w:hint="eastAsia" w:asciiTheme="minorEastAsia" w:hAnsiTheme="minorEastAsia" w:eastAsiaTheme="minorEastAsia"/>
          <w:sz w:val="32"/>
          <w:szCs w:val="32"/>
        </w:rPr>
        <w:t>1、因公出国（境）费支出决算为0万元，全年安排因公出国（境）团组0个，累计0人次。</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2、公务接待费支出决算为0万元，全年共接待来访团组0个、来宾0人次。</w:t>
      </w:r>
    </w:p>
    <w:p>
      <w:pPr>
        <w:ind w:firstLine="800" w:firstLineChars="250"/>
        <w:rPr>
          <w:rFonts w:cs="黑体" w:asciiTheme="minorEastAsia" w:hAnsiTheme="minorEastAsia"/>
          <w:color w:val="000000"/>
          <w:kern w:val="0"/>
          <w:sz w:val="32"/>
          <w:szCs w:val="32"/>
        </w:rPr>
      </w:pPr>
      <w:r>
        <w:rPr>
          <w:rFonts w:hint="eastAsia" w:asciiTheme="minorEastAsia" w:hAnsiTheme="minorEastAsia"/>
          <w:sz w:val="32"/>
          <w:szCs w:val="32"/>
        </w:rPr>
        <w:t>3、公务用车购置费及运行维护费支出决算为0万元，其中：公务用车购置费0万元，更新公务用车0辆</w:t>
      </w:r>
      <w:r>
        <w:rPr>
          <w:rFonts w:hint="eastAsia" w:asciiTheme="minorEastAsia" w:hAnsiTheme="minorEastAsia"/>
          <w:color w:val="000000" w:themeColor="text1"/>
          <w:sz w:val="32"/>
          <w:szCs w:val="32"/>
        </w:rPr>
        <w:t>。</w:t>
      </w:r>
      <w:r>
        <w:rPr>
          <w:rFonts w:hint="eastAsia" w:asciiTheme="minorEastAsia" w:hAnsiTheme="minorEastAsia"/>
          <w:sz w:val="32"/>
          <w:szCs w:val="32"/>
        </w:rPr>
        <w:t>公务用车运行维护费0万元，截止2021年12月31日，我单位开支财政拨款的公务用车保有量为0辆。</w:t>
      </w:r>
    </w:p>
    <w:p>
      <w:pPr>
        <w:pStyle w:val="10"/>
        <w:rPr>
          <w:rFonts w:hAnsi="黑体"/>
          <w:b/>
          <w:sz w:val="32"/>
          <w:szCs w:val="32"/>
        </w:rPr>
      </w:pPr>
      <w:r>
        <w:rPr>
          <w:rFonts w:hint="eastAsia" w:hAnsi="黑体"/>
          <w:b/>
          <w:sz w:val="32"/>
          <w:szCs w:val="32"/>
        </w:rPr>
        <w:t>八、政府性基金预算收入支出决算情况</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2021年度政府性基金预算财政拨款收入0万元；年初结转和结余0万元；支出0万元，其中基本支出0万元，项目支出0万元；年末结转和结余0万元。</w:t>
      </w:r>
    </w:p>
    <w:p>
      <w:pPr>
        <w:pStyle w:val="10"/>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 xml:space="preserve"> 本单位无政府性基金。</w:t>
      </w:r>
    </w:p>
    <w:p>
      <w:pPr>
        <w:pStyle w:val="10"/>
        <w:rPr>
          <w:rFonts w:hAnsi="黑体"/>
          <w:b/>
          <w:sz w:val="32"/>
          <w:szCs w:val="32"/>
        </w:rPr>
      </w:pPr>
      <w:r>
        <w:rPr>
          <w:rFonts w:hint="eastAsia" w:hAnsi="黑体"/>
          <w:b/>
          <w:sz w:val="32"/>
          <w:szCs w:val="32"/>
        </w:rPr>
        <w:t>九、国有资本经营预算财政拨款支出情况</w:t>
      </w:r>
    </w:p>
    <w:p>
      <w:pPr>
        <w:pStyle w:val="10"/>
        <w:ind w:firstLine="640" w:firstLineChars="20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2021年度国有资本经营预算财政拨款收入0万元；支出0万元，其中基本支出0万元，项目支出0万元。具体情况如下：本单位无国有资本经营。</w:t>
      </w:r>
    </w:p>
    <w:p>
      <w:pPr>
        <w:pStyle w:val="10"/>
        <w:rPr>
          <w:rFonts w:hAnsi="黑体"/>
          <w:b/>
          <w:sz w:val="32"/>
          <w:szCs w:val="32"/>
        </w:rPr>
      </w:pPr>
      <w:r>
        <w:rPr>
          <w:rFonts w:hint="eastAsia" w:hAnsi="黑体"/>
          <w:b/>
          <w:sz w:val="32"/>
          <w:szCs w:val="32"/>
        </w:rPr>
        <w:t>十、机关运行经费支出说明</w:t>
      </w:r>
    </w:p>
    <w:p>
      <w:pPr>
        <w:pStyle w:val="10"/>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stheme="minorEastAsia"/>
          <w:color w:val="000000" w:themeColor="text1"/>
          <w:sz w:val="32"/>
          <w:szCs w:val="32"/>
        </w:rPr>
        <w:t>本部门2021年度机关运行经费支出</w:t>
      </w:r>
      <w:r>
        <w:rPr>
          <w:rFonts w:hint="eastAsia" w:asciiTheme="minorEastAsia" w:hAnsiTheme="minorEastAsia" w:eastAsiaTheme="minorEastAsia" w:cstheme="minorEastAsia"/>
          <w:color w:val="000000" w:themeColor="text1"/>
          <w:sz w:val="32"/>
          <w:szCs w:val="32"/>
          <w:lang w:val="en-US" w:eastAsia="zh-CN"/>
        </w:rPr>
        <w:t>0</w:t>
      </w:r>
      <w:r>
        <w:rPr>
          <w:rFonts w:hint="eastAsia" w:asciiTheme="minorEastAsia" w:hAnsiTheme="minorEastAsia" w:eastAsiaTheme="minorEastAsia" w:cstheme="minorEastAsia"/>
          <w:color w:val="000000" w:themeColor="text1"/>
          <w:sz w:val="32"/>
          <w:szCs w:val="32"/>
        </w:rPr>
        <w:t>万元，</w:t>
      </w:r>
      <w:r>
        <w:rPr>
          <w:rFonts w:hint="eastAsia" w:asciiTheme="minorEastAsia" w:hAnsiTheme="minorEastAsia" w:eastAsiaTheme="minorEastAsia"/>
          <w:color w:val="000000" w:themeColor="text1"/>
          <w:sz w:val="32"/>
          <w:szCs w:val="32"/>
        </w:rPr>
        <w:t>本部门属于全额拨款事业单位，无机关运行经费。</w:t>
      </w:r>
    </w:p>
    <w:p>
      <w:pPr>
        <w:pStyle w:val="10"/>
        <w:rPr>
          <w:rFonts w:hAnsi="黑体"/>
          <w:b/>
          <w:sz w:val="32"/>
          <w:szCs w:val="32"/>
        </w:rPr>
      </w:pPr>
      <w:r>
        <w:rPr>
          <w:rFonts w:hint="eastAsia" w:hAnsi="黑体"/>
          <w:b/>
          <w:sz w:val="32"/>
          <w:szCs w:val="32"/>
        </w:rPr>
        <w:t>十一、一般性支出情况说明</w:t>
      </w:r>
    </w:p>
    <w:p>
      <w:pPr>
        <w:pStyle w:val="10"/>
        <w:ind w:firstLine="640" w:firstLineChars="200"/>
        <w:rPr>
          <w:rFonts w:asciiTheme="minorEastAsia" w:hAnsiTheme="minorEastAsia" w:eastAsiaTheme="minorEastAsia"/>
          <w:color w:val="FF0000"/>
          <w:sz w:val="32"/>
          <w:szCs w:val="32"/>
        </w:rPr>
      </w:pPr>
      <w:r>
        <w:rPr>
          <w:rFonts w:hint="eastAsia" w:asciiTheme="minorEastAsia" w:hAnsiTheme="minorEastAsia" w:eastAsiaTheme="minorEastAsia"/>
          <w:sz w:val="32"/>
          <w:szCs w:val="32"/>
        </w:rPr>
        <w:t>2021年本部门开支会议费0万元，用于召开0会议，人数0人，内容为0；开支培训费9.88万元，用于开展教师培训，人数76人，内容为礼仪课堂培训、劳动教育培训、暑期培训、党史学习及其他；举办0次等节庆、晚会、论坛、赛事活动，开支0万元。</w:t>
      </w:r>
    </w:p>
    <w:p>
      <w:pPr>
        <w:pStyle w:val="10"/>
        <w:rPr>
          <w:rFonts w:hAnsi="黑体"/>
          <w:b/>
          <w:sz w:val="32"/>
          <w:szCs w:val="32"/>
        </w:rPr>
      </w:pPr>
      <w:r>
        <w:rPr>
          <w:rFonts w:hint="eastAsia" w:hAnsi="黑体"/>
          <w:b/>
          <w:sz w:val="32"/>
          <w:szCs w:val="32"/>
        </w:rPr>
        <w:t>十二、政府采购支出说明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0万元，其中：政府采购货物支出0万元、政府采购工程支出0万元、政府采购服务支出0万元。授予中小企业合同金额0万元，占政府采购支出总额的0%，其中：授予小微企业合同金额0万元，占授予中小企业合同金额的0%；货物采购授予中小企业合同金额占货物支出金额的0%，工程采购授予中小企业合同金额占工程支出金额的0%，服务采购授予中小企业合同金额占服务支出金额的0%。</w:t>
      </w:r>
    </w:p>
    <w:p>
      <w:pPr>
        <w:pStyle w:val="10"/>
        <w:rPr>
          <w:rFonts w:hAnsi="黑体"/>
          <w:b/>
          <w:sz w:val="32"/>
          <w:szCs w:val="32"/>
        </w:rPr>
      </w:pPr>
      <w:r>
        <w:rPr>
          <w:rFonts w:hint="eastAsia" w:hAnsi="黑体"/>
          <w:b/>
          <w:sz w:val="32"/>
          <w:szCs w:val="32"/>
        </w:rPr>
        <w:t>十三、国有资产占用情况说明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截至2021年12月31日，本单位共有车辆0辆，其中，主要领导干部用车0辆，机要通信用车0辆、应急保障用车0辆、执法执勤用车0辆、特种专业技术用车0辆、其他用车0辆；单位价值50万元以上通用设备0台（套）；单位价值100万元以上专用设备0台（套）。</w:t>
      </w:r>
    </w:p>
    <w:p>
      <w:pPr>
        <w:pStyle w:val="10"/>
        <w:rPr>
          <w:rFonts w:hAnsi="黑体"/>
          <w:b/>
          <w:color w:val="auto"/>
          <w:sz w:val="32"/>
          <w:szCs w:val="32"/>
        </w:rPr>
      </w:pPr>
      <w:r>
        <w:rPr>
          <w:rFonts w:hint="eastAsia" w:hAnsi="黑体"/>
          <w:b/>
          <w:color w:val="auto"/>
          <w:sz w:val="32"/>
          <w:szCs w:val="32"/>
        </w:rPr>
        <w:t>十四、2021年度预算绩效情况说明</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（1）绩效管理评价工作开展情况</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根据预算绩效管理要求，我部门组织对</w:t>
      </w:r>
      <w:r>
        <w:rPr>
          <w:rFonts w:cs="黑体" w:asciiTheme="minorEastAsia" w:hAnsiTheme="minorEastAsia"/>
          <w:color w:val="000000"/>
          <w:kern w:val="0"/>
          <w:sz w:val="32"/>
          <w:szCs w:val="32"/>
        </w:rPr>
        <w:t xml:space="preserve">2021 </w:t>
      </w:r>
      <w:r>
        <w:rPr>
          <w:rFonts w:hint="eastAsia" w:cs="黑体" w:asciiTheme="minorEastAsia" w:hAnsiTheme="minorEastAsia"/>
          <w:color w:val="000000"/>
          <w:kern w:val="0"/>
          <w:sz w:val="32"/>
          <w:szCs w:val="32"/>
        </w:rPr>
        <w:t>年度一般公共预算项目支出全面开展绩效自评，其中，一级项目2个，二级项目0个，共涉及资金59.</w:t>
      </w:r>
    </w:p>
    <w:p>
      <w:pPr>
        <w:autoSpaceDE w:val="0"/>
        <w:autoSpaceDN w:val="0"/>
        <w:adjustRightInd w:val="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66万元，占一般公共预算项目支出总额的100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2021</w:t>
      </w:r>
      <w:r>
        <w:rPr>
          <w:rFonts w:hint="eastAsia" w:cs="黑体" w:asciiTheme="minorEastAsia" w:hAnsiTheme="minorEastAsia"/>
          <w:color w:val="000000"/>
          <w:kern w:val="0"/>
          <w:sz w:val="32"/>
          <w:szCs w:val="32"/>
        </w:rPr>
        <w:t>年度0等0个政府性基金预算项目支出开展绩效自评，共涉及资金0万元，占政府性基金预算项目支出总额的0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 xml:space="preserve">2021 </w:t>
      </w:r>
      <w:r>
        <w:rPr>
          <w:rFonts w:hint="eastAsia" w:cs="黑体" w:asciiTheme="minorEastAsia" w:hAnsiTheme="minorEastAsia"/>
          <w:color w:val="000000"/>
          <w:kern w:val="0"/>
          <w:sz w:val="32"/>
          <w:szCs w:val="32"/>
        </w:rPr>
        <w:t>年度0等0个国有资本经营预算项目支出开展绩效自评，共涉及资金0万元，占国有资本经营预算项目支出总额的0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w:t>
      </w:r>
    </w:p>
    <w:p>
      <w:pPr>
        <w:spacing w:line="600" w:lineRule="exact"/>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组织对“安保工资”“临聘教师工资”等2个项目开展了部门评价，涉及一般公共预算支出59.66万元，政府性基金预算支出0万元，国有资本经营预算支出0万元。从评价情况来看，项目所有开支均按照我单位财务管理制度执行，资金的使用严格把关，专款专用。项目资金使用与具体项目实施内容相符，绩效总目标和阶段性目标都已按照计划完成，未逾期。</w:t>
      </w:r>
    </w:p>
    <w:p>
      <w:pPr>
        <w:spacing w:line="600" w:lineRule="exact"/>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保证了学校教学工作顺利开展。2021年我校各项工作开展的有生有色，取得了较好的社会效应，周边群众及服务对象满意度较高。项目支出合理、规范、有效，项目目标全部完成，2021年，项目支出绩效评价单位自评得分：99分，等级为优秀。</w:t>
      </w:r>
    </w:p>
    <w:p>
      <w:pPr>
        <w:autoSpaceDE w:val="0"/>
        <w:autoSpaceDN w:val="0"/>
        <w:adjustRightInd w:val="0"/>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（2）部门决算中项目绩效自评结果。</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“安保工资”项目绩效自评综述：根据年初设定的绩效目标，项目绩效自评得分为100分。项目全年预算数为4.968万元，执行数为4.968万元，完成预算的100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项目绩效目标完成情况：一是雇佣保安人数为4人；二是确保学校安全事故发生率为0。发现的主要问题及原因：我校学生人数较多，下课、放学时间保安要负责各个楼梯口和大门安全的守护工作，责任重大。下一步改进措施：进一步加强安保工作。</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“临聘工资”项目绩效自评综述：根据年初设定的绩效目标，项目绩效自评得分为100分。项目全年预算数为45万元，执行数为54.692万元，完成预算的121</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项目绩效目标完成情况：一是弥补了师资力量的不足，协助完成我校1800名校学生37个班级的教学及班级管理工作。发现的主要问题是临聘教师师资补稳定，教师培训工作每个学期都要进行，主要原因的很多临聘教师考上了编制。下一步改进措施：加强师资力量的培训，以维持较高的教学及管理水平。</w:t>
      </w:r>
    </w:p>
    <w:p>
      <w:pPr>
        <w:ind w:firstLine="640" w:firstLineChars="200"/>
        <w:jc w:val="left"/>
        <w:rPr>
          <w:rFonts w:cs="黑体" w:asciiTheme="minorEastAsia" w:hAnsiTheme="minorEastAsia"/>
          <w:color w:val="000000"/>
          <w:kern w:val="0"/>
          <w:sz w:val="32"/>
          <w:szCs w:val="32"/>
        </w:rPr>
      </w:pPr>
      <w:r>
        <w:rPr>
          <w:rFonts w:hint="eastAsia" w:asciiTheme="minorEastAsia" w:hAnsiTheme="minorEastAsia"/>
          <w:sz w:val="32"/>
          <w:szCs w:val="32"/>
        </w:rPr>
        <w:t>2</w:t>
      </w:r>
      <w:r>
        <w:rPr>
          <w:rFonts w:hint="eastAsia" w:cs="黑体" w:asciiTheme="minorEastAsia" w:hAnsiTheme="minorEastAsia"/>
          <w:color w:val="000000"/>
          <w:kern w:val="0"/>
          <w:sz w:val="32"/>
          <w:szCs w:val="32"/>
        </w:rPr>
        <w:t>021年在上级部门的正确领导下，保证各项资金使用的真实、合法、有效，充分发挥资金使用效率。年初制定的支出绩效目标总体完成情况良好，学校实现平稳运行，各项教育教学工作正常有序。</w:t>
      </w:r>
    </w:p>
    <w:p>
      <w:pPr>
        <w:numPr>
          <w:ilvl w:val="0"/>
          <w:numId w:val="2"/>
        </w:numPr>
        <w:autoSpaceDE w:val="0"/>
        <w:autoSpaceDN w:val="0"/>
        <w:adjustRightInd w:val="0"/>
        <w:ind w:firstLine="64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部门评价项目绩效评价结果。</w:t>
      </w:r>
    </w:p>
    <w:p>
      <w:pPr>
        <w:pStyle w:val="10"/>
        <w:keepNext w:val="0"/>
        <w:keepLines w:val="0"/>
        <w:pageBreakBefore w:val="0"/>
        <w:widowControl w:val="0"/>
        <w:kinsoku/>
        <w:wordWrap/>
        <w:overflowPunct/>
        <w:topLinePunct w:val="0"/>
        <w:autoSpaceDE w:val="0"/>
        <w:autoSpaceDN w:val="0"/>
        <w:bidi w:val="0"/>
        <w:adjustRightInd w:val="0"/>
        <w:snapToGrid/>
        <w:ind w:firstLine="640" w:firstLineChars="200"/>
        <w:jc w:val="both"/>
        <w:textAlignment w:val="auto"/>
        <w:rPr>
          <w:rFonts w:asciiTheme="minorEastAsia" w:hAnsiTheme="minorEastAsia" w:eastAsiaTheme="minorEastAsia"/>
          <w:sz w:val="32"/>
          <w:szCs w:val="32"/>
        </w:rPr>
      </w:pPr>
      <w:r>
        <w:rPr>
          <w:rFonts w:hint="eastAsia" w:asciiTheme="minorEastAsia" w:hAnsiTheme="minorEastAsia" w:eastAsiaTheme="minorEastAsia"/>
          <w:sz w:val="32"/>
          <w:szCs w:val="32"/>
        </w:rPr>
        <w:t>“临聘工资”项目已经单独在绩效评价中公开。</w:t>
      </w: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rPr>
          <w:sz w:val="72"/>
          <w:szCs w:val="72"/>
        </w:rPr>
      </w:pPr>
    </w:p>
    <w:p>
      <w:pPr>
        <w:pStyle w:val="10"/>
        <w:rPr>
          <w:sz w:val="72"/>
          <w:szCs w:val="72"/>
        </w:rPr>
      </w:pPr>
    </w:p>
    <w:p>
      <w:pPr>
        <w:pStyle w:val="10"/>
        <w:rPr>
          <w:sz w:val="72"/>
          <w:szCs w:val="72"/>
        </w:rPr>
      </w:pPr>
    </w:p>
    <w:p>
      <w:pPr>
        <w:pStyle w:val="10"/>
        <w:rPr>
          <w:sz w:val="72"/>
          <w:szCs w:val="72"/>
        </w:rPr>
      </w:pPr>
    </w:p>
    <w:p>
      <w:pPr>
        <w:pStyle w:val="10"/>
        <w:rPr>
          <w:sz w:val="72"/>
          <w:szCs w:val="72"/>
        </w:rPr>
      </w:pPr>
    </w:p>
    <w:p>
      <w:pPr>
        <w:pStyle w:val="10"/>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rFonts w:hint="eastAsia"/>
          <w:sz w:val="72"/>
          <w:szCs w:val="72"/>
        </w:rPr>
      </w:pPr>
    </w:p>
    <w:p>
      <w:pPr>
        <w:pStyle w:val="10"/>
        <w:jc w:val="center"/>
        <w:rPr>
          <w:rFonts w:hint="eastAsia"/>
          <w:sz w:val="72"/>
          <w:szCs w:val="72"/>
        </w:rPr>
      </w:pPr>
    </w:p>
    <w:p>
      <w:pPr>
        <w:pStyle w:val="10"/>
        <w:jc w:val="center"/>
        <w:rPr>
          <w:rFonts w:hint="eastAsia"/>
          <w:sz w:val="72"/>
          <w:szCs w:val="72"/>
        </w:rPr>
      </w:pPr>
    </w:p>
    <w:p>
      <w:pPr>
        <w:pStyle w:val="10"/>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一、财政拨款收入：指财政当年拨付的资金。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二、事业收入：指事业单位开展专业业务活动及辅助活动所取得的收入。如：中国财政杂志社的刊物发行收入，中国注册会计师协会、中国资产评估协会、中国国债协会、中国会计学会收取的会费收入等。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三、经营收入：指事业单位在专业业务活动及其辅助活动之外开展非独立核算经营活动取得的收入。如：中国财政杂志社广告收入等。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四、其他收入：指除上述“财政拨款收入”、“事业收入”、“经营收入”等以外的收入。主要是按规定动用的售房收入、存款利息收入等。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六、年初结转和结余：指以前年度尚未完成、结转到本年按有关规定继续使用的资金。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七、结余分配：指事业单位按规定提取的职工福利基金、事业基金和缴纳的所得税，以及建设单位按规定应交回的基本建设竣工项目结余资金。</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八、年末结转和结余：指本年度或以前年度预算安排、因客观条件发生变化无法按原计划实施，需要延迟到以后年度按有关规定继续使用的资金。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九、基本支出：指为保障机构正常运转、完成日常工作任务而发生的人员支出和公用支出。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十、项目支出：指在基本支出之外为完成特定行政任务和事业发展目标所发生的支出。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十一、经营支出：指事业单位在专业业务活动及其辅助活动之外开展非独立核算经营活动发生的支出。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二、“三公”经费：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eastAsiaTheme="minorEastAsia"/>
          <w:color w:val="000000"/>
          <w:kern w:val="0"/>
          <w:sz w:val="32"/>
          <w:szCs w:val="32"/>
          <w:lang w:eastAsia="zh-CN"/>
        </w:rPr>
      </w:pPr>
      <w:r>
        <w:rPr>
          <w:rFonts w:hint="eastAsia" w:ascii="宋体" w:hAnsi="宋体" w:cs="黑体"/>
          <w:color w:val="000000"/>
          <w:kern w:val="0"/>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r>
        <w:rPr>
          <w:rFonts w:hint="eastAsia" w:ascii="宋体" w:hAnsi="宋体" w:cs="黑体"/>
          <w:color w:val="000000"/>
          <w:kern w:val="0"/>
          <w:sz w:val="32"/>
          <w:szCs w:val="32"/>
          <w:lang w:eastAsia="zh-CN"/>
        </w:rPr>
        <w:t>。</w:t>
      </w: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spacing w:line="500" w:lineRule="exact"/>
        <w:jc w:val="center"/>
        <w:rPr>
          <w:rFonts w:ascii="宋体" w:hAnsi="宋体"/>
          <w:b/>
          <w:sz w:val="44"/>
          <w:szCs w:val="44"/>
        </w:rPr>
      </w:pPr>
      <w:r>
        <w:rPr>
          <w:rFonts w:hint="eastAsia" w:ascii="宋体" w:hAnsi="宋体"/>
          <w:b/>
          <w:sz w:val="44"/>
          <w:szCs w:val="44"/>
        </w:rPr>
        <w:t>怀化市大汉小学小学</w:t>
      </w:r>
    </w:p>
    <w:p>
      <w:pPr>
        <w:spacing w:line="500" w:lineRule="exact"/>
        <w:jc w:val="center"/>
        <w:rPr>
          <w:rFonts w:ascii="宋体" w:hAnsi="宋体"/>
          <w:b/>
          <w:sz w:val="44"/>
          <w:szCs w:val="44"/>
        </w:rPr>
      </w:pPr>
      <w:r>
        <w:rPr>
          <w:rFonts w:hint="eastAsia" w:ascii="宋体" w:hAnsi="宋体"/>
          <w:b/>
          <w:sz w:val="44"/>
          <w:szCs w:val="44"/>
        </w:rPr>
        <w:t>2021年部门整体绩效目标指标评价报告</w:t>
      </w:r>
    </w:p>
    <w:p>
      <w:pPr>
        <w:spacing w:line="500" w:lineRule="exact"/>
        <w:jc w:val="center"/>
        <w:rPr>
          <w:rFonts w:ascii="楷体" w:hAnsi="楷体" w:eastAsia="楷体"/>
          <w:sz w:val="28"/>
          <w:szCs w:val="28"/>
        </w:rPr>
      </w:pPr>
    </w:p>
    <w:p>
      <w:pPr>
        <w:autoSpaceDE w:val="0"/>
        <w:autoSpaceDN w:val="0"/>
        <w:adjustRightInd w:val="0"/>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一、部门职能职责：</w:t>
      </w:r>
    </w:p>
    <w:p>
      <w:pPr>
        <w:spacing w:line="500" w:lineRule="exact"/>
        <w:ind w:firstLine="640" w:firstLineChars="200"/>
        <w:jc w:val="left"/>
        <w:outlineLvl w:val="0"/>
        <w:rPr>
          <w:rFonts w:ascii="仿宋" w:hAnsi="仿宋" w:eastAsia="仿宋"/>
          <w:sz w:val="28"/>
          <w:szCs w:val="28"/>
        </w:rPr>
      </w:pPr>
      <w:r>
        <w:rPr>
          <w:rFonts w:hint="eastAsia" w:ascii="宋体" w:hAnsi="宋体" w:cs="黑体"/>
          <w:kern w:val="0"/>
          <w:sz w:val="32"/>
          <w:szCs w:val="32"/>
        </w:rPr>
        <w:t>怀化市大汉小学成立于2008年，承担了小学教育事务。</w:t>
      </w:r>
    </w:p>
    <w:p>
      <w:pPr>
        <w:autoSpaceDE w:val="0"/>
        <w:autoSpaceDN w:val="0"/>
        <w:adjustRightInd w:val="0"/>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二、部门基本概况：</w:t>
      </w:r>
    </w:p>
    <w:p>
      <w:pPr>
        <w:ind w:firstLine="640" w:firstLineChars="200"/>
        <w:rPr>
          <w:rFonts w:ascii="宋体" w:hAnsi="宋体" w:cs="黑体"/>
          <w:kern w:val="0"/>
          <w:sz w:val="32"/>
          <w:szCs w:val="32"/>
        </w:rPr>
      </w:pPr>
      <w:r>
        <w:rPr>
          <w:rFonts w:hint="eastAsia" w:ascii="宋体" w:hAnsi="宋体" w:cs="黑体"/>
          <w:kern w:val="0"/>
          <w:sz w:val="32"/>
          <w:szCs w:val="32"/>
        </w:rPr>
        <w:t>2021年部门预算编报范围包括一个机构。单位有编制数83人，在编76人，领导班子成员15人，离退休1人。一个党支部，共有党员44人。</w:t>
      </w:r>
    </w:p>
    <w:p>
      <w:pPr>
        <w:autoSpaceDE w:val="0"/>
        <w:autoSpaceDN w:val="0"/>
        <w:adjustRightInd w:val="0"/>
        <w:ind w:firstLine="640" w:firstLineChars="200"/>
        <w:jc w:val="left"/>
        <w:rPr>
          <w:rFonts w:cs="黑体" w:asciiTheme="minorEastAsia" w:hAnsiTheme="minorEastAsia"/>
          <w:b/>
          <w:kern w:val="0"/>
          <w:sz w:val="32"/>
          <w:szCs w:val="32"/>
        </w:rPr>
      </w:pPr>
      <w:r>
        <w:rPr>
          <w:rFonts w:hint="eastAsia" w:cs="黑体" w:asciiTheme="minorEastAsia" w:hAnsiTheme="minorEastAsia"/>
          <w:b/>
          <w:kern w:val="0"/>
          <w:sz w:val="32"/>
          <w:szCs w:val="32"/>
        </w:rPr>
        <w:t>三、一般公共预算支出情况</w:t>
      </w:r>
    </w:p>
    <w:p>
      <w:pPr>
        <w:ind w:firstLine="640" w:firstLineChars="200"/>
        <w:rPr>
          <w:rFonts w:hint="eastAsia" w:ascii="宋体" w:hAnsi="宋体" w:cs="黑体"/>
          <w:kern w:val="0"/>
          <w:sz w:val="32"/>
          <w:szCs w:val="32"/>
        </w:rPr>
      </w:pPr>
      <w:r>
        <w:rPr>
          <w:rFonts w:hint="eastAsia" w:ascii="宋体" w:hAnsi="宋体" w:cs="黑体"/>
          <w:kern w:val="0"/>
          <w:sz w:val="32"/>
          <w:szCs w:val="32"/>
        </w:rPr>
        <w:t>2021年一般公共财政拨款预算支出938.62万元，实际支出938.62万元。其中：</w:t>
      </w:r>
    </w:p>
    <w:p>
      <w:pPr>
        <w:ind w:firstLine="640" w:firstLineChars="200"/>
        <w:rPr>
          <w:rFonts w:hint="eastAsia" w:ascii="宋体" w:hAnsi="宋体" w:cs="黑体"/>
          <w:kern w:val="0"/>
          <w:sz w:val="32"/>
          <w:szCs w:val="32"/>
        </w:rPr>
      </w:pPr>
      <w:r>
        <w:rPr>
          <w:rFonts w:hint="eastAsia" w:ascii="宋体" w:hAnsi="宋体" w:cs="黑体"/>
          <w:kern w:val="0"/>
          <w:sz w:val="32"/>
          <w:szCs w:val="32"/>
        </w:rPr>
        <w:t>（一）基本支出878.97万元，包括人员支出721.82万元（其中基本工资399.25万元，津贴补贴7万元，奖金130.87万元，伙食费补助0万元，绩效工资14.48万元，基本养老保险支出45.12万元，基本医疗保险支出24.27万元，其他社会保障及工资福利支出101.3万元。）和公用支出157.14万元（其中办公费73.42万元，印刷费8.38万元，水电费11.92万元，邮电费8.68万元，差旅费0.1万元，维修费0.97万元，培训费9.88万元，劳务费4.99万元，工会会费24.57万元,其他商品及服务支出13.92万元。）</w:t>
      </w:r>
    </w:p>
    <w:p>
      <w:pPr>
        <w:ind w:firstLine="640" w:firstLineChars="200"/>
        <w:rPr>
          <w:rFonts w:ascii="宋体" w:hAnsi="宋体" w:cs="黑体"/>
          <w:color w:val="000000"/>
          <w:kern w:val="0"/>
          <w:sz w:val="32"/>
          <w:szCs w:val="32"/>
        </w:rPr>
      </w:pPr>
      <w:r>
        <w:rPr>
          <w:rFonts w:hint="eastAsia" w:ascii="宋体" w:hAnsi="宋体" w:cs="黑体"/>
          <w:color w:val="000000"/>
          <w:kern w:val="0"/>
          <w:sz w:val="32"/>
          <w:szCs w:val="32"/>
        </w:rPr>
        <w:t>（二）项目支出59.66万元，包括临聘教师工资和保安工资。</w:t>
      </w:r>
    </w:p>
    <w:p>
      <w:pPr>
        <w:ind w:firstLine="640" w:firstLineChars="200"/>
        <w:rPr>
          <w:rFonts w:ascii="宋体" w:hAnsi="宋体" w:cs="黑体"/>
          <w:color w:val="000000"/>
          <w:kern w:val="0"/>
          <w:sz w:val="32"/>
          <w:szCs w:val="32"/>
        </w:rPr>
      </w:pPr>
      <w:r>
        <w:rPr>
          <w:rFonts w:hint="eastAsia" w:ascii="宋体" w:hAnsi="宋体" w:cs="黑体"/>
          <w:color w:val="000000"/>
          <w:kern w:val="0"/>
          <w:sz w:val="32"/>
          <w:szCs w:val="32"/>
        </w:rPr>
        <w:t>（三）“三公”经费增减情况，我校2021年度“三公”经费标准为0万元，2021年核定标准为0万元，“三公”经费控制率100%。</w:t>
      </w:r>
    </w:p>
    <w:p>
      <w:pPr>
        <w:ind w:firstLine="640" w:firstLineChars="200"/>
        <w:rPr>
          <w:rFonts w:ascii="宋体" w:hAnsi="宋体" w:cs="黑体"/>
          <w:color w:val="000000"/>
          <w:kern w:val="0"/>
          <w:sz w:val="32"/>
          <w:szCs w:val="32"/>
        </w:rPr>
      </w:pPr>
      <w:r>
        <w:rPr>
          <w:rFonts w:hint="eastAsia" w:ascii="宋体" w:hAnsi="宋体" w:cs="黑体"/>
          <w:color w:val="000000"/>
          <w:kern w:val="0"/>
          <w:sz w:val="32"/>
          <w:szCs w:val="32"/>
        </w:rPr>
        <w:t>（四）政府采购执行情况，2019年我局政府采购预算为0万元，其中：0万元属于办公设备购置；0万元用于采购，政府采购执行率无。</w:t>
      </w:r>
    </w:p>
    <w:p>
      <w:pPr>
        <w:ind w:firstLine="640" w:firstLineChars="200"/>
        <w:rPr>
          <w:rFonts w:ascii="宋体" w:hAnsi="宋体" w:cs="黑体"/>
          <w:color w:val="000000"/>
          <w:kern w:val="0"/>
          <w:sz w:val="32"/>
          <w:szCs w:val="32"/>
        </w:rPr>
      </w:pPr>
      <w:r>
        <w:rPr>
          <w:rFonts w:hint="eastAsia" w:cs="黑体" w:asciiTheme="minorEastAsia" w:hAnsiTheme="minorEastAsia"/>
          <w:b/>
          <w:color w:val="000000"/>
          <w:kern w:val="0"/>
          <w:sz w:val="32"/>
          <w:szCs w:val="32"/>
        </w:rPr>
        <w:t>四、财务管理及内控建设</w:t>
      </w:r>
    </w:p>
    <w:p>
      <w:pPr>
        <w:ind w:firstLine="640" w:firstLineChars="200"/>
        <w:rPr>
          <w:rFonts w:ascii="宋体" w:hAnsi="宋体" w:cs="黑体"/>
          <w:color w:val="000000"/>
          <w:kern w:val="0"/>
          <w:sz w:val="32"/>
          <w:szCs w:val="32"/>
        </w:rPr>
      </w:pPr>
      <w:r>
        <w:rPr>
          <w:rFonts w:hint="eastAsia" w:ascii="宋体" w:hAnsi="宋体" w:cs="黑体"/>
          <w:color w:val="000000"/>
          <w:kern w:val="0"/>
          <w:sz w:val="32"/>
          <w:szCs w:val="32"/>
        </w:rPr>
        <w:t>整个项目的运行完全按照我校内部管理制度、区教育局及财政的有关规定执行，所有开支均按照财务管理制度严格执行，不存在违规违法的问题。</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五、绩效目标完成情况</w:t>
      </w:r>
    </w:p>
    <w:p>
      <w:pPr>
        <w:ind w:firstLine="640" w:firstLineChars="200"/>
        <w:rPr>
          <w:rFonts w:ascii="宋体" w:hAnsi="宋体" w:cs="黑体"/>
          <w:color w:val="000000"/>
          <w:kern w:val="0"/>
          <w:sz w:val="32"/>
          <w:szCs w:val="32"/>
        </w:rPr>
      </w:pPr>
      <w:r>
        <w:rPr>
          <w:rFonts w:hint="eastAsia" w:ascii="宋体" w:hAnsi="宋体" w:cs="黑体"/>
          <w:color w:val="000000"/>
          <w:kern w:val="0"/>
          <w:sz w:val="32"/>
          <w:szCs w:val="32"/>
        </w:rPr>
        <w:t>2021年在上级部门的正确领导下，保证各项资金使用的真实、合法、有效，充分发挥资金使用效率。年初制定的支出绩效目标总体完成情况良好，学校实现平稳运行，各项教育教学工作正常有序。</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六、存在的不足和建议</w:t>
      </w:r>
    </w:p>
    <w:p>
      <w:pPr>
        <w:spacing w:line="360" w:lineRule="auto"/>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不足之处：</w:t>
      </w:r>
    </w:p>
    <w:p>
      <w:pPr>
        <w:pStyle w:val="5"/>
        <w:spacing w:before="0" w:beforeAutospacing="0" w:after="0" w:afterAutospacing="0" w:line="480" w:lineRule="auto"/>
        <w:ind w:firstLine="640" w:firstLineChars="200"/>
        <w:rPr>
          <w:rFonts w:cs="仿宋" w:asciiTheme="minorEastAsia" w:hAnsiTheme="minorEastAsia" w:eastAsiaTheme="minorEastAsia"/>
          <w:sz w:val="32"/>
          <w:szCs w:val="32"/>
        </w:rPr>
      </w:pPr>
      <w:r>
        <w:rPr>
          <w:rFonts w:hint="eastAsia" w:cs="仿宋" w:asciiTheme="minorEastAsia" w:hAnsiTheme="minorEastAsia" w:eastAsiaTheme="minorEastAsia"/>
          <w:color w:val="333333"/>
          <w:sz w:val="32"/>
          <w:szCs w:val="32"/>
        </w:rPr>
        <w:t>1、</w:t>
      </w:r>
      <w:r>
        <w:rPr>
          <w:rFonts w:hint="eastAsia" w:cs="仿宋" w:asciiTheme="minorEastAsia" w:hAnsiTheme="minorEastAsia" w:eastAsiaTheme="minorEastAsia"/>
          <w:sz w:val="32"/>
          <w:szCs w:val="32"/>
        </w:rPr>
        <w:t>加强人员配备，按要求逐步完善固定资产实物管理。</w:t>
      </w:r>
    </w:p>
    <w:p>
      <w:pPr>
        <w:widowControl/>
        <w:shd w:val="clear" w:color="auto" w:fill="FFFFFF"/>
        <w:spacing w:line="600" w:lineRule="atLeast"/>
        <w:ind w:firstLine="640" w:firstLineChars="200"/>
        <w:rPr>
          <w:rFonts w:cs="仿宋" w:asciiTheme="minorEastAsia" w:hAnsiTheme="minorEastAsia"/>
          <w:sz w:val="32"/>
          <w:szCs w:val="32"/>
        </w:rPr>
      </w:pPr>
      <w:r>
        <w:rPr>
          <w:rFonts w:hint="eastAsia" w:cs="仿宋" w:asciiTheme="minorEastAsia" w:hAnsiTheme="minorEastAsia"/>
          <w:sz w:val="32"/>
          <w:szCs w:val="32"/>
        </w:rPr>
        <w:t>2、更加科学合理编制预算，今后努力学习预算制度，更加合理地编制预算，提高预算管理效率。</w:t>
      </w:r>
    </w:p>
    <w:p>
      <w:pPr>
        <w:widowControl/>
        <w:shd w:val="clear" w:color="auto" w:fill="FFFFFF"/>
        <w:spacing w:line="600" w:lineRule="atLeast"/>
        <w:ind w:firstLine="632" w:firstLineChars="200"/>
        <w:rPr>
          <w:rFonts w:ascii="宋体" w:hAnsi="宋体" w:eastAsia="宋体" w:cs="宋体"/>
          <w:b/>
          <w:spacing w:val="-2"/>
          <w:sz w:val="32"/>
          <w:szCs w:val="32"/>
        </w:rPr>
      </w:pPr>
      <w:r>
        <w:rPr>
          <w:rFonts w:hint="eastAsia" w:ascii="宋体" w:hAnsi="宋体" w:eastAsia="宋体" w:cs="宋体"/>
          <w:b/>
          <w:spacing w:val="-2"/>
          <w:sz w:val="32"/>
          <w:szCs w:val="32"/>
        </w:rPr>
        <w:t>建议：</w:t>
      </w:r>
    </w:p>
    <w:p>
      <w:pPr>
        <w:widowControl/>
        <w:spacing w:line="600" w:lineRule="exact"/>
        <w:ind w:firstLine="640" w:firstLineChars="200"/>
        <w:jc w:val="left"/>
        <w:rPr>
          <w:rFonts w:cs="仿宋" w:asciiTheme="minorEastAsia" w:hAnsiTheme="minorEastAsia"/>
          <w:sz w:val="32"/>
          <w:szCs w:val="32"/>
        </w:rPr>
      </w:pPr>
      <w:r>
        <w:rPr>
          <w:rFonts w:hint="eastAsia" w:cs="仿宋" w:asciiTheme="minorEastAsia" w:hAnsiTheme="minorEastAsia"/>
          <w:sz w:val="32"/>
          <w:szCs w:val="32"/>
        </w:rPr>
        <w:t>1、预算前增加各部门预算汇总上报环节；</w:t>
      </w:r>
    </w:p>
    <w:p>
      <w:pPr>
        <w:widowControl/>
        <w:spacing w:line="600" w:lineRule="exact"/>
        <w:ind w:firstLine="640" w:firstLineChars="200"/>
        <w:jc w:val="left"/>
        <w:rPr>
          <w:rFonts w:cs="仿宋" w:asciiTheme="minorEastAsia" w:hAnsiTheme="minorEastAsia"/>
          <w:sz w:val="32"/>
          <w:szCs w:val="32"/>
        </w:rPr>
      </w:pPr>
      <w:r>
        <w:rPr>
          <w:rFonts w:hint="eastAsia" w:cs="仿宋" w:asciiTheme="minorEastAsia" w:hAnsiTheme="minorEastAsia"/>
          <w:color w:val="333333"/>
          <w:sz w:val="32"/>
          <w:szCs w:val="32"/>
        </w:rPr>
        <w:t>2、加强相关人员业务培训，学习预算及绩效评价管理水平，提升业务能力。</w:t>
      </w:r>
    </w:p>
    <w:p>
      <w:pPr>
        <w:spacing w:line="360" w:lineRule="auto"/>
        <w:rPr>
          <w:rFonts w:cs="黑体" w:asciiTheme="minorEastAsia" w:hAnsiTheme="minorEastAsia"/>
          <w:b/>
          <w:color w:val="000000"/>
          <w:kern w:val="0"/>
          <w:sz w:val="32"/>
          <w:szCs w:val="32"/>
        </w:rPr>
      </w:pPr>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8CACC6"/>
    <w:multiLevelType w:val="singleLevel"/>
    <w:tmpl w:val="B48CACC6"/>
    <w:lvl w:ilvl="0" w:tentative="0">
      <w:start w:val="3"/>
      <w:numFmt w:val="decimal"/>
      <w:suff w:val="nothing"/>
      <w:lvlText w:val="（%1）"/>
      <w:lvlJc w:val="left"/>
      <w:pPr>
        <w:ind w:left="200"/>
      </w:pPr>
    </w:lvl>
  </w:abstractNum>
  <w:abstractNum w:abstractNumId="1">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I2NGRiYmQwOWZkOTg4MzMxMDkzZDc2NzhhOTYzNjMifQ=="/>
  </w:docVars>
  <w:rsids>
    <w:rsidRoot w:val="004506F9"/>
    <w:rsid w:val="0002229B"/>
    <w:rsid w:val="000273BD"/>
    <w:rsid w:val="000415B7"/>
    <w:rsid w:val="00041E3F"/>
    <w:rsid w:val="00055DAA"/>
    <w:rsid w:val="00061F7B"/>
    <w:rsid w:val="000658A3"/>
    <w:rsid w:val="00074155"/>
    <w:rsid w:val="00081AF1"/>
    <w:rsid w:val="000873EF"/>
    <w:rsid w:val="000A3F69"/>
    <w:rsid w:val="00103957"/>
    <w:rsid w:val="00124A1F"/>
    <w:rsid w:val="00152C6D"/>
    <w:rsid w:val="00162D39"/>
    <w:rsid w:val="001678BD"/>
    <w:rsid w:val="00182373"/>
    <w:rsid w:val="00182B50"/>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2F53BB"/>
    <w:rsid w:val="003130C4"/>
    <w:rsid w:val="00316C4B"/>
    <w:rsid w:val="0032192B"/>
    <w:rsid w:val="00327FFA"/>
    <w:rsid w:val="003479BD"/>
    <w:rsid w:val="0037197D"/>
    <w:rsid w:val="003768D5"/>
    <w:rsid w:val="003C4197"/>
    <w:rsid w:val="003C47E6"/>
    <w:rsid w:val="003C4FC2"/>
    <w:rsid w:val="003E2331"/>
    <w:rsid w:val="003F09E1"/>
    <w:rsid w:val="00416E61"/>
    <w:rsid w:val="0042790C"/>
    <w:rsid w:val="004506F9"/>
    <w:rsid w:val="004717A2"/>
    <w:rsid w:val="00473DF3"/>
    <w:rsid w:val="00487911"/>
    <w:rsid w:val="00491741"/>
    <w:rsid w:val="00497300"/>
    <w:rsid w:val="004B0CEE"/>
    <w:rsid w:val="004E71CA"/>
    <w:rsid w:val="00500E5F"/>
    <w:rsid w:val="005122EF"/>
    <w:rsid w:val="0051441A"/>
    <w:rsid w:val="00517C33"/>
    <w:rsid w:val="00517D5F"/>
    <w:rsid w:val="00521AF2"/>
    <w:rsid w:val="00523644"/>
    <w:rsid w:val="00533AD8"/>
    <w:rsid w:val="0054069E"/>
    <w:rsid w:val="00544866"/>
    <w:rsid w:val="005767CC"/>
    <w:rsid w:val="00590D9F"/>
    <w:rsid w:val="00595D26"/>
    <w:rsid w:val="005A74E6"/>
    <w:rsid w:val="005B404E"/>
    <w:rsid w:val="005D4D55"/>
    <w:rsid w:val="005E2CFB"/>
    <w:rsid w:val="005F2103"/>
    <w:rsid w:val="005F3D1C"/>
    <w:rsid w:val="0060317E"/>
    <w:rsid w:val="00611D0C"/>
    <w:rsid w:val="0062378F"/>
    <w:rsid w:val="00641842"/>
    <w:rsid w:val="00651EEC"/>
    <w:rsid w:val="00683D5A"/>
    <w:rsid w:val="00686673"/>
    <w:rsid w:val="00691E8C"/>
    <w:rsid w:val="006A22C4"/>
    <w:rsid w:val="006A348B"/>
    <w:rsid w:val="006A351B"/>
    <w:rsid w:val="006B0422"/>
    <w:rsid w:val="006B0ECC"/>
    <w:rsid w:val="006C1B53"/>
    <w:rsid w:val="006D7730"/>
    <w:rsid w:val="006E5284"/>
    <w:rsid w:val="006F3EB5"/>
    <w:rsid w:val="006F6E93"/>
    <w:rsid w:val="00702E34"/>
    <w:rsid w:val="00704395"/>
    <w:rsid w:val="00710FE7"/>
    <w:rsid w:val="00717621"/>
    <w:rsid w:val="00720FF1"/>
    <w:rsid w:val="00727A53"/>
    <w:rsid w:val="0076627B"/>
    <w:rsid w:val="00767FBF"/>
    <w:rsid w:val="00787B42"/>
    <w:rsid w:val="007C4539"/>
    <w:rsid w:val="007F3657"/>
    <w:rsid w:val="00812ED5"/>
    <w:rsid w:val="008277D9"/>
    <w:rsid w:val="0084478C"/>
    <w:rsid w:val="0086638C"/>
    <w:rsid w:val="00896B37"/>
    <w:rsid w:val="008A3E8D"/>
    <w:rsid w:val="009237C4"/>
    <w:rsid w:val="00944C48"/>
    <w:rsid w:val="00950252"/>
    <w:rsid w:val="00967F5D"/>
    <w:rsid w:val="009A0F95"/>
    <w:rsid w:val="009B3ADF"/>
    <w:rsid w:val="009C3B52"/>
    <w:rsid w:val="009E34F0"/>
    <w:rsid w:val="009E6817"/>
    <w:rsid w:val="009E6E9A"/>
    <w:rsid w:val="00A01D2B"/>
    <w:rsid w:val="00A37C2A"/>
    <w:rsid w:val="00A37EC9"/>
    <w:rsid w:val="00A42218"/>
    <w:rsid w:val="00A70249"/>
    <w:rsid w:val="00A70B02"/>
    <w:rsid w:val="00A71D9F"/>
    <w:rsid w:val="00A92E9F"/>
    <w:rsid w:val="00B33BEA"/>
    <w:rsid w:val="00B42C25"/>
    <w:rsid w:val="00B43F86"/>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204AD"/>
    <w:rsid w:val="00D205B4"/>
    <w:rsid w:val="00D415BA"/>
    <w:rsid w:val="00D63780"/>
    <w:rsid w:val="00D644EE"/>
    <w:rsid w:val="00D75489"/>
    <w:rsid w:val="00DD06FF"/>
    <w:rsid w:val="00DD3A35"/>
    <w:rsid w:val="00DD5FE9"/>
    <w:rsid w:val="00E00C7A"/>
    <w:rsid w:val="00E209CF"/>
    <w:rsid w:val="00E37D6C"/>
    <w:rsid w:val="00E443D2"/>
    <w:rsid w:val="00E55B68"/>
    <w:rsid w:val="00E67BE6"/>
    <w:rsid w:val="00E8683C"/>
    <w:rsid w:val="00EA2B72"/>
    <w:rsid w:val="00F701E5"/>
    <w:rsid w:val="00F74360"/>
    <w:rsid w:val="00FB462F"/>
    <w:rsid w:val="00FE16FA"/>
    <w:rsid w:val="00FE328A"/>
    <w:rsid w:val="00FE6269"/>
    <w:rsid w:val="00FF5CD6"/>
    <w:rsid w:val="07EB71AA"/>
    <w:rsid w:val="08763685"/>
    <w:rsid w:val="0A2256B7"/>
    <w:rsid w:val="13BB7B66"/>
    <w:rsid w:val="19114B9D"/>
    <w:rsid w:val="1A295829"/>
    <w:rsid w:val="1C267168"/>
    <w:rsid w:val="1D456190"/>
    <w:rsid w:val="1F521540"/>
    <w:rsid w:val="220350E8"/>
    <w:rsid w:val="2A9C5BA4"/>
    <w:rsid w:val="34BB131C"/>
    <w:rsid w:val="377929A6"/>
    <w:rsid w:val="39B9648E"/>
    <w:rsid w:val="3F3073B8"/>
    <w:rsid w:val="477B5067"/>
    <w:rsid w:val="4BD43FFA"/>
    <w:rsid w:val="4CD35E3E"/>
    <w:rsid w:val="4D69712E"/>
    <w:rsid w:val="4F7D4D7F"/>
    <w:rsid w:val="53281E1B"/>
    <w:rsid w:val="53F72080"/>
    <w:rsid w:val="639D66FD"/>
    <w:rsid w:val="6BF97D99"/>
    <w:rsid w:val="71D051C9"/>
    <w:rsid w:val="7D3036D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页眉 Char"/>
    <w:basedOn w:val="7"/>
    <w:link w:val="4"/>
    <w:qFormat/>
    <w:uiPriority w:val="99"/>
    <w:rPr>
      <w:sz w:val="18"/>
      <w:szCs w:val="18"/>
    </w:rPr>
  </w:style>
  <w:style w:type="character" w:customStyle="1" w:styleId="9">
    <w:name w:val="页脚 Char"/>
    <w:basedOn w:val="7"/>
    <w:link w:val="3"/>
    <w:qFormat/>
    <w:uiPriority w:val="99"/>
    <w:rPr>
      <w:sz w:val="18"/>
      <w:szCs w:val="18"/>
    </w:rPr>
  </w:style>
  <w:style w:type="paragraph" w:customStyle="1" w:styleId="10">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1">
    <w:name w:val="List Paragraph"/>
    <w:basedOn w:val="1"/>
    <w:qFormat/>
    <w:uiPriority w:val="34"/>
    <w:pPr>
      <w:ind w:firstLine="420" w:firstLineChars="200"/>
    </w:pPr>
  </w:style>
  <w:style w:type="character" w:customStyle="1" w:styleId="12">
    <w:name w:val="批注框文本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80904-B2FB-4FE3-894F-42F14B17BC5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19</Pages>
  <Words>5618</Words>
  <Characters>6106</Characters>
  <Lines>45</Lines>
  <Paragraphs>12</Paragraphs>
  <TotalTime>2</TotalTime>
  <ScaleCrop>false</ScaleCrop>
  <LinksUpToDate>false</LinksUpToDate>
  <CharactersWithSpaces>6125</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2022-08-01T10:01:00Z</dcterms:created>
  <dc:creator>李航 null</dc:creator>
  <cp:lastModifiedBy>yanyan小朋友 </cp:lastModifiedBy>
  <cp:lastPrinted>2022-07-27T12:55:00Z</cp:lastPrinted>
  <dcterms:modified xsi:type="dcterms:W3CDTF">2023-09-27T18:31:09Z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289CC4EA36F54D4783993F7192AE135D</vt:lpwstr>
  </property>
</Properties>
</file>