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sz w:val="56"/>
          <w:szCs w:val="56"/>
        </w:rPr>
      </w:pPr>
    </w:p>
    <w:p>
      <w:pPr>
        <w:pStyle w:val="10"/>
        <w:jc w:val="center"/>
        <w:rPr>
          <w:sz w:val="56"/>
          <w:szCs w:val="56"/>
        </w:rPr>
      </w:pPr>
    </w:p>
    <w:p>
      <w:pPr>
        <w:pStyle w:val="10"/>
        <w:jc w:val="center"/>
        <w:rPr>
          <w:sz w:val="84"/>
          <w:szCs w:val="84"/>
        </w:rPr>
      </w:pPr>
    </w:p>
    <w:p>
      <w:pPr>
        <w:pStyle w:val="10"/>
        <w:jc w:val="center"/>
        <w:rPr>
          <w:sz w:val="84"/>
          <w:szCs w:val="84"/>
        </w:rPr>
      </w:pPr>
    </w:p>
    <w:p>
      <w:pPr>
        <w:pStyle w:val="10"/>
        <w:jc w:val="center"/>
        <w:rPr>
          <w:sz w:val="84"/>
          <w:szCs w:val="84"/>
        </w:rPr>
      </w:pPr>
      <w:r>
        <w:rPr>
          <w:rFonts w:hint="eastAsia"/>
          <w:sz w:val="84"/>
          <w:szCs w:val="84"/>
        </w:rPr>
        <w:t>2021年度</w:t>
      </w:r>
    </w:p>
    <w:p>
      <w:pPr>
        <w:pStyle w:val="10"/>
        <w:jc w:val="center"/>
        <w:rPr>
          <w:sz w:val="84"/>
          <w:szCs w:val="84"/>
        </w:rPr>
      </w:pPr>
      <w:r>
        <w:rPr>
          <w:rFonts w:hint="eastAsia"/>
          <w:sz w:val="84"/>
          <w:szCs w:val="84"/>
        </w:rPr>
        <w:t>鹤城区卫生计生综合监督执法局部门决算</w:t>
      </w: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32"/>
          <w:szCs w:val="32"/>
        </w:rPr>
      </w:pPr>
    </w:p>
    <w:p>
      <w:pPr>
        <w:pStyle w:val="10"/>
        <w:jc w:val="center"/>
        <w:rPr>
          <w:sz w:val="32"/>
          <w:szCs w:val="32"/>
        </w:rPr>
      </w:pPr>
    </w:p>
    <w:p>
      <w:pPr>
        <w:pStyle w:val="10"/>
        <w:jc w:val="center"/>
        <w:rPr>
          <w:sz w:val="32"/>
          <w:szCs w:val="32"/>
        </w:rPr>
      </w:pPr>
    </w:p>
    <w:p>
      <w:pPr>
        <w:pStyle w:val="10"/>
        <w:jc w:val="center"/>
        <w:rPr>
          <w:sz w:val="32"/>
          <w:szCs w:val="32"/>
        </w:rPr>
      </w:pPr>
    </w:p>
    <w:p>
      <w:pPr>
        <w:pStyle w:val="10"/>
        <w:jc w:val="center"/>
        <w:rPr>
          <w:sz w:val="32"/>
          <w:szCs w:val="32"/>
        </w:rPr>
      </w:pPr>
    </w:p>
    <w:p>
      <w:pPr>
        <w:pStyle w:val="10"/>
        <w:spacing w:line="500" w:lineRule="exact"/>
        <w:jc w:val="center"/>
        <w:rPr>
          <w:b/>
          <w:sz w:val="36"/>
          <w:szCs w:val="28"/>
        </w:rPr>
      </w:pPr>
      <w:r>
        <w:rPr>
          <w:rFonts w:hint="eastAsia"/>
          <w:b/>
          <w:sz w:val="36"/>
          <w:szCs w:val="28"/>
        </w:rPr>
        <w:t>目录</w:t>
      </w:r>
    </w:p>
    <w:p>
      <w:pPr>
        <w:pStyle w:val="10"/>
        <w:spacing w:line="500" w:lineRule="exact"/>
        <w:rPr>
          <w:rFonts w:ascii="仿宋_GB2312" w:hAnsi="仿宋_GB2312" w:cs="仿宋_GB2312"/>
          <w:b/>
          <w:sz w:val="28"/>
          <w:szCs w:val="28"/>
        </w:rPr>
      </w:pPr>
      <w:r>
        <w:rPr>
          <w:rFonts w:hint="eastAsia"/>
          <w:b/>
          <w:sz w:val="28"/>
          <w:szCs w:val="28"/>
        </w:rPr>
        <w:t>第一部分鹤城区卫生计生综合监督执法局概况</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0"/>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0"/>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0"/>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cs="仿宋_GB2312" w:asciiTheme="minorEastAsia" w:hAnsiTheme="minorEastAsia"/>
          <w:sz w:val="28"/>
          <w:szCs w:val="28"/>
        </w:rPr>
      </w:pPr>
      <w:r>
        <w:rPr>
          <w:rFonts w:hint="eastAsia" w:ascii="仿宋_GB2312" w:hAnsi="仿宋_GB2312" w:cs="仿宋_GB2312"/>
          <w:color w:val="000000"/>
          <w:kern w:val="0"/>
          <w:sz w:val="28"/>
          <w:szCs w:val="28"/>
        </w:rPr>
        <w:t>九、</w:t>
      </w:r>
      <w:r>
        <w:rPr>
          <w:rFonts w:hint="eastAsia" w:cs="仿宋_GB2312" w:asciiTheme="minorEastAsia" w:hAnsiTheme="minorEastAsia"/>
          <w:sz w:val="28"/>
          <w:szCs w:val="28"/>
        </w:rPr>
        <w:t>国有资本经营预算财政拨款收支决算情况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十二、政府采购支出说明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ind w:firstLine="135" w:firstLineChars="48"/>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r>
        <w:rPr>
          <w:rFonts w:hint="eastAsia" w:ascii="黑体" w:hAnsi="黑体" w:eastAsia="黑体" w:cs="黑体"/>
          <w:b/>
          <w:color w:val="000000"/>
          <w:kern w:val="0"/>
          <w:sz w:val="28"/>
          <w:szCs w:val="28"/>
        </w:rPr>
        <w:t xml:space="preserve">    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0"/>
        <w:jc w:val="center"/>
        <w:rPr>
          <w:sz w:val="84"/>
          <w:szCs w:val="84"/>
        </w:rPr>
      </w:pPr>
      <w:r>
        <w:rPr>
          <w:rFonts w:hint="eastAsia"/>
          <w:sz w:val="84"/>
          <w:szCs w:val="84"/>
        </w:rPr>
        <w:t>第一部分</w:t>
      </w:r>
    </w:p>
    <w:p>
      <w:pPr>
        <w:pStyle w:val="10"/>
        <w:jc w:val="center"/>
        <w:rPr>
          <w:sz w:val="84"/>
          <w:szCs w:val="84"/>
        </w:rPr>
      </w:pPr>
    </w:p>
    <w:p>
      <w:pPr>
        <w:pStyle w:val="10"/>
        <w:jc w:val="center"/>
        <w:rPr>
          <w:sz w:val="84"/>
          <w:szCs w:val="84"/>
        </w:rPr>
      </w:pPr>
      <w:r>
        <w:rPr>
          <w:rFonts w:hint="eastAsia"/>
          <w:sz w:val="84"/>
          <w:szCs w:val="84"/>
        </w:rPr>
        <w:t>鹤城区卫生计生综合监督执法局概况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1"/>
        <w:ind w:left="0" w:leftChars="0" w:firstLine="0" w:firstLineChars="0"/>
        <w:jc w:val="left"/>
        <w:rPr>
          <w:rFonts w:ascii="黑体" w:hAnsi="黑体" w:eastAsia="黑体"/>
          <w:sz w:val="32"/>
          <w:szCs w:val="32"/>
        </w:rPr>
      </w:pPr>
    </w:p>
    <w:p>
      <w:pPr>
        <w:pStyle w:val="11"/>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widowControl/>
        <w:spacing w:line="600" w:lineRule="exact"/>
        <w:ind w:firstLine="640" w:firstLineChars="200"/>
        <w:rPr>
          <w:rFonts w:ascii="仿宋_GB2312" w:eastAsia="仿宋_GB2312"/>
          <w:sz w:val="32"/>
          <w:szCs w:val="32"/>
        </w:rPr>
      </w:pPr>
      <w:r>
        <w:rPr>
          <w:rFonts w:hint="eastAsia" w:ascii="仿宋" w:hAnsi="仿宋" w:eastAsia="仿宋" w:cs="仿宋"/>
          <w:sz w:val="32"/>
          <w:szCs w:val="32"/>
        </w:rPr>
        <w:t>为人民身体健康提供卫生监督保障。公共场所卫生监督管理、100张以内病床医疗机构执业资格、执业行为审查及发证后监督管</w:t>
      </w:r>
      <w:r>
        <w:rPr>
          <w:rFonts w:hint="eastAsia"/>
          <w:sz w:val="32"/>
          <w:szCs w:val="32"/>
        </w:rPr>
        <w:t>理</w:t>
      </w:r>
      <w:r>
        <w:rPr>
          <w:rFonts w:hint="eastAsia" w:ascii="仿宋_GB2312" w:eastAsia="仿宋_GB2312"/>
          <w:sz w:val="32"/>
          <w:szCs w:val="32"/>
        </w:rPr>
        <w:t>。</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spacing w:line="560" w:lineRule="exact"/>
        <w:ind w:firstLine="640" w:firstLineChars="200"/>
        <w:rPr>
          <w:rFonts w:ascii="仿宋_GB2312" w:eastAsia="仿宋_GB2312"/>
          <w:sz w:val="32"/>
          <w:szCs w:val="32"/>
        </w:rPr>
      </w:pPr>
      <w:r>
        <w:rPr>
          <w:rFonts w:hint="eastAsia" w:asciiTheme="minorEastAsia" w:hAnsiTheme="minorEastAsia"/>
          <w:bCs/>
          <w:kern w:val="0"/>
          <w:sz w:val="32"/>
          <w:szCs w:val="32"/>
        </w:rPr>
        <w:t>（一）内设机构设置。</w:t>
      </w:r>
      <w:r>
        <w:rPr>
          <w:rFonts w:hint="eastAsia" w:ascii="仿宋_GB2312" w:eastAsia="仿宋_GB2312"/>
          <w:sz w:val="32"/>
          <w:szCs w:val="32"/>
        </w:rPr>
        <w:t>鹤城区卫生计生综合监督执法局</w:t>
      </w:r>
      <w:r>
        <w:rPr>
          <w:rFonts w:hint="eastAsia" w:asciiTheme="minorEastAsia" w:hAnsiTheme="minorEastAsia"/>
          <w:bCs/>
          <w:kern w:val="0"/>
          <w:sz w:val="32"/>
          <w:szCs w:val="32"/>
        </w:rPr>
        <w:t>内设机构包括：</w:t>
      </w:r>
      <w:r>
        <w:rPr>
          <w:rFonts w:hint="eastAsia" w:ascii="仿宋_GB2312" w:eastAsia="仿宋_GB2312"/>
          <w:sz w:val="32"/>
          <w:szCs w:val="32"/>
        </w:rPr>
        <w:t>医疗执业科、公共场所科、学校科、计划生育执法科、稽查科、办公室六个科室。</w:t>
      </w:r>
    </w:p>
    <w:p>
      <w:pPr>
        <w:widowControl/>
        <w:spacing w:line="600" w:lineRule="exact"/>
        <w:ind w:firstLine="640" w:firstLineChars="200"/>
        <w:rPr>
          <w:rFonts w:asciiTheme="minorEastAsia" w:hAnsiTheme="minorEastAsia"/>
          <w:bCs/>
          <w:kern w:val="0"/>
          <w:sz w:val="32"/>
          <w:szCs w:val="32"/>
        </w:rPr>
      </w:pPr>
      <w:r>
        <w:rPr>
          <w:rFonts w:hint="eastAsia" w:asciiTheme="minorEastAsia" w:hAnsiTheme="minorEastAsia"/>
          <w:bCs/>
          <w:kern w:val="0"/>
          <w:sz w:val="32"/>
          <w:szCs w:val="32"/>
        </w:rPr>
        <w:t>（二）决算单位构成。</w:t>
      </w:r>
      <w:r>
        <w:rPr>
          <w:rFonts w:hint="eastAsia" w:ascii="仿宋_GB2312" w:eastAsia="仿宋_GB2312"/>
          <w:sz w:val="32"/>
          <w:szCs w:val="32"/>
        </w:rPr>
        <w:t>鹤城区卫生计生综合监督执法局</w:t>
      </w:r>
      <w:r>
        <w:rPr>
          <w:rFonts w:asciiTheme="minorEastAsia" w:hAnsiTheme="minorEastAsia"/>
          <w:bCs/>
          <w:kern w:val="0"/>
          <w:sz w:val="32"/>
          <w:szCs w:val="32"/>
        </w:rPr>
        <w:t>20</w:t>
      </w:r>
      <w:r>
        <w:rPr>
          <w:rFonts w:hint="eastAsia" w:asciiTheme="minorEastAsia" w:hAnsiTheme="minorEastAsia"/>
          <w:bCs/>
          <w:kern w:val="0"/>
          <w:sz w:val="32"/>
          <w:szCs w:val="32"/>
        </w:rPr>
        <w:t>20年部门决算汇总公开单位构成包括：</w:t>
      </w:r>
      <w:r>
        <w:rPr>
          <w:rFonts w:hint="eastAsia" w:ascii="仿宋_GB2312" w:eastAsia="仿宋_GB2312"/>
          <w:sz w:val="32"/>
          <w:szCs w:val="32"/>
        </w:rPr>
        <w:t>鹤城区卫生计生综合监督执法局</w:t>
      </w:r>
      <w:r>
        <w:rPr>
          <w:rFonts w:hint="eastAsia" w:asciiTheme="minorEastAsia" w:hAnsiTheme="minorEastAsia"/>
          <w:bCs/>
          <w:kern w:val="0"/>
          <w:sz w:val="32"/>
          <w:szCs w:val="32"/>
        </w:rPr>
        <w:t>本级</w:t>
      </w:r>
    </w:p>
    <w:p>
      <w:pPr>
        <w:widowControl/>
        <w:spacing w:line="600" w:lineRule="exact"/>
        <w:rPr>
          <w:rFonts w:asciiTheme="minorEastAsia" w:hAnsiTheme="minorEastAsia"/>
          <w:bCs/>
          <w:kern w:val="0"/>
          <w:sz w:val="32"/>
          <w:szCs w:val="32"/>
        </w:rPr>
      </w:pP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r>
        <w:rPr>
          <w:sz w:val="72"/>
          <w:szCs w:val="72"/>
        </w:rPr>
        <w:br w:type="textWrapping"/>
      </w:r>
      <w:r>
        <w:rPr>
          <w:rFonts w:hint="eastAsia"/>
          <w:sz w:val="72"/>
          <w:szCs w:val="72"/>
        </w:rPr>
        <w:t>（表格见附件）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10"/>
        <w:rPr>
          <w:sz w:val="72"/>
          <w:szCs w:val="72"/>
        </w:rPr>
      </w:pPr>
    </w:p>
    <w:p>
      <w:pPr>
        <w:pStyle w:val="10"/>
        <w:rPr>
          <w:sz w:val="72"/>
          <w:szCs w:val="72"/>
        </w:rPr>
      </w:pPr>
    </w:p>
    <w:p>
      <w:pPr>
        <w:pStyle w:val="10"/>
        <w:rPr>
          <w:sz w:val="72"/>
          <w:szCs w:val="72"/>
        </w:rPr>
      </w:pPr>
    </w:p>
    <w:p>
      <w:pPr>
        <w:pStyle w:val="10"/>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第三部分</w:t>
      </w:r>
    </w:p>
    <w:p>
      <w:pPr>
        <w:pStyle w:val="10"/>
        <w:jc w:val="center"/>
        <w:rPr>
          <w:sz w:val="70"/>
          <w:szCs w:val="70"/>
        </w:rPr>
      </w:pPr>
    </w:p>
    <w:p>
      <w:pPr>
        <w:pStyle w:val="10"/>
        <w:jc w:val="center"/>
        <w:rPr>
          <w:sz w:val="70"/>
          <w:szCs w:val="70"/>
        </w:rPr>
      </w:pPr>
      <w:r>
        <w:rPr>
          <w:sz w:val="70"/>
          <w:szCs w:val="70"/>
        </w:rPr>
        <w:t>20</w:t>
      </w:r>
      <w:r>
        <w:rPr>
          <w:rFonts w:hint="eastAsia"/>
          <w:sz w:val="70"/>
          <w:szCs w:val="70"/>
        </w:rPr>
        <w:t>21年度部门决算情况说明</w:t>
      </w:r>
    </w:p>
    <w:p>
      <w:pPr>
        <w:widowControl/>
        <w:jc w:val="left"/>
        <w:rPr>
          <w:rFonts w:asciiTheme="minorEastAsia" w:hAnsiTheme="minorEastAsia" w:eastAsiaTheme="minorEastAsia"/>
          <w:sz w:val="32"/>
          <w:szCs w:val="32"/>
        </w:rPr>
      </w:pPr>
      <w:r>
        <w:rPr>
          <w:sz w:val="70"/>
          <w:szCs w:val="70"/>
        </w:rPr>
        <w:br w:type="page"/>
      </w:r>
    </w:p>
    <w:p>
      <w:pPr>
        <w:pStyle w:val="10"/>
        <w:rPr>
          <w:rFonts w:hAnsi="黑体"/>
          <w:b/>
          <w:sz w:val="32"/>
          <w:szCs w:val="32"/>
        </w:rPr>
      </w:pPr>
      <w:r>
        <w:rPr>
          <w:rFonts w:hint="eastAsia" w:hAnsi="黑体"/>
          <w:b/>
          <w:sz w:val="32"/>
          <w:szCs w:val="32"/>
        </w:rPr>
        <w:t>一、收入支出决算总体情况说明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w:t>
      </w:r>
      <w:r>
        <w:rPr>
          <w:rFonts w:hint="eastAsia" w:asciiTheme="minorEastAsia" w:hAnsiTheme="minorEastAsia" w:eastAsiaTheme="minorEastAsia"/>
          <w:sz w:val="32"/>
          <w:szCs w:val="32"/>
          <w:lang w:val="en-US" w:eastAsia="zh-CN"/>
        </w:rPr>
        <w:t>总</w:t>
      </w:r>
      <w:r>
        <w:rPr>
          <w:rFonts w:hint="eastAsia" w:asciiTheme="minorEastAsia" w:hAnsiTheme="minorEastAsia" w:eastAsiaTheme="minorEastAsia"/>
          <w:sz w:val="32"/>
          <w:szCs w:val="32"/>
        </w:rPr>
        <w:t>计290.52万元。与上年相比，减少61.28万元，减少17.42%，主要是因为上级补助收入减少。</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w:t>
      </w:r>
      <w:r>
        <w:rPr>
          <w:rFonts w:hint="eastAsia" w:asciiTheme="minorEastAsia" w:hAnsiTheme="minorEastAsia" w:eastAsiaTheme="minorEastAsia"/>
          <w:sz w:val="32"/>
          <w:szCs w:val="32"/>
          <w:lang w:val="en-US" w:eastAsia="zh-CN"/>
        </w:rPr>
        <w:t>总</w:t>
      </w:r>
      <w:r>
        <w:rPr>
          <w:rFonts w:hint="eastAsia" w:asciiTheme="minorEastAsia" w:hAnsiTheme="minorEastAsia" w:eastAsiaTheme="minorEastAsia"/>
          <w:sz w:val="32"/>
          <w:szCs w:val="32"/>
        </w:rPr>
        <w:t>计290.52万元。与上年相比，减少61.28万元，减少17.42%，主要是因为项目经费的减少。</w:t>
      </w:r>
    </w:p>
    <w:p>
      <w:pPr>
        <w:pStyle w:val="10"/>
        <w:rPr>
          <w:rFonts w:hAnsi="黑体"/>
          <w:b/>
          <w:sz w:val="32"/>
          <w:szCs w:val="32"/>
        </w:rPr>
      </w:pPr>
      <w:r>
        <w:rPr>
          <w:rFonts w:hint="eastAsia" w:hAnsi="黑体"/>
          <w:b/>
          <w:sz w:val="32"/>
          <w:szCs w:val="32"/>
        </w:rPr>
        <w:t>二、收入决算情况说明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2021年度收入合计290.52万元，其中：财政拨款收入238.44万元，占82.1%；上级补助收入0万元，占0%；事业收入0万元，占0%；经营收入0万元，占0%；附属单位上缴收入0万元，占0%；其他收入52.08万元，占17.9%。</w:t>
      </w:r>
    </w:p>
    <w:p>
      <w:pPr>
        <w:pStyle w:val="10"/>
        <w:rPr>
          <w:rFonts w:hAnsi="黑体"/>
          <w:b/>
          <w:sz w:val="32"/>
          <w:szCs w:val="32"/>
        </w:rPr>
      </w:pPr>
      <w:r>
        <w:rPr>
          <w:rFonts w:hint="eastAsia" w:hAnsi="黑体"/>
          <w:b/>
          <w:sz w:val="32"/>
          <w:szCs w:val="32"/>
        </w:rPr>
        <w:t>三、支出决算情况说明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2021年度支出合计290.52万元，其中：基本支出289.02万元，占99.48%；项目支出1.5万元，占0.52%；上缴上级支出0万元，占0%；经营支出0万元，占0%；对附属单位补助支出0万元，占0%。</w:t>
      </w:r>
    </w:p>
    <w:p>
      <w:pPr>
        <w:pStyle w:val="10"/>
        <w:rPr>
          <w:rFonts w:hAnsi="黑体"/>
          <w:b/>
          <w:sz w:val="32"/>
          <w:szCs w:val="32"/>
        </w:rPr>
      </w:pPr>
      <w:r>
        <w:rPr>
          <w:rFonts w:hint="eastAsia" w:hAnsi="黑体"/>
          <w:b/>
          <w:sz w:val="32"/>
          <w:szCs w:val="32"/>
        </w:rPr>
        <w:t>四、财政拨款收入支出决算总体情况说明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2021年度财政拨款收入合计238.44万元。与上年相比，增加4.7万元，增长2%，主要是因为人员经费增加。</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2021年度财政拨款支出合计238.44万元。与上年相比，增加4.7万元，增长2%，主要是因为人员经费增加。</w:t>
      </w:r>
    </w:p>
    <w:p>
      <w:pPr>
        <w:pStyle w:val="10"/>
        <w:rPr>
          <w:rFonts w:hAnsi="黑体"/>
          <w:b/>
          <w:sz w:val="32"/>
          <w:szCs w:val="32"/>
        </w:rPr>
      </w:pPr>
      <w:r>
        <w:rPr>
          <w:rFonts w:hint="eastAsia" w:hAnsi="黑体"/>
          <w:b/>
          <w:sz w:val="32"/>
          <w:szCs w:val="32"/>
        </w:rPr>
        <w:t>五、一般公共预算财政拨款支出决算情况说明</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2021年度财政拨款支出238.44万元，占本年支出合计的82%，与上年相比，财政拨款支出增加4.7万元，增长2%，主要是因为人员经费增加。</w:t>
      </w:r>
    </w:p>
    <w:p>
      <w:pPr>
        <w:pStyle w:val="10"/>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2021年度财政拨款支出238.44万元，主要用于以下方面：社会保障和就业支出21.71万元，占9.1%；卫生健康支出</w:t>
      </w:r>
      <w:r>
        <w:rPr>
          <w:rFonts w:hint="eastAsia" w:asciiTheme="minorEastAsia" w:hAnsiTheme="minorEastAsia" w:eastAsiaTheme="minorEastAsia"/>
          <w:sz w:val="32"/>
          <w:szCs w:val="32"/>
          <w:lang w:val="en-US" w:eastAsia="zh-CN"/>
        </w:rPr>
        <w:t>216.73</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90.9</w:t>
      </w:r>
      <w:r>
        <w:rPr>
          <w:rFonts w:hint="eastAsia" w:asciiTheme="minorEastAsia" w:hAnsiTheme="minorEastAsia" w:eastAsiaTheme="minorEastAsia"/>
          <w:sz w:val="32"/>
          <w:szCs w:val="32"/>
        </w:rPr>
        <w:t>%;行政事业单位医疗支出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2021年度财政拨款支出年初预算数为237.44万元，支出决算数为238.44万元，完成年初预算的100%，其中：</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1、社会保障和就业支出（类）行政事业单位养老支出（款）机关事业单位基本养老保险缴费支出（项）。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年初预算为21.71万元，支出决算为21.71万元，完成年初预算的100%，决算数等于年初预算数的主要原因是：职工养老保险。</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2、卫生健康支出（类）卫生健康管理事务（款）一般行政管理事务（项）。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年初预算为1.5万元，支出决算为1.5万元，完成年初预算的100%，决算数等于年初预算数的主要原因是：一般行政管理事务</w:t>
      </w:r>
    </w:p>
    <w:p>
      <w:pPr>
        <w:pStyle w:val="10"/>
        <w:numPr>
          <w:ilvl w:val="0"/>
          <w:numId w:val="2"/>
        </w:numPr>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卫生健康支出（类）公共卫生（款）卫生监督机构（项）。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年初预算为204.37万元，支出决算为204.37万元，完成年初预算的100%，决算数等于年初预算数的主要原因是：机关行政开支</w:t>
      </w:r>
    </w:p>
    <w:p>
      <w:pPr>
        <w:pStyle w:val="10"/>
        <w:numPr>
          <w:ilvl w:val="0"/>
          <w:numId w:val="2"/>
        </w:numPr>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卫生健康支出（类）行政事业单位医疗（款）行政单位医疗（项）。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年初预算为10.86万元，支出决算为10.86万元，完成年初预算的100%，决算数等于年初预算数的主要原因是：职工基本医疗。</w:t>
      </w:r>
    </w:p>
    <w:p>
      <w:pPr>
        <w:pStyle w:val="10"/>
        <w:rPr>
          <w:rFonts w:hAnsi="黑体"/>
          <w:b/>
          <w:sz w:val="32"/>
          <w:szCs w:val="32"/>
        </w:rPr>
      </w:pPr>
      <w:r>
        <w:rPr>
          <w:rFonts w:hint="eastAsia" w:hAnsi="黑体"/>
          <w:b/>
          <w:sz w:val="32"/>
          <w:szCs w:val="32"/>
        </w:rPr>
        <w:t>六、一般公共预算财政拨款基本支出决算情况说明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2021年度财政拨款基本支出</w:t>
      </w:r>
      <w:r>
        <w:rPr>
          <w:rFonts w:hint="eastAsia" w:asciiTheme="minorEastAsia" w:hAnsiTheme="minorEastAsia" w:eastAsiaTheme="minorEastAsia"/>
          <w:sz w:val="32"/>
          <w:szCs w:val="32"/>
          <w:lang w:val="en-US" w:eastAsia="zh-CN"/>
        </w:rPr>
        <w:t>236.94</w:t>
      </w:r>
      <w:r>
        <w:rPr>
          <w:rFonts w:hint="eastAsia" w:asciiTheme="minorEastAsia" w:hAnsiTheme="minorEastAsia" w:eastAsiaTheme="minorEastAsia"/>
          <w:sz w:val="32"/>
          <w:szCs w:val="32"/>
        </w:rPr>
        <w:t>万元，其中：人员经费222.87万元，占基本支出的93.5%,主要包括基本工资、津贴补贴、奖金、伙食补助费、机关事业单位基本养老保险费、职工基本医疗保险缴费、其他社会保障缴费、住房公积金、其他工资福利支出、离休费、抚恤金、生活补助、医疗费补助、奖励金、其他对个人和家庭的补助；公用经费14.07万元，占基本支出的6.5%，主要包括办公费、印刷费、咨询费、手续费、水费、电费、邮电费、差旅费、工会经费、福利费、其他商品和服务支出。</w:t>
      </w:r>
    </w:p>
    <w:p>
      <w:pPr>
        <w:pStyle w:val="10"/>
        <w:rPr>
          <w:rFonts w:hAnsi="黑体"/>
          <w:b/>
          <w:sz w:val="32"/>
          <w:szCs w:val="32"/>
        </w:rPr>
      </w:pPr>
      <w:r>
        <w:rPr>
          <w:rFonts w:hint="eastAsia" w:hAnsi="黑体"/>
          <w:b/>
          <w:sz w:val="32"/>
          <w:szCs w:val="32"/>
        </w:rPr>
        <w:t>七、一般公共预算财政拨款“三公”经费支出决算情况说明</w:t>
      </w:r>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2021年度“三公”经费财政拨款支出预算为1.3万元，支出决算为0.25万元，完成预算的19%，其中：</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因公出国（境）费支出预算为0万元，支出决算为0万元，因预算金额为0万元，无法计算百分比。</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公务接待费支出预算为1.3万元，支出决算为0.25万元，完成预算的19%，决算数小于预算数的主要原因是缩减开支，与上年相比减少1.55万元，减少86%,减少的主要原因是正常公务接待人次减少。</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公务用车购置费支出预算为0万元，支出决算为0万元，因预算金额为0万元，无法计算百分比。</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公务用车运行维护费支出预算为0万元，支出决算为0万元，因预算金额为0万元，无法计算百分比。</w:t>
      </w:r>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2021年度“三公”经费财政拨款支出决算中，公务接待费支出决算0.25万元，占100%,因公出国（境）费支出决算0万元，占0%,公务用车购置费及运行维护费支出决算0万元，占0%。其中：</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sz w:val="32"/>
          <w:szCs w:val="32"/>
        </w:rPr>
        <w:t>1、因公出国（境）费支出决算为0万元，全年安排因公出国（境）团组0个，累计0人次。</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2、公务接待费支出决算为0.25万元，全年共接待来访团组0个、来宾30人次，主要是各县级兄弟单位联合工作发生的接待支出。</w:t>
      </w:r>
    </w:p>
    <w:p>
      <w:pPr>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3、公务用车购置费及运行维护费支出决算为0万元，其中：公务用车购置费0万元，鹤城区卫生计生综合监督执法局更新公务用车0辆。公务用车运行维护费0万元，截止2021年12月31日，我单位开支财政拨款的公务用车保有量为0辆。</w:t>
      </w:r>
    </w:p>
    <w:p>
      <w:pPr>
        <w:pStyle w:val="10"/>
        <w:rPr>
          <w:rFonts w:hAnsi="黑体"/>
          <w:b/>
          <w:sz w:val="32"/>
          <w:szCs w:val="32"/>
        </w:rPr>
      </w:pPr>
      <w:r>
        <w:rPr>
          <w:rFonts w:hint="eastAsia" w:hAnsi="黑体"/>
          <w:b/>
          <w:sz w:val="32"/>
          <w:szCs w:val="32"/>
        </w:rPr>
        <w:t>八、政府性基金预算收入支出决算情况</w:t>
      </w:r>
    </w:p>
    <w:p>
      <w:pPr>
        <w:pStyle w:val="10"/>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cstheme="minorBidi"/>
          <w:color w:val="auto"/>
          <w:kern w:val="2"/>
          <w:sz w:val="32"/>
          <w:szCs w:val="32"/>
          <w:lang w:val="en-US" w:eastAsia="zh-CN" w:bidi="ar-SA"/>
        </w:rPr>
        <w:t>2021年度政府性基金预算财政拨款收入0万元；年初结转和结余0万元；支出0万元，其中基本支出0万元，项目支出0万元；年末结转和结余0万元。</w:t>
      </w:r>
    </w:p>
    <w:p>
      <w:pPr>
        <w:pStyle w:val="10"/>
        <w:numPr>
          <w:ilvl w:val="0"/>
          <w:numId w:val="3"/>
        </w:numPr>
        <w:rPr>
          <w:rFonts w:hAnsi="黑体"/>
          <w:b/>
          <w:sz w:val="32"/>
          <w:szCs w:val="32"/>
        </w:rPr>
      </w:pPr>
      <w:r>
        <w:rPr>
          <w:rFonts w:hint="eastAsia" w:hAnsi="黑体"/>
          <w:b/>
          <w:sz w:val="32"/>
          <w:szCs w:val="32"/>
        </w:rPr>
        <w:t>国有资本经营预算财政拨款支出情况</w:t>
      </w:r>
    </w:p>
    <w:p>
      <w:pPr>
        <w:pStyle w:val="10"/>
        <w:ind w:firstLine="640" w:firstLineChars="200"/>
        <w:rPr>
          <w:rFonts w:hAnsi="黑体"/>
          <w:bCs/>
          <w:sz w:val="32"/>
          <w:szCs w:val="32"/>
        </w:rPr>
      </w:pPr>
      <w:r>
        <w:rPr>
          <w:rFonts w:hint="eastAsia" w:asciiTheme="minorEastAsia" w:hAnsiTheme="minorEastAsia" w:eastAsiaTheme="minorEastAsia" w:cstheme="minorBidi"/>
          <w:color w:val="auto"/>
          <w:kern w:val="2"/>
          <w:sz w:val="32"/>
          <w:szCs w:val="32"/>
          <w:lang w:val="en-US" w:eastAsia="zh-CN" w:bidi="ar-SA"/>
        </w:rPr>
        <w:t>2021年度国有资本经营预算财政拨款收入0万元；年初结转和结余0万元；支出0万元，其中基本支出0万元，项目支出0万元；年末结转和结余0万元。</w:t>
      </w:r>
    </w:p>
    <w:p>
      <w:pPr>
        <w:pStyle w:val="10"/>
        <w:rPr>
          <w:rFonts w:hAnsi="黑体"/>
          <w:b/>
          <w:sz w:val="32"/>
          <w:szCs w:val="32"/>
        </w:rPr>
      </w:pPr>
      <w:r>
        <w:rPr>
          <w:rFonts w:hint="eastAsia" w:hAnsi="黑体"/>
          <w:b/>
          <w:sz w:val="32"/>
          <w:szCs w:val="32"/>
        </w:rPr>
        <w:t>十、机关运行经费支出说明</w:t>
      </w:r>
    </w:p>
    <w:p>
      <w:pPr>
        <w:pStyle w:val="10"/>
        <w:ind w:firstLine="640" w:firstLineChars="200"/>
        <w:rPr>
          <w:rFonts w:asciiTheme="minorEastAsia" w:hAnsiTheme="minorEastAsia" w:eastAsiaTheme="minorEastAsia"/>
          <w:color w:val="FF0000"/>
          <w:sz w:val="32"/>
          <w:szCs w:val="32"/>
        </w:rPr>
      </w:pPr>
      <w:r>
        <w:rPr>
          <w:rFonts w:hint="eastAsia" w:asciiTheme="minorEastAsia" w:hAnsiTheme="minorEastAsia" w:eastAsiaTheme="minorEastAsia"/>
          <w:sz w:val="32"/>
          <w:szCs w:val="32"/>
        </w:rPr>
        <w:t>本部门2021年度机关运行经费支出14.07万元，比年初预算数减少42.6 万元，降低75%。主要原因是：公用经费的减少。</w:t>
      </w:r>
    </w:p>
    <w:p>
      <w:pPr>
        <w:pStyle w:val="10"/>
        <w:rPr>
          <w:rFonts w:hAnsi="黑体"/>
          <w:b/>
          <w:sz w:val="32"/>
          <w:szCs w:val="32"/>
        </w:rPr>
      </w:pPr>
      <w:r>
        <w:rPr>
          <w:rFonts w:hint="eastAsia" w:hAnsi="黑体"/>
          <w:b/>
          <w:sz w:val="32"/>
          <w:szCs w:val="32"/>
        </w:rPr>
        <w:t>十一、一般性支出情况说明</w:t>
      </w:r>
    </w:p>
    <w:p>
      <w:pPr>
        <w:pStyle w:val="10"/>
        <w:ind w:firstLine="640" w:firstLineChars="200"/>
        <w:rPr>
          <w:rFonts w:asciiTheme="minorEastAsia" w:hAnsiTheme="minorEastAsia" w:eastAsiaTheme="minorEastAsia"/>
          <w:color w:val="FF0000"/>
          <w:sz w:val="32"/>
          <w:szCs w:val="32"/>
        </w:rPr>
      </w:pPr>
      <w:r>
        <w:rPr>
          <w:rFonts w:hint="eastAsia" w:asciiTheme="minorEastAsia" w:hAnsiTheme="minorEastAsia" w:eastAsiaTheme="minorEastAsia" w:cstheme="minorBidi"/>
          <w:color w:val="auto"/>
          <w:kern w:val="2"/>
          <w:sz w:val="32"/>
          <w:szCs w:val="32"/>
          <w:lang w:val="en-US" w:eastAsia="zh-CN" w:bidi="ar-SA"/>
        </w:rPr>
        <w:t>2021年本部门开支会议费0万元，用于召开0会议，人数0人，内容为无；开支培训费0万元，用于开展0培训，人数0人，内容为无；举办0场节庆、晚会、论坛、赛事活动，开支0万元。</w:t>
      </w:r>
      <w:bookmarkStart w:id="0" w:name="_GoBack"/>
      <w:bookmarkEnd w:id="0"/>
    </w:p>
    <w:p>
      <w:pPr>
        <w:pStyle w:val="10"/>
        <w:rPr>
          <w:rFonts w:hAnsi="黑体"/>
          <w:b/>
          <w:sz w:val="32"/>
          <w:szCs w:val="32"/>
        </w:rPr>
      </w:pPr>
      <w:r>
        <w:rPr>
          <w:rFonts w:hint="eastAsia" w:hAnsi="黑体"/>
          <w:b/>
          <w:sz w:val="32"/>
          <w:szCs w:val="32"/>
        </w:rPr>
        <w:t>十二、政府采购支出说明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本部门2021年度政府采购支出总额0万元，其中：政府采购货物支出0 万元、政府采购工程支出0万元、政府采购服务支出0万元。授予中小企业合同金额0万元，占政府采购支出总额的0%，其中：授予小微企业合同金额0万元，占授予中小企业合同金额的0%；货物采购授予中小企业合同金额占货物支出金额的0%，工程采购授予中小企业合同金额占工程支出金额的0%，服务采购授予中小企业合同金额占服务支出金额的0%。</w:t>
      </w:r>
    </w:p>
    <w:p>
      <w:pPr>
        <w:pStyle w:val="10"/>
        <w:rPr>
          <w:rFonts w:hAnsi="黑体"/>
          <w:b/>
          <w:sz w:val="32"/>
          <w:szCs w:val="32"/>
        </w:rPr>
      </w:pPr>
      <w:r>
        <w:rPr>
          <w:rFonts w:hint="eastAsia" w:hAnsi="黑体"/>
          <w:b/>
          <w:sz w:val="32"/>
          <w:szCs w:val="32"/>
        </w:rPr>
        <w:t>十三、国有资产占用情况说明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2021年12月31日，部门（单位）共有车辆0辆，其中，主要领导干部用车0辆，机要通信用车0辆、应急保障用车0辆、执法执勤用车0辆、特种专业技术用车0辆、其他用车0辆；单位价值50万元以上通用设备0台（套）；单位价值100万元以上专用设备0台（套）。</w:t>
      </w:r>
    </w:p>
    <w:p>
      <w:pPr>
        <w:pStyle w:val="10"/>
        <w:rPr>
          <w:rFonts w:hAnsi="黑体"/>
          <w:b/>
          <w:sz w:val="32"/>
          <w:szCs w:val="32"/>
        </w:rPr>
      </w:pPr>
      <w:r>
        <w:rPr>
          <w:rFonts w:hint="eastAsia" w:hAnsi="黑体"/>
          <w:b/>
          <w:sz w:val="32"/>
          <w:szCs w:val="32"/>
        </w:rPr>
        <w:t>十四、2021年度预算绩效情况说明</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根据预算绩效管理要求，我部门组织对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年度一般公共预算项目支出全面开展绩效自评，其中，一级项目0个，二级项目1个，共涉及资金1.5万元，占一般公共预算项目支出总额的100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年度等0个政府性基金预算项目支出开展绩效自评，共涉及资金0万元，占政府性基金预算项目支出总额的0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年度0等0个国有资本经营预算项目支出开展绩效自评，共涉及资金0万元，占国有资本经营预算项目支出总额的0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（2）部门决算中项目绩效自评结果（如有）。</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专项资金项目绩效自评综述：根据年初设定的绩效目标，项目绩效自评得分为98分。项目全年预算数为1.5万元，执行数为1.5万元，完成预算的100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w:t>
      </w:r>
    </w:p>
    <w:p>
      <w:pPr>
        <w:spacing w:line="600" w:lineRule="exact"/>
        <w:ind w:firstLine="640" w:firstLineChars="200"/>
        <w:rPr>
          <w:rFonts w:asciiTheme="minorEastAsia" w:hAnsiTheme="minorEastAsia" w:cstheme="minorEastAsia"/>
          <w:color w:val="000000"/>
          <w:kern w:val="0"/>
          <w:sz w:val="32"/>
          <w:szCs w:val="32"/>
        </w:rPr>
      </w:pPr>
      <w:r>
        <w:rPr>
          <w:rFonts w:hint="eastAsia" w:asciiTheme="minorEastAsia" w:hAnsiTheme="minorEastAsia" w:cstheme="minorEastAsia"/>
          <w:sz w:val="32"/>
          <w:szCs w:val="32"/>
        </w:rPr>
        <w:t>2021年，区卫计综合监督执法局专项资金到位及时，使用规范，财务处理及时。结合单位实际，落实责任，完善制度，按照岗位确定任务、职责和权限，贯彻执行所制定的相关财务制度，加强制度执行的监督，加强资金支出管理。坚持“专项核算、专人管理、专款专用”的原则，使资金的财务管理有章可循。</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w:t>
      </w:r>
      <w:r>
        <w:rPr>
          <w:rFonts w:cs="黑体" w:asciiTheme="minorEastAsia" w:hAnsiTheme="minorEastAsia"/>
          <w:b/>
          <w:color w:val="000000"/>
          <w:kern w:val="0"/>
          <w:sz w:val="32"/>
          <w:szCs w:val="32"/>
        </w:rPr>
        <w:t>3</w:t>
      </w:r>
      <w:r>
        <w:rPr>
          <w:rFonts w:hint="eastAsia" w:cs="黑体" w:asciiTheme="minorEastAsia" w:hAnsiTheme="minorEastAsia"/>
          <w:b/>
          <w:color w:val="000000"/>
          <w:kern w:val="0"/>
          <w:sz w:val="32"/>
          <w:szCs w:val="32"/>
        </w:rPr>
        <w:t>）部门评价项目绩效评价结果。</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本部门预算绩效管理开展情况、绩效目标和绩效评价报告等按照财政绩效部门要求已公开或其他有关部门要求需随同部门决算一同公开的绩效信息，请作为附件公开。</w:t>
      </w:r>
    </w:p>
    <w:p>
      <w:pPr>
        <w:pStyle w:val="10"/>
        <w:ind w:firstLine="640" w:firstLineChars="200"/>
        <w:rPr>
          <w:rFonts w:asciiTheme="minorEastAsia" w:hAnsiTheme="minorEastAsia" w:eastAsiaTheme="minorEastAsia"/>
          <w:sz w:val="32"/>
          <w:szCs w:val="32"/>
        </w:rPr>
      </w:pPr>
    </w:p>
    <w:p>
      <w:pPr>
        <w:pStyle w:val="10"/>
        <w:rPr>
          <w:rFonts w:hAnsi="黑体"/>
          <w:bCs/>
          <w:sz w:val="32"/>
          <w:szCs w:val="3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rPr>
          <w:sz w:val="72"/>
          <w:szCs w:val="72"/>
        </w:rPr>
      </w:pPr>
    </w:p>
    <w:p>
      <w:pPr>
        <w:pStyle w:val="10"/>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widowControl/>
        <w:jc w:val="left"/>
        <w:rPr>
          <w:rFonts w:ascii="宋体" w:hAnsi="宋体" w:cs="黑体"/>
          <w:color w:val="000000"/>
          <w:kern w:val="0"/>
          <w:sz w:val="32"/>
          <w:szCs w:val="32"/>
        </w:rPr>
      </w:pPr>
      <w:r>
        <w:rPr>
          <w:rFonts w:hint="eastAsia" w:ascii="宋体" w:hAnsi="宋体" w:cs="黑体"/>
          <w:color w:val="000000"/>
          <w:kern w:val="0"/>
          <w:sz w:val="32"/>
          <w:szCs w:val="32"/>
        </w:rPr>
        <w:t xml:space="preserve">一、财政拨款收入：指财政当年拨付的资金。 </w:t>
      </w:r>
    </w:p>
    <w:p>
      <w:pPr>
        <w:rPr>
          <w:rFonts w:ascii="宋体" w:hAnsi="宋体" w:cs="黑体"/>
          <w:color w:val="000000"/>
          <w:kern w:val="0"/>
          <w:sz w:val="32"/>
          <w:szCs w:val="32"/>
        </w:rPr>
      </w:pPr>
      <w:r>
        <w:rPr>
          <w:rFonts w:hint="eastAsia" w:ascii="宋体" w:hAnsi="宋体" w:cs="黑体"/>
          <w:color w:val="000000"/>
          <w:kern w:val="0"/>
          <w:sz w:val="32"/>
          <w:szCs w:val="32"/>
        </w:rPr>
        <w:t xml:space="preserve">二、事业收入：指事业单位开展专业业务活动及辅助活动所取得的收入。如：中国财政杂志社的刊物发行收入，中国注册会计师协会、中国资产评估协会、中国国债协会、中国会计学会收取的会费收入等。 </w:t>
      </w:r>
    </w:p>
    <w:p>
      <w:pPr>
        <w:rPr>
          <w:rFonts w:ascii="宋体" w:hAnsi="宋体" w:cs="黑体"/>
          <w:color w:val="000000"/>
          <w:kern w:val="0"/>
          <w:sz w:val="32"/>
          <w:szCs w:val="32"/>
        </w:rPr>
      </w:pPr>
      <w:r>
        <w:rPr>
          <w:rFonts w:hint="eastAsia" w:ascii="宋体" w:hAnsi="宋体" w:cs="黑体"/>
          <w:color w:val="000000"/>
          <w:kern w:val="0"/>
          <w:sz w:val="32"/>
          <w:szCs w:val="32"/>
        </w:rPr>
        <w:t xml:space="preserve">三、经营收入：指事业单位在专业业务活动及其辅助活动之外开展非独立核算经营活动取得的收入。如：中国财政杂志社广告收入等。 </w:t>
      </w:r>
    </w:p>
    <w:p>
      <w:pPr>
        <w:rPr>
          <w:rFonts w:ascii="宋体" w:hAnsi="宋体" w:cs="黑体"/>
          <w:color w:val="000000"/>
          <w:kern w:val="0"/>
          <w:sz w:val="32"/>
          <w:szCs w:val="32"/>
        </w:rPr>
      </w:pPr>
      <w:r>
        <w:rPr>
          <w:rFonts w:hint="eastAsia" w:ascii="宋体" w:hAnsi="宋体" w:cs="黑体"/>
          <w:color w:val="000000"/>
          <w:kern w:val="0"/>
          <w:sz w:val="32"/>
          <w:szCs w:val="32"/>
        </w:rPr>
        <w:t xml:space="preserve">四、其他收入：指除上述“财政拨款收入”、“事业收入”、“经营收入”等以外的收入。主要是按规定动用的售房收入、存款利息收入等。 </w:t>
      </w:r>
    </w:p>
    <w:p>
      <w:pPr>
        <w:rPr>
          <w:rFonts w:ascii="宋体" w:hAnsi="宋体" w:cs="黑体"/>
          <w:color w:val="000000"/>
          <w:kern w:val="0"/>
          <w:sz w:val="32"/>
          <w:szCs w:val="32"/>
        </w:rPr>
      </w:pPr>
      <w:r>
        <w:rPr>
          <w:rFonts w:hint="eastAsia" w:ascii="宋体" w:hAnsi="宋体" w:cs="黑体"/>
          <w:color w:val="000000"/>
          <w:kern w:val="0"/>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rPr>
          <w:rFonts w:ascii="宋体" w:hAnsi="宋体" w:cs="黑体"/>
          <w:color w:val="000000"/>
          <w:kern w:val="0"/>
          <w:sz w:val="32"/>
          <w:szCs w:val="32"/>
        </w:rPr>
      </w:pPr>
      <w:r>
        <w:rPr>
          <w:rFonts w:hint="eastAsia" w:ascii="宋体" w:hAnsi="宋体" w:cs="黑体"/>
          <w:color w:val="000000"/>
          <w:kern w:val="0"/>
          <w:sz w:val="32"/>
          <w:szCs w:val="32"/>
        </w:rPr>
        <w:t xml:space="preserve">六、年初结转和结余：指以前年度尚未完成、结转到本年按有关规定继续使用的资金。 </w:t>
      </w:r>
    </w:p>
    <w:p>
      <w:pPr>
        <w:rPr>
          <w:rFonts w:ascii="宋体" w:hAnsi="宋体" w:cs="黑体"/>
          <w:color w:val="000000"/>
          <w:kern w:val="0"/>
          <w:sz w:val="32"/>
          <w:szCs w:val="32"/>
        </w:rPr>
      </w:pPr>
      <w:r>
        <w:rPr>
          <w:rFonts w:hint="eastAsia" w:ascii="宋体" w:hAnsi="宋体" w:cs="黑体"/>
          <w:color w:val="000000"/>
          <w:kern w:val="0"/>
          <w:sz w:val="32"/>
          <w:szCs w:val="32"/>
        </w:rPr>
        <w:t>七、结余分配：指事业单位按规定提取的职工福利基金、事业基金和缴纳的所得税，以及建设单位按规定应交回的基本建设竣工项目结余资金。</w:t>
      </w:r>
    </w:p>
    <w:p>
      <w:pPr>
        <w:rPr>
          <w:rFonts w:ascii="宋体" w:hAnsi="宋体" w:cs="黑体"/>
          <w:color w:val="000000"/>
          <w:kern w:val="0"/>
          <w:sz w:val="32"/>
          <w:szCs w:val="32"/>
        </w:rPr>
      </w:pPr>
      <w:r>
        <w:rPr>
          <w:rFonts w:hint="eastAsia" w:ascii="宋体" w:hAnsi="宋体" w:cs="黑体"/>
          <w:color w:val="000000"/>
          <w:kern w:val="0"/>
          <w:sz w:val="32"/>
          <w:szCs w:val="32"/>
        </w:rPr>
        <w:t xml:space="preserve">八、年末结转和结余：指本年度或以前年度预算安排、因客观条件发生变化无法按原计划实施，需要延迟到以后年度按有关规定继续使用的资金。 </w:t>
      </w:r>
    </w:p>
    <w:p>
      <w:pPr>
        <w:rPr>
          <w:rFonts w:ascii="宋体" w:hAnsi="宋体" w:cs="黑体"/>
          <w:color w:val="000000"/>
          <w:kern w:val="0"/>
          <w:sz w:val="32"/>
          <w:szCs w:val="32"/>
        </w:rPr>
      </w:pPr>
      <w:r>
        <w:rPr>
          <w:rFonts w:hint="eastAsia" w:ascii="宋体" w:hAnsi="宋体" w:cs="黑体"/>
          <w:color w:val="000000"/>
          <w:kern w:val="0"/>
          <w:sz w:val="32"/>
          <w:szCs w:val="32"/>
        </w:rPr>
        <w:t xml:space="preserve">九、基本支出：指为保障机构正常运转、完成日常工作任务而发生的人员支出和公用支出。 </w:t>
      </w:r>
    </w:p>
    <w:p>
      <w:pPr>
        <w:rPr>
          <w:rFonts w:ascii="宋体" w:hAnsi="宋体" w:cs="黑体"/>
          <w:color w:val="000000"/>
          <w:kern w:val="0"/>
          <w:sz w:val="32"/>
          <w:szCs w:val="32"/>
        </w:rPr>
      </w:pPr>
      <w:r>
        <w:rPr>
          <w:rFonts w:hint="eastAsia" w:ascii="宋体" w:hAnsi="宋体" w:cs="黑体"/>
          <w:color w:val="000000"/>
          <w:kern w:val="0"/>
          <w:sz w:val="32"/>
          <w:szCs w:val="32"/>
        </w:rPr>
        <w:t xml:space="preserve">十、项目支出：指在基本支出之外为完成特定行政任务和事业发展目标所发生的支出。 </w:t>
      </w:r>
    </w:p>
    <w:p>
      <w:pPr>
        <w:rPr>
          <w:rFonts w:ascii="宋体" w:hAnsi="宋体" w:cs="黑体"/>
          <w:color w:val="000000"/>
          <w:kern w:val="0"/>
          <w:sz w:val="32"/>
          <w:szCs w:val="32"/>
        </w:rPr>
      </w:pPr>
      <w:r>
        <w:rPr>
          <w:rFonts w:hint="eastAsia" w:ascii="宋体" w:hAnsi="宋体" w:cs="黑体"/>
          <w:color w:val="000000"/>
          <w:kern w:val="0"/>
          <w:sz w:val="32"/>
          <w:szCs w:val="32"/>
        </w:rPr>
        <w:t xml:space="preserve">十一、经营支出：指事业单位在专业业务活动及其辅助活动之外开展非独立核算经营活动发生的支出。 </w:t>
      </w:r>
    </w:p>
    <w:p>
      <w:pPr>
        <w:rPr>
          <w:rFonts w:ascii="宋体" w:hAnsi="宋体" w:cs="黑体"/>
          <w:color w:val="000000"/>
          <w:kern w:val="0"/>
          <w:sz w:val="32"/>
          <w:szCs w:val="32"/>
        </w:rPr>
      </w:pPr>
      <w:r>
        <w:rPr>
          <w:rFonts w:hint="eastAsia" w:ascii="宋体" w:hAnsi="宋体" w:cs="黑体"/>
          <w:color w:val="000000"/>
          <w:kern w:val="0"/>
          <w:sz w:val="32"/>
          <w:szCs w:val="32"/>
        </w:rPr>
        <w:t xml:space="preserve">十二、“三公”经费：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rPr>
          <w:rFonts w:ascii="宋体" w:hAnsi="宋体" w:cs="黑体"/>
          <w:color w:val="000000"/>
          <w:kern w:val="0"/>
          <w:sz w:val="32"/>
          <w:szCs w:val="32"/>
        </w:rPr>
      </w:pPr>
      <w:r>
        <w:rPr>
          <w:rFonts w:hint="eastAsia" w:ascii="宋体" w:hAnsi="宋体" w:cs="黑体"/>
          <w:color w:val="000000"/>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2021年度部门整体支出绩效评价报告</w:t>
      </w:r>
    </w:p>
    <w:p>
      <w:pPr>
        <w:ind w:firstLine="640" w:firstLineChars="200"/>
        <w:rPr>
          <w:rFonts w:cs="宋体" w:asciiTheme="minorEastAsia" w:hAnsiTheme="minorEastAsia"/>
          <w:b/>
          <w:sz w:val="32"/>
          <w:szCs w:val="32"/>
        </w:rPr>
      </w:pPr>
      <w:r>
        <w:rPr>
          <w:rFonts w:hint="eastAsia" w:cs="宋体" w:asciiTheme="minorEastAsia" w:hAnsiTheme="minorEastAsia"/>
          <w:b/>
          <w:sz w:val="32"/>
          <w:szCs w:val="32"/>
        </w:rPr>
        <w:t>一、部门职能职责：</w:t>
      </w:r>
    </w:p>
    <w:p>
      <w:pPr>
        <w:widowControl/>
        <w:spacing w:line="600" w:lineRule="exact"/>
        <w:ind w:firstLine="640" w:firstLineChars="200"/>
        <w:rPr>
          <w:rFonts w:ascii="仿宋_GB2312" w:eastAsia="仿宋_GB2312"/>
          <w:sz w:val="32"/>
          <w:szCs w:val="32"/>
        </w:rPr>
      </w:pPr>
      <w:r>
        <w:rPr>
          <w:rFonts w:hint="eastAsia" w:cs="宋体" w:asciiTheme="minorEastAsia" w:hAnsiTheme="minorEastAsia"/>
          <w:sz w:val="32"/>
          <w:szCs w:val="32"/>
        </w:rPr>
        <w:t>1.鹤城区卫生计生综合监督执法局属全额拨款事业单位，内设</w:t>
      </w:r>
      <w:r>
        <w:rPr>
          <w:rFonts w:hint="eastAsia" w:asciiTheme="minorEastAsia" w:hAnsiTheme="minorEastAsia" w:cstheme="minorEastAsia"/>
          <w:sz w:val="32"/>
          <w:szCs w:val="32"/>
        </w:rPr>
        <w:t>医疗执业科、公共场所科、学校科、计划生育执法科、稽查科、办公室六个科室。</w:t>
      </w:r>
    </w:p>
    <w:p>
      <w:pPr>
        <w:spacing w:line="560" w:lineRule="exact"/>
        <w:ind w:firstLine="640" w:firstLineChars="200"/>
        <w:rPr>
          <w:rFonts w:asciiTheme="minorEastAsia" w:hAnsiTheme="minorEastAsia" w:cstheme="minorEastAsia"/>
          <w:sz w:val="32"/>
          <w:szCs w:val="32"/>
        </w:rPr>
      </w:pPr>
      <w:r>
        <w:rPr>
          <w:rFonts w:hint="eastAsia" w:cs="宋体" w:asciiTheme="minorEastAsia" w:hAnsiTheme="minorEastAsia"/>
          <w:sz w:val="32"/>
          <w:szCs w:val="32"/>
        </w:rPr>
        <w:t>2、主要工作职责：</w:t>
      </w:r>
      <w:r>
        <w:rPr>
          <w:rFonts w:hint="eastAsia" w:asciiTheme="minorEastAsia" w:hAnsiTheme="minorEastAsia" w:cstheme="minorEastAsia"/>
          <w:sz w:val="32"/>
          <w:szCs w:val="32"/>
        </w:rPr>
        <w:t>为人民身体健康提供卫生监督保障。公共场所卫生监督管理、100张以内病床医疗机构执业资格、执业行为审查及发证后监督管理。</w:t>
      </w:r>
    </w:p>
    <w:p>
      <w:pPr>
        <w:spacing w:line="600" w:lineRule="exact"/>
        <w:ind w:firstLine="640" w:firstLineChars="200"/>
        <w:rPr>
          <w:rFonts w:asciiTheme="minorEastAsia" w:hAnsiTheme="minorEastAsia"/>
          <w:kern w:val="0"/>
          <w:sz w:val="32"/>
          <w:szCs w:val="32"/>
        </w:rPr>
      </w:pPr>
      <w:r>
        <w:rPr>
          <w:rFonts w:hint="eastAsia" w:cs="宋体" w:asciiTheme="minorEastAsia" w:hAnsiTheme="minorEastAsia"/>
          <w:sz w:val="32"/>
          <w:szCs w:val="32"/>
        </w:rPr>
        <w:t>3、编制人员情况:现实有在职人员20人（其中全额拨款20人，自收自支0人），离退休人员0人(其中财政拨款0人，自收自支0人），遗属人员0人。</w:t>
      </w:r>
    </w:p>
    <w:p>
      <w:pPr>
        <w:rPr>
          <w:rFonts w:cs="宋体" w:asciiTheme="minorEastAsia" w:hAnsiTheme="minorEastAsia"/>
          <w:b/>
          <w:sz w:val="32"/>
          <w:szCs w:val="32"/>
        </w:rPr>
      </w:pPr>
      <w:r>
        <w:rPr>
          <w:rFonts w:hint="eastAsia" w:cs="宋体" w:asciiTheme="minorEastAsia" w:hAnsiTheme="minorEastAsia"/>
          <w:b/>
          <w:sz w:val="32"/>
          <w:szCs w:val="32"/>
        </w:rPr>
        <w:t>二、部门收支情况：</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1、收入说明：2021年总收入为290.52万元。</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2、支出说明：2021年总支出为290.52万元，其中：人员经费支出222.87万元，日常公用经费66.15万元，项目支出为1.5万元。</w:t>
      </w:r>
    </w:p>
    <w:p>
      <w:pPr>
        <w:ind w:firstLine="640" w:firstLineChars="200"/>
        <w:jc w:val="left"/>
        <w:rPr>
          <w:rFonts w:cs="黑体" w:asciiTheme="minorEastAsia" w:hAnsiTheme="minorEastAsia"/>
          <w:color w:val="000000"/>
          <w:kern w:val="0"/>
          <w:sz w:val="32"/>
          <w:szCs w:val="32"/>
        </w:rPr>
      </w:pPr>
      <w:r>
        <w:rPr>
          <w:rFonts w:hint="eastAsia" w:cs="宋体" w:asciiTheme="minorEastAsia" w:hAnsiTheme="minorEastAsia"/>
          <w:sz w:val="32"/>
          <w:szCs w:val="32"/>
        </w:rPr>
        <w:t>3、“三公”经费说明：2020年度“三公”经费为0.25万元，根据各项规定，我单位按要求厉行节约，比年初预算比，完成预算的19%。</w:t>
      </w: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7F6D77"/>
    <w:multiLevelType w:val="singleLevel"/>
    <w:tmpl w:val="CC7F6D77"/>
    <w:lvl w:ilvl="0" w:tentative="0">
      <w:start w:val="9"/>
      <w:numFmt w:val="chineseCounting"/>
      <w:suff w:val="nothing"/>
      <w:lvlText w:val="%1、"/>
      <w:lvlJc w:val="left"/>
      <w:rPr>
        <w:rFonts w:hint="eastAsia"/>
      </w:rPr>
    </w:lvl>
  </w:abstractNum>
  <w:abstractNum w:abstractNumId="1">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61BB5195"/>
    <w:multiLevelType w:val="singleLevel"/>
    <w:tmpl w:val="61BB5195"/>
    <w:lvl w:ilvl="0" w:tentative="0">
      <w:start w:val="3"/>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0Mjc3ZDVhOTM0NTczYTJiNzUyZTVkM2Y3OTA1OGQifQ=="/>
  </w:docVars>
  <w:rsids>
    <w:rsidRoot w:val="004506F9"/>
    <w:rsid w:val="0002229B"/>
    <w:rsid w:val="000273BD"/>
    <w:rsid w:val="000415B7"/>
    <w:rsid w:val="00041E3F"/>
    <w:rsid w:val="00055DAA"/>
    <w:rsid w:val="00061F7B"/>
    <w:rsid w:val="000658A3"/>
    <w:rsid w:val="00074155"/>
    <w:rsid w:val="00081AF1"/>
    <w:rsid w:val="000873EF"/>
    <w:rsid w:val="000A3F69"/>
    <w:rsid w:val="00103957"/>
    <w:rsid w:val="00124A1F"/>
    <w:rsid w:val="00152C6D"/>
    <w:rsid w:val="00162D39"/>
    <w:rsid w:val="001678BD"/>
    <w:rsid w:val="00176C44"/>
    <w:rsid w:val="00182373"/>
    <w:rsid w:val="00182B50"/>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853A2"/>
    <w:rsid w:val="002E0A30"/>
    <w:rsid w:val="002F53BB"/>
    <w:rsid w:val="003130C4"/>
    <w:rsid w:val="00316C4B"/>
    <w:rsid w:val="0032192B"/>
    <w:rsid w:val="00327FFA"/>
    <w:rsid w:val="003479BD"/>
    <w:rsid w:val="0037197D"/>
    <w:rsid w:val="003768D5"/>
    <w:rsid w:val="003C4197"/>
    <w:rsid w:val="003C47E6"/>
    <w:rsid w:val="003C4FC2"/>
    <w:rsid w:val="003E2331"/>
    <w:rsid w:val="003F09E1"/>
    <w:rsid w:val="00416E61"/>
    <w:rsid w:val="0042790C"/>
    <w:rsid w:val="004506F9"/>
    <w:rsid w:val="004717A2"/>
    <w:rsid w:val="00473DF3"/>
    <w:rsid w:val="00487911"/>
    <w:rsid w:val="00491741"/>
    <w:rsid w:val="00497300"/>
    <w:rsid w:val="004B0CEE"/>
    <w:rsid w:val="004E71CA"/>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0317E"/>
    <w:rsid w:val="00611D0C"/>
    <w:rsid w:val="0062378F"/>
    <w:rsid w:val="00641842"/>
    <w:rsid w:val="00651EEC"/>
    <w:rsid w:val="00683D5A"/>
    <w:rsid w:val="00686673"/>
    <w:rsid w:val="00691E8C"/>
    <w:rsid w:val="006A22C4"/>
    <w:rsid w:val="006A348B"/>
    <w:rsid w:val="006A351B"/>
    <w:rsid w:val="006B0422"/>
    <w:rsid w:val="006B0ECC"/>
    <w:rsid w:val="006C1B53"/>
    <w:rsid w:val="006D7730"/>
    <w:rsid w:val="006E5284"/>
    <w:rsid w:val="006F3EB5"/>
    <w:rsid w:val="006F6E93"/>
    <w:rsid w:val="00702E34"/>
    <w:rsid w:val="00704395"/>
    <w:rsid w:val="00710FE7"/>
    <w:rsid w:val="00717621"/>
    <w:rsid w:val="00720FF1"/>
    <w:rsid w:val="00727A53"/>
    <w:rsid w:val="0076627B"/>
    <w:rsid w:val="00767FBF"/>
    <w:rsid w:val="00787B42"/>
    <w:rsid w:val="007C4539"/>
    <w:rsid w:val="007F3657"/>
    <w:rsid w:val="00812ED5"/>
    <w:rsid w:val="008277D9"/>
    <w:rsid w:val="0084478C"/>
    <w:rsid w:val="0086638C"/>
    <w:rsid w:val="00896B37"/>
    <w:rsid w:val="008A3E8D"/>
    <w:rsid w:val="009237C4"/>
    <w:rsid w:val="00944C48"/>
    <w:rsid w:val="00950252"/>
    <w:rsid w:val="00967F5D"/>
    <w:rsid w:val="009A0F95"/>
    <w:rsid w:val="009B3ADF"/>
    <w:rsid w:val="009C3B52"/>
    <w:rsid w:val="009E6817"/>
    <w:rsid w:val="009E6E9A"/>
    <w:rsid w:val="00A01D2B"/>
    <w:rsid w:val="00A37EC9"/>
    <w:rsid w:val="00A42218"/>
    <w:rsid w:val="00A70249"/>
    <w:rsid w:val="00A70B02"/>
    <w:rsid w:val="00A71D9F"/>
    <w:rsid w:val="00A92E9F"/>
    <w:rsid w:val="00B33BEA"/>
    <w:rsid w:val="00B42C25"/>
    <w:rsid w:val="00B43F86"/>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204AD"/>
    <w:rsid w:val="00D205B4"/>
    <w:rsid w:val="00D415BA"/>
    <w:rsid w:val="00D63780"/>
    <w:rsid w:val="00D644EE"/>
    <w:rsid w:val="00D75489"/>
    <w:rsid w:val="00DA4182"/>
    <w:rsid w:val="00DD06FF"/>
    <w:rsid w:val="00DD3A35"/>
    <w:rsid w:val="00DD5FE9"/>
    <w:rsid w:val="00E00C7A"/>
    <w:rsid w:val="00E209CF"/>
    <w:rsid w:val="00E37D6C"/>
    <w:rsid w:val="00E443D2"/>
    <w:rsid w:val="00E55B68"/>
    <w:rsid w:val="00E67BE6"/>
    <w:rsid w:val="00E8683C"/>
    <w:rsid w:val="00EA2B72"/>
    <w:rsid w:val="00F74360"/>
    <w:rsid w:val="00FB462F"/>
    <w:rsid w:val="00FE16FA"/>
    <w:rsid w:val="00FE328A"/>
    <w:rsid w:val="00FE6269"/>
    <w:rsid w:val="00FF5CD6"/>
    <w:rsid w:val="131A1D49"/>
    <w:rsid w:val="17B11D41"/>
    <w:rsid w:val="19C64F7E"/>
    <w:rsid w:val="1B357C92"/>
    <w:rsid w:val="1FAB1DB2"/>
    <w:rsid w:val="2DD6397D"/>
    <w:rsid w:val="3F500CD5"/>
    <w:rsid w:val="53385DED"/>
    <w:rsid w:val="69F772C4"/>
    <w:rsid w:val="6ADF3235"/>
    <w:rsid w:val="701716A8"/>
    <w:rsid w:val="71824B94"/>
    <w:rsid w:val="72055E23"/>
    <w:rsid w:val="78F46AE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12"/>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1">
    <w:name w:val="List Paragraph"/>
    <w:basedOn w:val="1"/>
    <w:qFormat/>
    <w:uiPriority w:val="34"/>
    <w:pPr>
      <w:ind w:firstLine="420" w:firstLineChars="200"/>
    </w:pPr>
  </w:style>
  <w:style w:type="character" w:customStyle="1" w:styleId="12">
    <w:name w:val="批注框文本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17</Pages>
  <Words>5043</Words>
  <Characters>5452</Characters>
  <Lines>39</Lines>
  <Paragraphs>11</Paragraphs>
  <TotalTime>0</TotalTime>
  <ScaleCrop>false</ScaleCrop>
  <LinksUpToDate>false</LinksUpToDate>
  <CharactersWithSpaces>5471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2022-09-26T08:15:00Z</dcterms:created>
  <dc:creator>李航 null</dc:creator>
  <cp:lastModifiedBy>养鱼的猫</cp:lastModifiedBy>
  <cp:lastPrinted>2022-07-27T12:55:00Z</cp:lastPrinted>
  <dcterms:modified xsi:type="dcterms:W3CDTF">2023-09-27T18:15:11Z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B875A7EB1AF3404FBEB342939748CB42_13</vt:lpwstr>
  </property>
</Properties>
</file>