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061" w:rsidRDefault="00CD3061">
      <w:pPr>
        <w:pStyle w:val="Default"/>
        <w:jc w:val="center"/>
        <w:rPr>
          <w:sz w:val="56"/>
          <w:szCs w:val="56"/>
        </w:rPr>
      </w:pPr>
    </w:p>
    <w:p w:rsidR="00CD3061" w:rsidRDefault="00CD3061">
      <w:pPr>
        <w:pStyle w:val="Default"/>
        <w:jc w:val="center"/>
        <w:rPr>
          <w:sz w:val="56"/>
          <w:szCs w:val="56"/>
        </w:rPr>
      </w:pPr>
    </w:p>
    <w:p w:rsidR="00CD3061" w:rsidRDefault="00CD3061">
      <w:pPr>
        <w:pStyle w:val="Default"/>
        <w:jc w:val="center"/>
        <w:rPr>
          <w:sz w:val="84"/>
          <w:szCs w:val="84"/>
        </w:rPr>
      </w:pPr>
    </w:p>
    <w:p w:rsidR="00CD3061" w:rsidRDefault="00CD3061">
      <w:pPr>
        <w:pStyle w:val="Default"/>
        <w:jc w:val="center"/>
        <w:rPr>
          <w:sz w:val="84"/>
          <w:szCs w:val="84"/>
        </w:rPr>
      </w:pPr>
    </w:p>
    <w:p w:rsidR="00CD3061" w:rsidRDefault="00587685">
      <w:pPr>
        <w:pStyle w:val="Default"/>
        <w:jc w:val="center"/>
        <w:rPr>
          <w:sz w:val="84"/>
          <w:szCs w:val="84"/>
        </w:rPr>
      </w:pPr>
      <w:r>
        <w:rPr>
          <w:rFonts w:hint="eastAsia"/>
          <w:sz w:val="84"/>
          <w:szCs w:val="84"/>
        </w:rPr>
        <w:t>2021年度</w:t>
      </w:r>
    </w:p>
    <w:p w:rsidR="00CD3061" w:rsidRDefault="00587685">
      <w:pPr>
        <w:pStyle w:val="Default"/>
        <w:jc w:val="center"/>
        <w:rPr>
          <w:sz w:val="84"/>
          <w:szCs w:val="84"/>
        </w:rPr>
      </w:pPr>
      <w:r>
        <w:rPr>
          <w:rFonts w:hint="eastAsia"/>
          <w:sz w:val="84"/>
          <w:szCs w:val="84"/>
        </w:rPr>
        <w:t>中共怀化市鹤城区委党校部门决算</w:t>
      </w:r>
    </w:p>
    <w:p w:rsidR="00CD3061" w:rsidRDefault="00CD3061">
      <w:pPr>
        <w:pStyle w:val="Default"/>
        <w:jc w:val="center"/>
        <w:rPr>
          <w:sz w:val="56"/>
          <w:szCs w:val="56"/>
        </w:rPr>
      </w:pPr>
    </w:p>
    <w:p w:rsidR="00CD3061" w:rsidRDefault="00CD3061">
      <w:pPr>
        <w:pStyle w:val="Default"/>
        <w:jc w:val="center"/>
        <w:rPr>
          <w:sz w:val="56"/>
          <w:szCs w:val="56"/>
        </w:rPr>
      </w:pPr>
    </w:p>
    <w:p w:rsidR="00CD3061" w:rsidRDefault="00CD3061">
      <w:pPr>
        <w:pStyle w:val="Default"/>
        <w:jc w:val="center"/>
        <w:rPr>
          <w:sz w:val="56"/>
          <w:szCs w:val="56"/>
        </w:rPr>
      </w:pPr>
    </w:p>
    <w:p w:rsidR="00CD3061" w:rsidRDefault="00CD3061">
      <w:pPr>
        <w:pStyle w:val="Default"/>
        <w:jc w:val="center"/>
        <w:rPr>
          <w:sz w:val="56"/>
          <w:szCs w:val="56"/>
        </w:rPr>
      </w:pPr>
    </w:p>
    <w:p w:rsidR="00CD3061" w:rsidRDefault="00CD3061">
      <w:pPr>
        <w:pStyle w:val="Default"/>
        <w:jc w:val="center"/>
        <w:rPr>
          <w:sz w:val="32"/>
          <w:szCs w:val="32"/>
        </w:rPr>
      </w:pPr>
    </w:p>
    <w:p w:rsidR="00CD3061" w:rsidRDefault="00CD3061">
      <w:pPr>
        <w:pStyle w:val="Default"/>
        <w:jc w:val="center"/>
        <w:rPr>
          <w:sz w:val="32"/>
          <w:szCs w:val="32"/>
        </w:rPr>
      </w:pPr>
    </w:p>
    <w:p w:rsidR="00CD3061" w:rsidRDefault="00CD3061">
      <w:pPr>
        <w:pStyle w:val="Default"/>
        <w:jc w:val="center"/>
        <w:rPr>
          <w:sz w:val="32"/>
          <w:szCs w:val="32"/>
        </w:rPr>
      </w:pPr>
    </w:p>
    <w:p w:rsidR="00CD3061" w:rsidRDefault="00CD3061">
      <w:pPr>
        <w:pStyle w:val="Default"/>
        <w:spacing w:line="540" w:lineRule="exact"/>
        <w:jc w:val="both"/>
        <w:rPr>
          <w:sz w:val="56"/>
          <w:szCs w:val="56"/>
        </w:rPr>
      </w:pPr>
    </w:p>
    <w:p w:rsidR="00CD3061" w:rsidRDefault="00CD3061">
      <w:pPr>
        <w:pStyle w:val="Default"/>
        <w:spacing w:line="500" w:lineRule="exact"/>
        <w:jc w:val="center"/>
        <w:rPr>
          <w:b/>
          <w:sz w:val="36"/>
          <w:szCs w:val="28"/>
        </w:rPr>
      </w:pPr>
    </w:p>
    <w:p w:rsidR="00CD3061" w:rsidRDefault="00CD3061">
      <w:pPr>
        <w:pStyle w:val="Default"/>
        <w:spacing w:line="500" w:lineRule="exact"/>
        <w:jc w:val="center"/>
        <w:rPr>
          <w:b/>
          <w:sz w:val="36"/>
          <w:szCs w:val="28"/>
        </w:rPr>
      </w:pPr>
    </w:p>
    <w:p w:rsidR="00CD3061" w:rsidRDefault="00587685">
      <w:pPr>
        <w:pStyle w:val="Default"/>
        <w:spacing w:line="500" w:lineRule="exact"/>
        <w:jc w:val="center"/>
        <w:rPr>
          <w:b/>
          <w:sz w:val="36"/>
          <w:szCs w:val="28"/>
        </w:rPr>
      </w:pPr>
      <w:r>
        <w:rPr>
          <w:rFonts w:hint="eastAsia"/>
          <w:b/>
          <w:sz w:val="36"/>
          <w:szCs w:val="28"/>
        </w:rPr>
        <w:lastRenderedPageBreak/>
        <w:t>目录</w:t>
      </w:r>
    </w:p>
    <w:p w:rsidR="00CD3061" w:rsidRDefault="00587685">
      <w:pPr>
        <w:pStyle w:val="Default"/>
        <w:spacing w:line="500" w:lineRule="exact"/>
        <w:rPr>
          <w:rFonts w:ascii="仿宋_GB2312" w:hAnsi="仿宋_GB2312" w:cs="仿宋_GB2312"/>
          <w:b/>
          <w:sz w:val="28"/>
          <w:szCs w:val="28"/>
        </w:rPr>
      </w:pPr>
      <w:r>
        <w:rPr>
          <w:rFonts w:hint="eastAsia"/>
          <w:b/>
          <w:sz w:val="28"/>
          <w:szCs w:val="28"/>
        </w:rPr>
        <w:t>第一部分中共怀化市鹤城区委党校单位概况</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CD3061" w:rsidRDefault="00587685">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CD3061" w:rsidRDefault="00587685">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CD3061" w:rsidRDefault="00587685">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CD3061" w:rsidRDefault="00587685">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CD3061" w:rsidRDefault="00587685">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CD3061" w:rsidRDefault="00587685">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CD3061" w:rsidRDefault="00587685">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CD3061" w:rsidRDefault="00587685">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CD3061" w:rsidRDefault="00587685">
      <w:pPr>
        <w:autoSpaceDE w:val="0"/>
        <w:autoSpaceDN w:val="0"/>
        <w:adjustRightInd w:val="0"/>
        <w:spacing w:line="500" w:lineRule="exact"/>
        <w:ind w:firstLineChars="48" w:firstLine="135"/>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第五部分附件</w:t>
      </w: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rPr>
          <w:sz w:val="72"/>
          <w:szCs w:val="72"/>
        </w:rPr>
      </w:pPr>
    </w:p>
    <w:p w:rsidR="00CD3061" w:rsidRDefault="00587685">
      <w:pPr>
        <w:pStyle w:val="Default"/>
        <w:jc w:val="center"/>
        <w:rPr>
          <w:sz w:val="84"/>
          <w:szCs w:val="84"/>
        </w:rPr>
      </w:pPr>
      <w:r>
        <w:rPr>
          <w:rFonts w:hint="eastAsia"/>
          <w:sz w:val="84"/>
          <w:szCs w:val="84"/>
        </w:rPr>
        <w:t>第一部分</w:t>
      </w:r>
    </w:p>
    <w:p w:rsidR="00CD3061" w:rsidRDefault="00CD3061">
      <w:pPr>
        <w:pStyle w:val="Default"/>
        <w:jc w:val="center"/>
        <w:rPr>
          <w:sz w:val="84"/>
          <w:szCs w:val="84"/>
        </w:rPr>
      </w:pPr>
    </w:p>
    <w:p w:rsidR="00CD3061" w:rsidRDefault="00587685">
      <w:pPr>
        <w:pStyle w:val="Default"/>
        <w:jc w:val="center"/>
        <w:rPr>
          <w:sz w:val="84"/>
          <w:szCs w:val="84"/>
        </w:rPr>
      </w:pPr>
      <w:r>
        <w:rPr>
          <w:rFonts w:hint="eastAsia"/>
          <w:sz w:val="84"/>
          <w:szCs w:val="84"/>
        </w:rPr>
        <w:t>鹤城区委党校概况</w:t>
      </w: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pStyle w:val="a9"/>
        <w:ind w:left="720" w:firstLineChars="0" w:firstLine="0"/>
        <w:jc w:val="left"/>
        <w:rPr>
          <w:rFonts w:ascii="黑体" w:eastAsia="黑体" w:hAnsi="黑体"/>
          <w:sz w:val="32"/>
          <w:szCs w:val="32"/>
        </w:rPr>
      </w:pPr>
    </w:p>
    <w:p w:rsidR="00CD3061" w:rsidRDefault="00CD3061">
      <w:pPr>
        <w:pStyle w:val="a9"/>
        <w:ind w:left="720" w:firstLineChars="0" w:firstLine="0"/>
        <w:jc w:val="left"/>
        <w:rPr>
          <w:rFonts w:ascii="黑体" w:eastAsia="黑体" w:hAnsi="黑体"/>
          <w:sz w:val="32"/>
          <w:szCs w:val="32"/>
        </w:rPr>
      </w:pPr>
    </w:p>
    <w:p w:rsidR="00CD3061" w:rsidRDefault="00CD3061">
      <w:pPr>
        <w:pStyle w:val="a9"/>
        <w:ind w:left="720" w:firstLineChars="0" w:firstLine="0"/>
        <w:jc w:val="left"/>
        <w:rPr>
          <w:rFonts w:ascii="黑体" w:eastAsia="黑体" w:hAnsi="黑体"/>
          <w:sz w:val="32"/>
          <w:szCs w:val="32"/>
        </w:rPr>
      </w:pPr>
    </w:p>
    <w:p w:rsidR="00CD3061" w:rsidRDefault="00587685">
      <w:pPr>
        <w:pStyle w:val="a9"/>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CD3061" w:rsidRDefault="00587685">
      <w:pPr>
        <w:ind w:firstLineChars="200" w:firstLine="640"/>
        <w:rPr>
          <w:rFonts w:ascii="宋体" w:eastAsia="宋体" w:hAnsi="宋体" w:cs="Times New Roman"/>
          <w:sz w:val="32"/>
          <w:szCs w:val="32"/>
        </w:rPr>
      </w:pPr>
      <w:r>
        <w:rPr>
          <w:rFonts w:asciiTheme="minorEastAsia" w:hAnsiTheme="minorEastAsia" w:hint="eastAsia"/>
          <w:sz w:val="32"/>
          <w:szCs w:val="32"/>
        </w:rPr>
        <w:t>（一）</w:t>
      </w:r>
      <w:r>
        <w:rPr>
          <w:rFonts w:ascii="宋体" w:eastAsia="宋体" w:hAnsi="宋体" w:cs="Times New Roman" w:hint="eastAsia"/>
          <w:sz w:val="32"/>
          <w:szCs w:val="32"/>
        </w:rPr>
        <w:t>负责宣传和研究马列主义、毛泽东思想、邓小平理论、“三个代表”重要思想、科学发展观、习近平新时代中国特色社会主义思想和党的路线、方针、政策；</w:t>
      </w:r>
    </w:p>
    <w:p w:rsidR="00CD3061" w:rsidRDefault="00587685">
      <w:pPr>
        <w:ind w:firstLineChars="200" w:firstLine="640"/>
        <w:rPr>
          <w:rFonts w:ascii="宋体" w:eastAsia="宋体" w:hAnsi="宋体" w:cs="Times New Roman"/>
          <w:sz w:val="32"/>
          <w:szCs w:val="32"/>
        </w:rPr>
      </w:pPr>
      <w:r>
        <w:rPr>
          <w:rFonts w:asciiTheme="minorEastAsia" w:hAnsiTheme="minorEastAsia" w:hint="eastAsia"/>
          <w:sz w:val="32"/>
          <w:szCs w:val="32"/>
        </w:rPr>
        <w:t>（二）</w:t>
      </w:r>
      <w:r>
        <w:rPr>
          <w:rFonts w:ascii="宋体" w:eastAsia="宋体" w:hAnsi="宋体" w:cs="Times New Roman" w:hint="eastAsia"/>
          <w:sz w:val="32"/>
          <w:szCs w:val="32"/>
        </w:rPr>
        <w:t>负责鹤城区</w:t>
      </w:r>
      <w:proofErr w:type="gramStart"/>
      <w:r>
        <w:rPr>
          <w:rFonts w:ascii="宋体" w:eastAsia="宋体" w:hAnsi="宋体" w:cs="Times New Roman" w:hint="eastAsia"/>
          <w:sz w:val="32"/>
          <w:szCs w:val="32"/>
        </w:rPr>
        <w:t>内党员</w:t>
      </w:r>
      <w:proofErr w:type="gramEnd"/>
      <w:r>
        <w:rPr>
          <w:rFonts w:ascii="宋体" w:eastAsia="宋体" w:hAnsi="宋体" w:cs="Times New Roman" w:hint="eastAsia"/>
          <w:sz w:val="32"/>
          <w:szCs w:val="32"/>
        </w:rPr>
        <w:t>领导干部的轮训工作；负责培训中青年党员干部和党外干部；</w:t>
      </w:r>
    </w:p>
    <w:p w:rsidR="00CD3061" w:rsidRDefault="00587685">
      <w:pPr>
        <w:ind w:firstLineChars="200" w:firstLine="640"/>
        <w:rPr>
          <w:rFonts w:ascii="宋体" w:eastAsia="宋体" w:hAnsi="宋体" w:cs="Times New Roman"/>
          <w:sz w:val="32"/>
          <w:szCs w:val="32"/>
        </w:rPr>
      </w:pPr>
      <w:r>
        <w:rPr>
          <w:rFonts w:asciiTheme="minorEastAsia" w:hAnsiTheme="minorEastAsia" w:hint="eastAsia"/>
          <w:sz w:val="32"/>
          <w:szCs w:val="32"/>
        </w:rPr>
        <w:t>（三）</w:t>
      </w:r>
      <w:r>
        <w:rPr>
          <w:rFonts w:ascii="宋体" w:eastAsia="宋体" w:hAnsi="宋体" w:cs="Times New Roman" w:hint="eastAsia"/>
          <w:sz w:val="32"/>
          <w:szCs w:val="32"/>
        </w:rPr>
        <w:t>负责主体班次学籍管理，协同</w:t>
      </w:r>
      <w:proofErr w:type="gramStart"/>
      <w:r>
        <w:rPr>
          <w:rFonts w:ascii="宋体" w:eastAsia="宋体" w:hAnsi="宋体" w:cs="Times New Roman" w:hint="eastAsia"/>
          <w:sz w:val="32"/>
          <w:szCs w:val="32"/>
        </w:rPr>
        <w:t>组织人社部门</w:t>
      </w:r>
      <w:proofErr w:type="gramEnd"/>
      <w:r>
        <w:rPr>
          <w:rFonts w:ascii="宋体" w:eastAsia="宋体" w:hAnsi="宋体" w:cs="Times New Roman" w:hint="eastAsia"/>
          <w:sz w:val="32"/>
          <w:szCs w:val="32"/>
        </w:rPr>
        <w:t>，对学员在校期间的学习和党性锻炼情况进行考核、考察和评价，提出使用建议；</w:t>
      </w:r>
    </w:p>
    <w:p w:rsidR="00CD3061" w:rsidRDefault="00587685">
      <w:pPr>
        <w:pStyle w:val="a7"/>
        <w:spacing w:line="600" w:lineRule="exact"/>
        <w:ind w:firstLineChars="200" w:firstLine="640"/>
        <w:rPr>
          <w:rFonts w:ascii="宋体" w:eastAsia="宋体" w:hAnsi="宋体" w:cs="Times New Roman"/>
          <w:sz w:val="32"/>
          <w:szCs w:val="32"/>
        </w:rPr>
      </w:pPr>
      <w:r>
        <w:rPr>
          <w:rFonts w:asciiTheme="minorEastAsia" w:hAnsiTheme="minorEastAsia" w:hint="eastAsia"/>
          <w:sz w:val="32"/>
          <w:szCs w:val="32"/>
        </w:rPr>
        <w:t>（四）</w:t>
      </w:r>
      <w:r>
        <w:rPr>
          <w:rFonts w:ascii="宋体" w:eastAsia="宋体" w:hAnsi="宋体" w:cs="Times New Roman" w:hint="eastAsia"/>
          <w:sz w:val="32"/>
          <w:szCs w:val="32"/>
        </w:rPr>
        <w:t>承办区委、区政府以及相关部门举办的专题研讨班；</w:t>
      </w:r>
    </w:p>
    <w:p w:rsidR="00CD3061" w:rsidRDefault="00587685">
      <w:pPr>
        <w:ind w:firstLineChars="200" w:firstLine="640"/>
        <w:rPr>
          <w:rFonts w:ascii="宋体" w:eastAsia="宋体" w:hAnsi="宋体" w:cs="Times New Roman"/>
          <w:sz w:val="32"/>
          <w:szCs w:val="32"/>
        </w:rPr>
      </w:pPr>
      <w:r>
        <w:rPr>
          <w:rFonts w:asciiTheme="minorEastAsia" w:hAnsiTheme="minorEastAsia" w:hint="eastAsia"/>
          <w:sz w:val="32"/>
          <w:szCs w:val="32"/>
        </w:rPr>
        <w:t>（五）</w:t>
      </w:r>
      <w:r>
        <w:rPr>
          <w:rFonts w:ascii="宋体" w:eastAsia="宋体" w:hAnsi="宋体" w:cs="Times New Roman" w:hint="eastAsia"/>
          <w:sz w:val="32"/>
          <w:szCs w:val="32"/>
        </w:rPr>
        <w:t>负责组织实施开展干部继续教育和培训工作；</w:t>
      </w:r>
    </w:p>
    <w:p w:rsidR="00CD3061" w:rsidRDefault="00587685">
      <w:pPr>
        <w:ind w:firstLineChars="200" w:firstLine="640"/>
        <w:rPr>
          <w:rFonts w:ascii="宋体" w:eastAsia="宋体" w:hAnsi="宋体" w:cs="Times New Roman"/>
          <w:sz w:val="32"/>
          <w:szCs w:val="32"/>
        </w:rPr>
      </w:pPr>
      <w:r>
        <w:rPr>
          <w:rFonts w:asciiTheme="minorEastAsia" w:hAnsiTheme="minorEastAsia" w:hint="eastAsia"/>
          <w:sz w:val="32"/>
          <w:szCs w:val="32"/>
        </w:rPr>
        <w:t>（六）</w:t>
      </w:r>
      <w:r>
        <w:rPr>
          <w:rFonts w:ascii="宋体" w:eastAsia="宋体" w:hAnsi="宋体" w:cs="Times New Roman" w:hint="eastAsia"/>
          <w:sz w:val="32"/>
          <w:szCs w:val="32"/>
        </w:rPr>
        <w:t>开展同国（境）内外有关机构和组织的合作与交流；</w:t>
      </w:r>
    </w:p>
    <w:p w:rsidR="00CD3061" w:rsidRDefault="00587685">
      <w:pPr>
        <w:ind w:firstLineChars="200" w:firstLine="640"/>
        <w:rPr>
          <w:rFonts w:ascii="宋体" w:eastAsia="宋体" w:hAnsi="宋体" w:cs="Times New Roman"/>
          <w:sz w:val="32"/>
          <w:szCs w:val="32"/>
        </w:rPr>
      </w:pPr>
      <w:r>
        <w:rPr>
          <w:rFonts w:asciiTheme="minorEastAsia" w:hAnsiTheme="minorEastAsia" w:hint="eastAsia"/>
          <w:sz w:val="32"/>
          <w:szCs w:val="32"/>
        </w:rPr>
        <w:t>（七）</w:t>
      </w:r>
      <w:r>
        <w:rPr>
          <w:rFonts w:ascii="宋体" w:eastAsia="宋体" w:hAnsi="宋体" w:cs="Times New Roman" w:hint="eastAsia"/>
          <w:sz w:val="32"/>
          <w:szCs w:val="32"/>
        </w:rPr>
        <w:t>负责围绕鹤城区委、鹤城区政府的工作方针，就区域经济建设、党的建设、文化建设和社会建设的新经验、新情况、新问题，开展理论科学研究，并提出建设性意见；</w:t>
      </w:r>
    </w:p>
    <w:p w:rsidR="00CD3061" w:rsidRDefault="00587685">
      <w:pPr>
        <w:ind w:firstLineChars="200" w:firstLine="640"/>
        <w:rPr>
          <w:rFonts w:ascii="宋体" w:eastAsia="宋体" w:hAnsi="宋体" w:cs="Times New Roman"/>
          <w:sz w:val="32"/>
          <w:szCs w:val="32"/>
        </w:rPr>
      </w:pPr>
      <w:r>
        <w:rPr>
          <w:rFonts w:asciiTheme="minorEastAsia" w:hAnsiTheme="minorEastAsia" w:hint="eastAsia"/>
          <w:sz w:val="32"/>
          <w:szCs w:val="32"/>
        </w:rPr>
        <w:t>（八）</w:t>
      </w:r>
      <w:r>
        <w:rPr>
          <w:rFonts w:ascii="宋体" w:eastAsia="宋体" w:hAnsi="宋体" w:cs="Times New Roman" w:hint="eastAsia"/>
          <w:sz w:val="32"/>
          <w:szCs w:val="32"/>
        </w:rPr>
        <w:t>完成区委、区政府交办的其他任务。</w:t>
      </w:r>
    </w:p>
    <w:p w:rsidR="00CD3061" w:rsidRDefault="00587685">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CD3061" w:rsidRDefault="00587685">
      <w:pPr>
        <w:spacing w:line="56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（一）内设机构设置。鹤城区委党校内设机构包括：</w:t>
      </w:r>
      <w:r>
        <w:rPr>
          <w:rFonts w:ascii="宋体" w:eastAsia="宋体" w:hAnsi="宋体" w:cs="Times New Roman" w:hint="eastAsia"/>
          <w:bCs/>
          <w:kern w:val="0"/>
          <w:sz w:val="32"/>
          <w:szCs w:val="32"/>
        </w:rPr>
        <w:t>办公室（人事部）、教务室 、科研室 、图书信息室 、后勤部（财务室）。</w:t>
      </w:r>
    </w:p>
    <w:p w:rsidR="00CD3061" w:rsidRDefault="00587685">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（二）决算单位构成。鹤城区委党校</w:t>
      </w:r>
      <w:r>
        <w:rPr>
          <w:rFonts w:asciiTheme="minorEastAsia" w:hAnsiTheme="minorEastAsia"/>
          <w:bCs/>
          <w:kern w:val="0"/>
          <w:sz w:val="32"/>
          <w:szCs w:val="32"/>
        </w:rPr>
        <w:t>20</w:t>
      </w:r>
      <w:r>
        <w:rPr>
          <w:rFonts w:asciiTheme="minorEastAsia" w:hAnsiTheme="minorEastAsia" w:hint="eastAsia"/>
          <w:bCs/>
          <w:kern w:val="0"/>
          <w:sz w:val="32"/>
          <w:szCs w:val="32"/>
        </w:rPr>
        <w:t>21年部门决算汇总公开单位构成包括：鹤城区委党校本级。</w:t>
      </w:r>
    </w:p>
    <w:p w:rsidR="00CD3061" w:rsidRDefault="00CD3061">
      <w:pPr>
        <w:jc w:val="left"/>
        <w:rPr>
          <w:rFonts w:ascii="仿宋_GB2312" w:eastAsia="仿宋_GB2312" w:hAnsiTheme="minorEastAsia"/>
          <w:sz w:val="28"/>
          <w:szCs w:val="32"/>
        </w:rPr>
      </w:pPr>
    </w:p>
    <w:p w:rsidR="00CD3061" w:rsidRDefault="00CD3061">
      <w:pPr>
        <w:jc w:val="center"/>
        <w:rPr>
          <w:rFonts w:ascii="黑体" w:eastAsia="黑体" w:hAnsi="黑体"/>
          <w:sz w:val="28"/>
          <w:szCs w:val="28"/>
        </w:rPr>
      </w:pPr>
    </w:p>
    <w:p w:rsidR="00CD3061" w:rsidRDefault="00CD3061">
      <w:pPr>
        <w:jc w:val="center"/>
        <w:rPr>
          <w:rFonts w:ascii="黑体" w:eastAsia="黑体" w:hAnsi="黑体"/>
          <w:sz w:val="28"/>
          <w:szCs w:val="28"/>
        </w:rPr>
      </w:pPr>
    </w:p>
    <w:p w:rsidR="00CD3061" w:rsidRDefault="00CD3061">
      <w:pPr>
        <w:jc w:val="center"/>
        <w:rPr>
          <w:rFonts w:ascii="黑体" w:eastAsia="黑体" w:hAnsi="黑体"/>
          <w:sz w:val="28"/>
          <w:szCs w:val="28"/>
        </w:rPr>
      </w:pPr>
    </w:p>
    <w:p w:rsidR="00CD3061" w:rsidRDefault="00CD3061">
      <w:pPr>
        <w:jc w:val="center"/>
        <w:rPr>
          <w:rFonts w:ascii="黑体" w:eastAsia="黑体" w:hAnsi="黑体"/>
          <w:sz w:val="28"/>
          <w:szCs w:val="28"/>
        </w:rPr>
      </w:pPr>
    </w:p>
    <w:p w:rsidR="00CD3061" w:rsidRDefault="00CD3061">
      <w:pPr>
        <w:jc w:val="center"/>
        <w:rPr>
          <w:rFonts w:ascii="黑体" w:eastAsia="黑体" w:hAnsi="黑体"/>
          <w:sz w:val="28"/>
          <w:szCs w:val="28"/>
        </w:rPr>
      </w:pPr>
    </w:p>
    <w:p w:rsidR="00CD3061" w:rsidRDefault="00CD3061">
      <w:pP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587685">
      <w:pPr>
        <w:jc w:val="center"/>
        <w:rPr>
          <w:sz w:val="72"/>
          <w:szCs w:val="72"/>
        </w:rPr>
      </w:pPr>
      <w:r>
        <w:rPr>
          <w:rFonts w:hint="eastAsia"/>
          <w:sz w:val="72"/>
          <w:szCs w:val="72"/>
        </w:rPr>
        <w:t>第二部分</w:t>
      </w:r>
    </w:p>
    <w:p w:rsidR="00CD3061" w:rsidRDefault="00CD3061">
      <w:pPr>
        <w:jc w:val="center"/>
        <w:rPr>
          <w:sz w:val="72"/>
          <w:szCs w:val="72"/>
        </w:rPr>
      </w:pPr>
    </w:p>
    <w:p w:rsidR="00CD3061" w:rsidRDefault="00587685">
      <w:pPr>
        <w:jc w:val="center"/>
        <w:rPr>
          <w:sz w:val="72"/>
          <w:szCs w:val="72"/>
        </w:rPr>
      </w:pPr>
      <w:r>
        <w:rPr>
          <w:rFonts w:hint="eastAsia"/>
          <w:sz w:val="72"/>
          <w:szCs w:val="72"/>
        </w:rPr>
        <w:t>部门决算表</w:t>
      </w:r>
      <w:r>
        <w:rPr>
          <w:sz w:val="72"/>
          <w:szCs w:val="72"/>
        </w:rPr>
        <w:br/>
      </w:r>
      <w:r>
        <w:rPr>
          <w:rFonts w:hint="eastAsia"/>
          <w:sz w:val="72"/>
          <w:szCs w:val="72"/>
        </w:rPr>
        <w:t>（表格见附件）</w:t>
      </w: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jc w:val="center"/>
        <w:rPr>
          <w:sz w:val="72"/>
          <w:szCs w:val="72"/>
        </w:rPr>
      </w:pPr>
    </w:p>
    <w:p w:rsidR="00CD3061" w:rsidRDefault="00CD3061">
      <w:pPr>
        <w:jc w:val="left"/>
        <w:rPr>
          <w:sz w:val="32"/>
          <w:szCs w:val="32"/>
        </w:rPr>
      </w:pPr>
    </w:p>
    <w:p w:rsidR="00CD3061" w:rsidRDefault="00CD3061">
      <w:pPr>
        <w:jc w:val="left"/>
        <w:rPr>
          <w:rFonts w:asciiTheme="minorEastAsia" w:hAnsiTheme="minorEastAsia"/>
          <w:sz w:val="32"/>
          <w:szCs w:val="32"/>
        </w:rPr>
        <w:sectPr w:rsidR="00CD3061">
          <w:pgSz w:w="11906" w:h="16838"/>
          <w:pgMar w:top="720" w:right="720" w:bottom="720" w:left="720" w:header="851" w:footer="992" w:gutter="0"/>
          <w:cols w:space="425"/>
          <w:docGrid w:type="lines" w:linePitch="312"/>
        </w:sectPr>
      </w:pPr>
    </w:p>
    <w:p w:rsidR="00CD3061" w:rsidRDefault="00CD3061">
      <w:pPr>
        <w:pStyle w:val="Default"/>
        <w:rPr>
          <w:sz w:val="72"/>
          <w:szCs w:val="72"/>
        </w:rPr>
      </w:pPr>
    </w:p>
    <w:p w:rsidR="00CD3061" w:rsidRDefault="00CD3061">
      <w:pPr>
        <w:pStyle w:val="Default"/>
        <w:rPr>
          <w:sz w:val="72"/>
          <w:szCs w:val="72"/>
        </w:rPr>
      </w:pPr>
    </w:p>
    <w:p w:rsidR="00CD3061" w:rsidRDefault="00CD3061">
      <w:pPr>
        <w:pStyle w:val="Default"/>
        <w:rPr>
          <w:sz w:val="72"/>
          <w:szCs w:val="72"/>
        </w:rPr>
      </w:pPr>
    </w:p>
    <w:p w:rsidR="00CD3061" w:rsidRDefault="00CD3061">
      <w:pPr>
        <w:pStyle w:val="Default"/>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587685">
      <w:pPr>
        <w:pStyle w:val="Default"/>
        <w:jc w:val="center"/>
        <w:rPr>
          <w:sz w:val="72"/>
          <w:szCs w:val="72"/>
        </w:rPr>
      </w:pPr>
      <w:r>
        <w:rPr>
          <w:rFonts w:hint="eastAsia"/>
          <w:sz w:val="72"/>
          <w:szCs w:val="72"/>
        </w:rPr>
        <w:t>第三部分</w:t>
      </w:r>
    </w:p>
    <w:p w:rsidR="00CD3061" w:rsidRDefault="00CD3061">
      <w:pPr>
        <w:pStyle w:val="Default"/>
        <w:jc w:val="center"/>
        <w:rPr>
          <w:sz w:val="70"/>
          <w:szCs w:val="70"/>
        </w:rPr>
      </w:pPr>
    </w:p>
    <w:p w:rsidR="00CD3061" w:rsidRDefault="00587685">
      <w:pPr>
        <w:pStyle w:val="Default"/>
        <w:jc w:val="center"/>
        <w:rPr>
          <w:sz w:val="70"/>
          <w:szCs w:val="70"/>
        </w:rPr>
      </w:pPr>
      <w:r>
        <w:rPr>
          <w:sz w:val="70"/>
          <w:szCs w:val="70"/>
        </w:rPr>
        <w:t>20</w:t>
      </w:r>
      <w:r>
        <w:rPr>
          <w:rFonts w:hint="eastAsia"/>
          <w:sz w:val="70"/>
          <w:szCs w:val="70"/>
        </w:rPr>
        <w:t>21年度部门决算情况说明</w:t>
      </w:r>
    </w:p>
    <w:p w:rsidR="00CD3061" w:rsidRDefault="00587685">
      <w:pPr>
        <w:widowControl/>
        <w:jc w:val="left"/>
        <w:rPr>
          <w:rFonts w:asciiTheme="minorEastAsia" w:hAnsiTheme="minorEastAsia"/>
          <w:sz w:val="32"/>
          <w:szCs w:val="32"/>
        </w:rPr>
      </w:pPr>
      <w:r>
        <w:rPr>
          <w:sz w:val="70"/>
          <w:szCs w:val="70"/>
        </w:rPr>
        <w:br w:type="page"/>
      </w:r>
    </w:p>
    <w:p w:rsidR="00CD3061" w:rsidRDefault="00587685">
      <w:pPr>
        <w:pStyle w:val="Default"/>
        <w:rPr>
          <w:rFonts w:hAnsi="黑体"/>
          <w:b/>
          <w:sz w:val="32"/>
          <w:szCs w:val="32"/>
        </w:rPr>
      </w:pPr>
      <w:r>
        <w:rPr>
          <w:rFonts w:hAnsi="黑体" w:hint="eastAsia"/>
          <w:b/>
          <w:sz w:val="32"/>
          <w:szCs w:val="32"/>
        </w:rPr>
        <w:lastRenderedPageBreak/>
        <w:t>一、收入支出决算总体情况说明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2021年度收入总计320.34万元。与上年相比，增加23.53万元，增长7.93%，主要是因为人员经费和项目经费增加。</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2021年度支出总计320.34万元。与上年相比，增加23.53万元，增长7.93%，主要是因为人员经费和项目经费增加，支出也增加。</w:t>
      </w:r>
    </w:p>
    <w:p w:rsidR="00CD3061" w:rsidRDefault="00587685">
      <w:pPr>
        <w:pStyle w:val="Default"/>
        <w:rPr>
          <w:rFonts w:hAnsi="黑体"/>
          <w:b/>
          <w:sz w:val="32"/>
          <w:szCs w:val="32"/>
        </w:rPr>
      </w:pPr>
      <w:r>
        <w:rPr>
          <w:rFonts w:hAnsi="黑体" w:hint="eastAsia"/>
          <w:b/>
          <w:sz w:val="32"/>
          <w:szCs w:val="32"/>
        </w:rPr>
        <w:t>二、收入决算情况说明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2021年度收入合计320.34万元，其中：财政拨款收入320.34万元，占100%；上级补助收入0万元，占0%；事业收入0万元，占0%；经营收入0万元，占0%；附属单位上缴收入0万元，占0%；其他收入0万元，占0%。</w:t>
      </w:r>
    </w:p>
    <w:p w:rsidR="00CD3061" w:rsidRDefault="00587685">
      <w:pPr>
        <w:pStyle w:val="Default"/>
        <w:rPr>
          <w:rFonts w:hAnsi="黑体"/>
          <w:b/>
          <w:sz w:val="32"/>
          <w:szCs w:val="32"/>
        </w:rPr>
      </w:pPr>
      <w:r>
        <w:rPr>
          <w:rFonts w:hAnsi="黑体" w:hint="eastAsia"/>
          <w:b/>
          <w:sz w:val="32"/>
          <w:szCs w:val="32"/>
        </w:rPr>
        <w:t>三、支出决算情况说明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2021年度支出合计320.34万元，其中：基本支出299.33万元，占93.44%；项目支出21.01万元，占6.56%；上缴上级支出0万元，占0%；经营支出0万元，占0%；对附属单位补助支出0万元，占0%。</w:t>
      </w:r>
    </w:p>
    <w:p w:rsidR="00CD3061" w:rsidRDefault="00587685">
      <w:pPr>
        <w:pStyle w:val="Default"/>
        <w:rPr>
          <w:rFonts w:hAnsi="黑体"/>
          <w:b/>
          <w:sz w:val="32"/>
          <w:szCs w:val="32"/>
        </w:rPr>
      </w:pPr>
      <w:r>
        <w:rPr>
          <w:rFonts w:hAnsi="黑体" w:hint="eastAsia"/>
          <w:b/>
          <w:sz w:val="32"/>
          <w:szCs w:val="32"/>
        </w:rPr>
        <w:t>四、财政拨款收入支出决算总体情况说明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2021年度财政拨款收入总计320.34万元。与上年相比，增加23.53万元，增长7.93%，主要是因为人员经费和项目经费增加。</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2021年度财政拨款支出总计320.34万元。与上年相比，增加23.53万元，增长7.93%，主要是因为人员经费和项目经费增加，支出也增加。</w:t>
      </w:r>
    </w:p>
    <w:p w:rsidR="00CD3061" w:rsidRDefault="00587685">
      <w:pPr>
        <w:pStyle w:val="Default"/>
        <w:rPr>
          <w:rFonts w:hAnsi="黑体"/>
          <w:b/>
          <w:sz w:val="32"/>
          <w:szCs w:val="32"/>
        </w:rPr>
      </w:pPr>
      <w:r>
        <w:rPr>
          <w:rFonts w:hAnsi="黑体" w:hint="eastAsia"/>
          <w:b/>
          <w:sz w:val="32"/>
          <w:szCs w:val="32"/>
        </w:rPr>
        <w:t>五、一般公共预算财政拨款支出决算情况说明</w:t>
      </w:r>
    </w:p>
    <w:p w:rsidR="00CD3061" w:rsidRDefault="00587685" w:rsidP="00281E19">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2021年度财政拨款支出320.34万元，占本年支出合计的100%，与上年相比，财政拨款支出增加23.53万元，增长7.93%，主要是因为人员经费和项目经费增加，支出也增加。</w:t>
      </w:r>
    </w:p>
    <w:p w:rsidR="00CD3061" w:rsidRDefault="00587685" w:rsidP="00281E19">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CD3061" w:rsidRDefault="00587685">
      <w:pPr>
        <w:ind w:firstLineChars="250" w:firstLine="800"/>
        <w:jc w:val="left"/>
        <w:rPr>
          <w:rFonts w:asciiTheme="minorEastAsia" w:hAnsiTheme="minorEastAsia"/>
          <w:sz w:val="32"/>
          <w:szCs w:val="32"/>
        </w:rPr>
      </w:pPr>
      <w:r>
        <w:rPr>
          <w:rFonts w:asciiTheme="minorEastAsia" w:hAnsiTheme="minorEastAsia" w:hint="eastAsia"/>
          <w:sz w:val="32"/>
          <w:szCs w:val="32"/>
        </w:rPr>
        <w:lastRenderedPageBreak/>
        <w:t>2021年度财政拨款支出320.34万元，主要用于以下方面：一般公共服务（类）支出0万元，占0%；教育（类）支出295.51万元，占92.25%;社会保障和就业支出24.82万元，占7.75%。</w:t>
      </w:r>
    </w:p>
    <w:p w:rsidR="00CD3061" w:rsidRDefault="00587685" w:rsidP="00281E19">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2021年度财政拨款支出年初预算数为320.34万元，支出决算数为320.34万元，完成年初预算的100%，其中：</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1、教育支出（类）进修及培训（款）干部教育（项）。</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年初预算为274.51万元，支出决算为274.51万元，完成年初预算的100%。</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2、教育支出（类）其他教育支出（款）其他教育支出（项）。</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年初预算为21.01万元，支出决算为21.01万元，完成年初预算的100%。</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cstheme="minorBidi" w:hint="eastAsia"/>
          <w:color w:val="auto"/>
          <w:kern w:val="2"/>
          <w:sz w:val="32"/>
          <w:szCs w:val="32"/>
        </w:rPr>
        <w:t>社会保障和就业支出</w:t>
      </w:r>
      <w:r>
        <w:rPr>
          <w:rFonts w:asciiTheme="minorEastAsia" w:eastAsiaTheme="minorEastAsia" w:hAnsiTheme="minorEastAsia" w:hint="eastAsia"/>
          <w:sz w:val="32"/>
          <w:szCs w:val="32"/>
        </w:rPr>
        <w:t>（类）行政事业单位养老支出（款）机关事业单位基本养老保险缴费支出（项）。</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年初预算为24.82万元，支出决算为24.82万元，完成年初预算的100%。</w:t>
      </w:r>
    </w:p>
    <w:p w:rsidR="00CD3061" w:rsidRDefault="00587685">
      <w:pPr>
        <w:pStyle w:val="Default"/>
        <w:rPr>
          <w:rFonts w:hAnsi="黑体"/>
          <w:b/>
          <w:sz w:val="32"/>
          <w:szCs w:val="32"/>
        </w:rPr>
      </w:pPr>
      <w:r>
        <w:rPr>
          <w:rFonts w:hAnsi="黑体" w:hint="eastAsia"/>
          <w:b/>
          <w:sz w:val="32"/>
          <w:szCs w:val="32"/>
        </w:rPr>
        <w:t>六、一般公共预算财政拨款基本支出决算情况说明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2021年度财政拨款基本支出299.33万元，其中：人员经费289.69万元，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96.78%,主要包括基本工资、津贴补贴、奖金、伙食补助费、机关事业单位基本养老保险缴费、职工基本医疗保险缴费、其他社会保障缴费、其他工资福利支出、生活补助、其他对个和家庭补助等；公用经费9.63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支出的3.22%，主要包括办公费、印刷费、邮电费、差旅费、维修（护）费、工会经费、福利费、其他交通费用等。</w:t>
      </w:r>
    </w:p>
    <w:p w:rsidR="00CD3061" w:rsidRDefault="00587685">
      <w:pPr>
        <w:pStyle w:val="Default"/>
        <w:rPr>
          <w:rFonts w:hAnsi="黑体"/>
          <w:b/>
          <w:sz w:val="32"/>
          <w:szCs w:val="32"/>
        </w:rPr>
      </w:pPr>
      <w:r>
        <w:rPr>
          <w:rFonts w:hAnsi="黑体" w:hint="eastAsia"/>
          <w:b/>
          <w:sz w:val="32"/>
          <w:szCs w:val="32"/>
        </w:rPr>
        <w:t>七、一般公共预算财政拨款“三公”经费支出决算情况说明</w:t>
      </w:r>
    </w:p>
    <w:p w:rsidR="00CD3061" w:rsidRDefault="0058768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2021年度“三公”经费财政拨款支出预算为0万元，支出决算为0万元，完成预算的0%，其中：</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因公出国（境）费支出预算为0万元，支出决算为0万元，完成预算的0%。</w:t>
      </w:r>
    </w:p>
    <w:p w:rsidR="00CD3061" w:rsidRDefault="00587685">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sidR="00281E19">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万元，支出决算为0万元，</w:t>
      </w:r>
      <w:r w:rsidR="00DD0925" w:rsidRPr="00DD0925">
        <w:rPr>
          <w:rFonts w:asciiTheme="minorEastAsia" w:eastAsiaTheme="minorEastAsia" w:hAnsiTheme="minorEastAsia" w:hint="eastAsia"/>
          <w:sz w:val="32"/>
          <w:szCs w:val="32"/>
        </w:rPr>
        <w:t>由于预算数为0，无法计算百分比</w:t>
      </w:r>
      <w:r>
        <w:rPr>
          <w:rFonts w:asciiTheme="minorEastAsia" w:eastAsiaTheme="minorEastAsia" w:hAnsiTheme="minorEastAsia" w:hint="eastAsia"/>
          <w:sz w:val="32"/>
          <w:szCs w:val="32"/>
        </w:rPr>
        <w:t>，与上年相比</w:t>
      </w:r>
      <w:r w:rsidR="00DD0925">
        <w:rPr>
          <w:rFonts w:asciiTheme="minorEastAsia" w:eastAsiaTheme="minorEastAsia" w:hAnsiTheme="minorEastAsia" w:hint="eastAsia"/>
          <w:sz w:val="32"/>
          <w:szCs w:val="32"/>
        </w:rPr>
        <w:t>持平</w:t>
      </w:r>
      <w:bookmarkStart w:id="0" w:name="_GoBack"/>
      <w:bookmarkEnd w:id="0"/>
      <w:r>
        <w:rPr>
          <w:rFonts w:asciiTheme="minorEastAsia" w:eastAsiaTheme="minorEastAsia" w:hAnsiTheme="minorEastAsia" w:hint="eastAsia"/>
          <w:sz w:val="32"/>
          <w:szCs w:val="32"/>
        </w:rPr>
        <w:t>,主要原因是无活动的开展。</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公务用车购置费支出预算为0万元，支出决算为0万元，由于预算数为0，无法计算百分比。</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公务用车运行维护费支出预算为0万元，支出决算为0万元，由于预算数为0，无法计算百分比。</w:t>
      </w:r>
    </w:p>
    <w:p w:rsidR="00CD3061" w:rsidRDefault="00587685">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2021年度“三公”经费财政拨款支出决算中，公务接待费支出决算0万元，占0%,因公出国（境）费支出决算0万元，占0%,公务用车购置费及运行维护费支出决算0万元，占0%。其中：</w:t>
      </w:r>
    </w:p>
    <w:p w:rsidR="00CD3061" w:rsidRDefault="00587685">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2、公务接待费支出决算为0万元，全年共接待来访团组0个、来宾0次。</w:t>
      </w:r>
    </w:p>
    <w:p w:rsidR="00CD3061" w:rsidRDefault="00587685">
      <w:pPr>
        <w:ind w:firstLineChars="200" w:firstLine="640"/>
        <w:rPr>
          <w:rFonts w:asciiTheme="minorEastAsia" w:hAnsiTheme="minorEastAsia"/>
          <w:sz w:val="32"/>
          <w:szCs w:val="32"/>
        </w:rPr>
      </w:pPr>
      <w:r>
        <w:rPr>
          <w:rFonts w:asciiTheme="minorEastAsia" w:hAnsiTheme="minorEastAsia" w:hint="eastAsia"/>
          <w:sz w:val="32"/>
          <w:szCs w:val="32"/>
        </w:rPr>
        <w:t>3、公务用车购置费及运行维护费支出决算为0万元，其中：公务用车购置费0万元，更新公务用车0辆。公务用车运行维护费0万元，截至2021年12月31日，我单位开支财政拨款的公务用车保有量为0辆。</w:t>
      </w:r>
    </w:p>
    <w:p w:rsidR="00CD3061" w:rsidRDefault="00587685">
      <w:pPr>
        <w:pStyle w:val="Default"/>
        <w:rPr>
          <w:rFonts w:hAnsi="黑体"/>
          <w:b/>
          <w:sz w:val="32"/>
          <w:szCs w:val="32"/>
        </w:rPr>
      </w:pPr>
      <w:r>
        <w:rPr>
          <w:rFonts w:hAnsi="黑体" w:hint="eastAsia"/>
          <w:b/>
          <w:sz w:val="32"/>
          <w:szCs w:val="32"/>
        </w:rPr>
        <w:t>八、政府性基金预算收入支出决算情况</w:t>
      </w:r>
    </w:p>
    <w:p w:rsidR="00CD3061" w:rsidRDefault="00587685">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cstheme="minorBidi" w:hint="eastAsia"/>
          <w:color w:val="auto"/>
          <w:kern w:val="2"/>
          <w:sz w:val="32"/>
          <w:szCs w:val="32"/>
        </w:rPr>
        <w:t xml:space="preserve"> 2021年度政府性基金预算财政拨款收入0万元；年初结转和结余0万元；支出0万元，其中基本支出0万元，项目支出0万元；年末结转和结余0万元。</w:t>
      </w:r>
    </w:p>
    <w:p w:rsidR="00CD3061" w:rsidRDefault="00587685">
      <w:pPr>
        <w:pStyle w:val="Default"/>
        <w:rPr>
          <w:rFonts w:hAnsi="黑体"/>
          <w:b/>
          <w:sz w:val="32"/>
          <w:szCs w:val="32"/>
        </w:rPr>
      </w:pPr>
      <w:r>
        <w:rPr>
          <w:rFonts w:hAnsi="黑体" w:hint="eastAsia"/>
          <w:b/>
          <w:sz w:val="32"/>
          <w:szCs w:val="32"/>
        </w:rPr>
        <w:t>九、国有资本经营预算财政拨款支出情况</w:t>
      </w:r>
    </w:p>
    <w:p w:rsidR="00CD3061" w:rsidRDefault="00587685">
      <w:pPr>
        <w:pStyle w:val="Default"/>
        <w:rPr>
          <w:rFonts w:asciiTheme="minorEastAsia" w:eastAsiaTheme="minorEastAsia" w:hAnsiTheme="minorEastAsia"/>
          <w:sz w:val="32"/>
          <w:szCs w:val="32"/>
        </w:rPr>
      </w:pPr>
      <w:r>
        <w:rPr>
          <w:rFonts w:hAnsi="黑体" w:hint="eastAsia"/>
          <w:b/>
          <w:sz w:val="32"/>
          <w:szCs w:val="32"/>
        </w:rPr>
        <w:t xml:space="preserve">    </w:t>
      </w:r>
      <w:r>
        <w:rPr>
          <w:rFonts w:asciiTheme="minorEastAsia" w:eastAsiaTheme="minorEastAsia" w:hAnsiTheme="minorEastAsia" w:cstheme="minorBidi" w:hint="eastAsia"/>
          <w:color w:val="auto"/>
          <w:kern w:val="2"/>
          <w:sz w:val="32"/>
          <w:szCs w:val="32"/>
        </w:rPr>
        <w:t>2021年度国有资本经营预算财政拨款收入0万元；年初结转和结余0万元；支出0万元，其中基本支出0万元，项目支出0万元；年末结转和结余0万元。</w:t>
      </w:r>
    </w:p>
    <w:p w:rsidR="00CD3061" w:rsidRDefault="00587685">
      <w:pPr>
        <w:pStyle w:val="Default"/>
        <w:rPr>
          <w:rFonts w:hAnsi="黑体"/>
          <w:b/>
          <w:sz w:val="32"/>
          <w:szCs w:val="32"/>
        </w:rPr>
      </w:pPr>
      <w:r>
        <w:rPr>
          <w:rFonts w:hAnsi="黑体" w:hint="eastAsia"/>
          <w:b/>
          <w:sz w:val="32"/>
          <w:szCs w:val="32"/>
        </w:rPr>
        <w:lastRenderedPageBreak/>
        <w:t>十、机关运行经费支出说明</w:t>
      </w:r>
    </w:p>
    <w:p w:rsidR="00CD3061" w:rsidRDefault="00587685">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机关运行经费为保障行政单位（含参照公务员法管理的事业单位）运行用于购买货物和服务的各项资金，本单位为财政补助事业单位，</w:t>
      </w:r>
      <w:proofErr w:type="gramStart"/>
      <w:r>
        <w:rPr>
          <w:rFonts w:asciiTheme="minorEastAsia" w:eastAsiaTheme="minorEastAsia" w:hAnsiTheme="minorEastAsia" w:hint="eastAsia"/>
          <w:color w:val="auto"/>
          <w:sz w:val="32"/>
          <w:szCs w:val="32"/>
        </w:rPr>
        <w:t>无机关</w:t>
      </w:r>
      <w:proofErr w:type="gramEnd"/>
      <w:r>
        <w:rPr>
          <w:rFonts w:asciiTheme="minorEastAsia" w:eastAsiaTheme="minorEastAsia" w:hAnsiTheme="minorEastAsia" w:hint="eastAsia"/>
          <w:color w:val="auto"/>
          <w:sz w:val="32"/>
          <w:szCs w:val="32"/>
        </w:rPr>
        <w:t>运行经费，本单位公用经费为9.63万元，同比增加0.45万元，原因是印刷费支出增加。</w:t>
      </w:r>
    </w:p>
    <w:p w:rsidR="00CD3061" w:rsidRDefault="00587685">
      <w:pPr>
        <w:pStyle w:val="Default"/>
        <w:rPr>
          <w:rFonts w:hAnsi="黑体"/>
          <w:b/>
          <w:sz w:val="32"/>
          <w:szCs w:val="32"/>
        </w:rPr>
      </w:pPr>
      <w:r>
        <w:rPr>
          <w:rFonts w:hAnsi="黑体" w:hint="eastAsia"/>
          <w:b/>
          <w:sz w:val="32"/>
          <w:szCs w:val="32"/>
        </w:rPr>
        <w:t>十一、一般性支出情况说明</w:t>
      </w:r>
    </w:p>
    <w:p w:rsidR="00CD3061" w:rsidRDefault="00587685" w:rsidP="00281E19">
      <w:pPr>
        <w:pStyle w:val="Default"/>
        <w:ind w:firstLineChars="200" w:firstLine="643"/>
        <w:rPr>
          <w:rFonts w:asciiTheme="minorEastAsia" w:eastAsiaTheme="minorEastAsia" w:hAnsiTheme="minorEastAsia"/>
          <w:sz w:val="32"/>
          <w:szCs w:val="32"/>
        </w:rPr>
      </w:pPr>
      <w:r>
        <w:rPr>
          <w:rFonts w:hAnsi="黑体" w:hint="eastAsia"/>
          <w:b/>
          <w:sz w:val="32"/>
          <w:szCs w:val="32"/>
        </w:rPr>
        <w:t xml:space="preserve"> </w:t>
      </w:r>
      <w:r>
        <w:rPr>
          <w:rFonts w:asciiTheme="minorEastAsia" w:eastAsiaTheme="minorEastAsia" w:hAnsiTheme="minorEastAsia" w:hint="eastAsia"/>
          <w:sz w:val="32"/>
          <w:szCs w:val="32"/>
        </w:rPr>
        <w:t>2021年本部门开支会议费0万元，用于召开0会议，人数0人，内容为无；开支培训费0万元，用于开展0培训，人数0人，内容为无；举办0场节庆、晚会、论坛、赛事等活动，开支0万元。</w:t>
      </w:r>
    </w:p>
    <w:p w:rsidR="00CD3061" w:rsidRDefault="00587685">
      <w:pPr>
        <w:pStyle w:val="Default"/>
        <w:rPr>
          <w:rFonts w:hAnsi="黑体"/>
          <w:b/>
          <w:sz w:val="32"/>
          <w:szCs w:val="32"/>
        </w:rPr>
      </w:pPr>
      <w:r>
        <w:rPr>
          <w:rFonts w:hAnsi="黑体" w:hint="eastAsia"/>
          <w:b/>
          <w:sz w:val="32"/>
          <w:szCs w:val="32"/>
        </w:rPr>
        <w:t>十二、政府采购支出说明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本部门2021年度政府采购支出总额0万元，其中：政府采购货物支出0万元、政府采购工程支出0万元、政府采购服务支出0万元。授予中小企业合同金额0万元，占政府采购支出总额的0%，其中：授予小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合同金额0万元，占授予中小企业合同金额的0%；货物采购授予中小企业合同金额占货物支出金额的0%，工程采购授予中小企业合同金额占工程支出金额的0%，服务采购授予中小企业合同金额占服务支出金额的0%。</w:t>
      </w:r>
    </w:p>
    <w:p w:rsidR="00CD3061" w:rsidRDefault="00587685">
      <w:pPr>
        <w:pStyle w:val="Default"/>
        <w:rPr>
          <w:rFonts w:hAnsi="黑体"/>
          <w:b/>
          <w:sz w:val="32"/>
          <w:szCs w:val="32"/>
        </w:rPr>
      </w:pPr>
      <w:r>
        <w:rPr>
          <w:rFonts w:hAnsi="黑体" w:hint="eastAsia"/>
          <w:b/>
          <w:sz w:val="32"/>
          <w:szCs w:val="32"/>
        </w:rPr>
        <w:t>十三、国有资产占用情况说明</w:t>
      </w:r>
    </w:p>
    <w:p w:rsidR="00CD3061" w:rsidRDefault="005876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截至2021年12月31日，本单位共有车辆0辆，无单位价值50万元以上通用设备；无单位价值100万元以上专用设备。</w:t>
      </w:r>
    </w:p>
    <w:p w:rsidR="00CD3061" w:rsidRDefault="00587685">
      <w:pPr>
        <w:pStyle w:val="Default"/>
        <w:rPr>
          <w:rFonts w:hAnsi="黑体"/>
          <w:b/>
          <w:sz w:val="32"/>
          <w:szCs w:val="32"/>
        </w:rPr>
      </w:pPr>
      <w:r>
        <w:rPr>
          <w:rFonts w:hAnsi="黑体" w:hint="eastAsia"/>
          <w:b/>
          <w:sz w:val="32"/>
          <w:szCs w:val="32"/>
        </w:rPr>
        <w:t>十四、2021年度预算绩效情况说明</w:t>
      </w:r>
    </w:p>
    <w:p w:rsidR="00CD3061" w:rsidRDefault="00587685" w:rsidP="00281E19">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CD3061" w:rsidRDefault="0058768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根据预算绩效管理要求，我校组织对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年度一般公共预算项目支出全面开展绩效自评，其中，</w:t>
      </w:r>
      <w:r>
        <w:rPr>
          <w:rFonts w:ascii="宋体" w:eastAsia="宋体" w:hAnsi="宋体" w:cs="宋体" w:hint="eastAsia"/>
          <w:sz w:val="32"/>
          <w:szCs w:val="32"/>
        </w:rPr>
        <w:t>专项业务费用类项目2个</w:t>
      </w:r>
      <w:r>
        <w:rPr>
          <w:rFonts w:asciiTheme="minorEastAsia" w:hAnsiTheme="minorEastAsia" w:cs="黑体" w:hint="eastAsia"/>
          <w:color w:val="000000"/>
          <w:kern w:val="0"/>
          <w:sz w:val="32"/>
          <w:szCs w:val="32"/>
        </w:rPr>
        <w:t>，共涉及资金21.01万元，占一般公共预算项目支出总额的100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CD3061" w:rsidRDefault="00587685">
      <w:pPr>
        <w:spacing w:line="7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 xml:space="preserve">2021年，我校积极推进预算绩效管理，合理制定和编报年度预算，加强资金管理，提高资金使用效益，建立完善内部监督机制，合理列支年度经费支出。按照我区预算绩效管理工作的总体要求，按照“三重一大”的要求做到各部门相互监督，全部实行整体支出绩效目标管理。2021年我校严格按照有关规定使用项目经费，资金使用效益良好。 </w:t>
      </w:r>
    </w:p>
    <w:p w:rsidR="00CD3061" w:rsidRDefault="00587685">
      <w:pPr>
        <w:pStyle w:val="a8"/>
        <w:shd w:val="clear" w:color="auto" w:fill="FFFFFF"/>
        <w:spacing w:before="0" w:beforeAutospacing="0" w:after="0" w:afterAutospacing="0"/>
        <w:ind w:firstLineChars="200" w:firstLine="64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充分发挥党校教师理论优势，学员实践优势，学校决策咨询功能推动鹤城区干部教育培训事业的发展，为区委、区政府的决策提供建设性意见，提高了主体班学员的党性修养、政治素养和管理能力更好的为党的事业和</w:t>
      </w:r>
      <w:proofErr w:type="gramStart"/>
      <w:r>
        <w:rPr>
          <w:rFonts w:asciiTheme="minorEastAsia" w:eastAsiaTheme="minorEastAsia" w:hAnsiTheme="minorEastAsia" w:cs="黑体" w:hint="eastAsia"/>
          <w:color w:val="000000"/>
          <w:sz w:val="32"/>
          <w:szCs w:val="32"/>
        </w:rPr>
        <w:t>鹤城</w:t>
      </w:r>
      <w:proofErr w:type="gramEnd"/>
      <w:r>
        <w:rPr>
          <w:rFonts w:asciiTheme="minorEastAsia" w:eastAsiaTheme="minorEastAsia" w:hAnsiTheme="minorEastAsia" w:cs="黑体" w:hint="eastAsia"/>
          <w:color w:val="000000"/>
          <w:sz w:val="32"/>
          <w:szCs w:val="32"/>
        </w:rPr>
        <w:t>的建设贡献力量。</w:t>
      </w:r>
    </w:p>
    <w:p w:rsidR="00CD3061" w:rsidRDefault="0058768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组织对单位开展整体支出绩效评价，涉及一般公共预算支出320.34万元，政府性基金预算支出</w:t>
      </w:r>
      <w:r>
        <w:rPr>
          <w:rFonts w:asciiTheme="minorEastAsia" w:hAnsiTheme="minorEastAsia" w:cs="黑体"/>
          <w:color w:val="000000"/>
          <w:kern w:val="0"/>
          <w:sz w:val="32"/>
          <w:szCs w:val="32"/>
        </w:rPr>
        <w:t>0</w:t>
      </w:r>
      <w:r>
        <w:rPr>
          <w:rFonts w:asciiTheme="minorEastAsia" w:hAnsiTheme="minorEastAsia" w:cs="黑体" w:hint="eastAsia"/>
          <w:color w:val="000000"/>
          <w:kern w:val="0"/>
          <w:sz w:val="32"/>
          <w:szCs w:val="32"/>
        </w:rPr>
        <w:t>万元。</w:t>
      </w:r>
    </w:p>
    <w:p w:rsidR="00CD3061" w:rsidRDefault="0058768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全面贯彻落</w:t>
      </w:r>
      <w:proofErr w:type="gramStart"/>
      <w:r>
        <w:rPr>
          <w:rFonts w:asciiTheme="minorEastAsia" w:hAnsiTheme="minorEastAsia" w:cs="黑体" w:hint="eastAsia"/>
          <w:color w:val="000000"/>
          <w:kern w:val="0"/>
          <w:sz w:val="32"/>
          <w:szCs w:val="32"/>
        </w:rPr>
        <w:t>实习近</w:t>
      </w:r>
      <w:proofErr w:type="gramEnd"/>
      <w:r>
        <w:rPr>
          <w:rFonts w:asciiTheme="minorEastAsia" w:hAnsiTheme="minorEastAsia" w:cs="黑体" w:hint="eastAsia"/>
          <w:color w:val="000000"/>
          <w:kern w:val="0"/>
          <w:sz w:val="32"/>
          <w:szCs w:val="32"/>
        </w:rPr>
        <w:t>平新时代中国特色社会主义思想和党的十九届五中全会精神及习近平总书记考察湖南重要讲话精神，</w:t>
      </w:r>
      <w:r>
        <w:rPr>
          <w:rFonts w:asciiTheme="minorEastAsia" w:hAnsiTheme="minorEastAsia" w:cs="黑体"/>
          <w:color w:val="000000"/>
          <w:kern w:val="0"/>
          <w:sz w:val="32"/>
          <w:szCs w:val="32"/>
        </w:rPr>
        <w:t>始终坚持</w:t>
      </w:r>
      <w:proofErr w:type="gramStart"/>
      <w:r>
        <w:rPr>
          <w:rFonts w:asciiTheme="minorEastAsia" w:hAnsiTheme="minorEastAsia" w:cs="黑体"/>
          <w:color w:val="000000"/>
          <w:kern w:val="0"/>
          <w:sz w:val="32"/>
          <w:szCs w:val="32"/>
        </w:rPr>
        <w:t>党校姓党的</w:t>
      </w:r>
      <w:proofErr w:type="gramEnd"/>
      <w:r>
        <w:rPr>
          <w:rFonts w:asciiTheme="minorEastAsia" w:hAnsiTheme="minorEastAsia" w:cs="黑体"/>
          <w:color w:val="000000"/>
          <w:kern w:val="0"/>
          <w:sz w:val="32"/>
          <w:szCs w:val="32"/>
        </w:rPr>
        <w:t>根本原则，紧紧围绕</w:t>
      </w:r>
      <w:r>
        <w:rPr>
          <w:rFonts w:asciiTheme="minorEastAsia" w:hAnsiTheme="minorEastAsia" w:cs="黑体" w:hint="eastAsia"/>
          <w:color w:val="000000"/>
          <w:kern w:val="0"/>
          <w:sz w:val="32"/>
          <w:szCs w:val="32"/>
        </w:rPr>
        <w:t>区</w:t>
      </w:r>
      <w:r>
        <w:rPr>
          <w:rFonts w:asciiTheme="minorEastAsia" w:hAnsiTheme="minorEastAsia" w:cs="黑体"/>
          <w:color w:val="000000"/>
          <w:kern w:val="0"/>
          <w:sz w:val="32"/>
          <w:szCs w:val="32"/>
        </w:rPr>
        <w:t>委</w:t>
      </w:r>
      <w:r>
        <w:rPr>
          <w:rFonts w:asciiTheme="minorEastAsia" w:hAnsiTheme="minorEastAsia" w:cs="黑体" w:hint="eastAsia"/>
          <w:color w:val="000000"/>
          <w:kern w:val="0"/>
          <w:sz w:val="32"/>
          <w:szCs w:val="32"/>
        </w:rPr>
        <w:t>区</w:t>
      </w:r>
      <w:r>
        <w:rPr>
          <w:rFonts w:asciiTheme="minorEastAsia" w:hAnsiTheme="minorEastAsia" w:cs="黑体"/>
          <w:color w:val="000000"/>
          <w:kern w:val="0"/>
          <w:sz w:val="32"/>
          <w:szCs w:val="32"/>
        </w:rPr>
        <w:t>政府工作中心，</w:t>
      </w:r>
      <w:r>
        <w:rPr>
          <w:rFonts w:asciiTheme="minorEastAsia" w:hAnsiTheme="minorEastAsia" w:cs="黑体" w:hint="eastAsia"/>
          <w:color w:val="000000"/>
          <w:kern w:val="0"/>
          <w:sz w:val="32"/>
          <w:szCs w:val="32"/>
        </w:rPr>
        <w:t>以</w:t>
      </w:r>
      <w:r>
        <w:rPr>
          <w:rFonts w:asciiTheme="minorEastAsia" w:hAnsiTheme="minorEastAsia" w:cs="黑体"/>
          <w:color w:val="000000"/>
          <w:kern w:val="0"/>
          <w:sz w:val="32"/>
          <w:szCs w:val="32"/>
        </w:rPr>
        <w:t>党员干部</w:t>
      </w:r>
      <w:r>
        <w:rPr>
          <w:rFonts w:asciiTheme="minorEastAsia" w:hAnsiTheme="minorEastAsia" w:cs="黑体" w:hint="eastAsia"/>
          <w:color w:val="000000"/>
          <w:kern w:val="0"/>
          <w:sz w:val="32"/>
          <w:szCs w:val="32"/>
        </w:rPr>
        <w:t>党性</w:t>
      </w:r>
      <w:r>
        <w:rPr>
          <w:rFonts w:asciiTheme="minorEastAsia" w:hAnsiTheme="minorEastAsia" w:cs="黑体"/>
          <w:color w:val="000000"/>
          <w:kern w:val="0"/>
          <w:sz w:val="32"/>
          <w:szCs w:val="32"/>
        </w:rPr>
        <w:t>教育培训</w:t>
      </w:r>
      <w:r>
        <w:rPr>
          <w:rFonts w:asciiTheme="minorEastAsia" w:hAnsiTheme="minorEastAsia" w:cs="黑体" w:hint="eastAsia"/>
          <w:color w:val="000000"/>
          <w:kern w:val="0"/>
          <w:sz w:val="32"/>
          <w:szCs w:val="32"/>
        </w:rPr>
        <w:t>为重点</w:t>
      </w:r>
      <w:r>
        <w:rPr>
          <w:rFonts w:asciiTheme="minorEastAsia" w:hAnsiTheme="minorEastAsia" w:cs="黑体"/>
          <w:color w:val="000000"/>
          <w:kern w:val="0"/>
          <w:sz w:val="32"/>
          <w:szCs w:val="32"/>
        </w:rPr>
        <w:t>，聚焦全</w:t>
      </w:r>
      <w:r>
        <w:rPr>
          <w:rFonts w:asciiTheme="minorEastAsia" w:hAnsiTheme="minorEastAsia" w:cs="黑体" w:hint="eastAsia"/>
          <w:color w:val="000000"/>
          <w:kern w:val="0"/>
          <w:sz w:val="32"/>
          <w:szCs w:val="32"/>
        </w:rPr>
        <w:t>区</w:t>
      </w:r>
      <w:r>
        <w:rPr>
          <w:rFonts w:asciiTheme="minorEastAsia" w:hAnsiTheme="minorEastAsia" w:cs="黑体"/>
          <w:color w:val="000000"/>
          <w:kern w:val="0"/>
          <w:sz w:val="32"/>
          <w:szCs w:val="32"/>
        </w:rPr>
        <w:t>经济社会发展热点难点问题，力争在党员干部教育培训质量上有新提升，在师资队伍和基础设施建设上有新加强，</w:t>
      </w:r>
      <w:r>
        <w:rPr>
          <w:rFonts w:asciiTheme="minorEastAsia" w:hAnsiTheme="minorEastAsia" w:cs="黑体" w:hint="eastAsia"/>
          <w:color w:val="000000"/>
          <w:kern w:val="0"/>
          <w:sz w:val="32"/>
          <w:szCs w:val="32"/>
        </w:rPr>
        <w:t>在</w:t>
      </w:r>
      <w:r>
        <w:rPr>
          <w:rFonts w:asciiTheme="minorEastAsia" w:hAnsiTheme="minorEastAsia" w:cs="黑体"/>
          <w:color w:val="000000"/>
          <w:kern w:val="0"/>
          <w:sz w:val="32"/>
          <w:szCs w:val="32"/>
        </w:rPr>
        <w:t>推进党校</w:t>
      </w:r>
      <w:proofErr w:type="gramStart"/>
      <w:r>
        <w:rPr>
          <w:rFonts w:asciiTheme="minorEastAsia" w:hAnsiTheme="minorEastAsia" w:cs="黑体" w:hint="eastAsia"/>
          <w:color w:val="000000"/>
          <w:kern w:val="0"/>
          <w:sz w:val="32"/>
          <w:szCs w:val="32"/>
        </w:rPr>
        <w:t>新型智库</w:t>
      </w:r>
      <w:proofErr w:type="gramEnd"/>
      <w:r>
        <w:rPr>
          <w:rFonts w:asciiTheme="minorEastAsia" w:hAnsiTheme="minorEastAsia" w:cs="黑体" w:hint="eastAsia"/>
          <w:color w:val="000000"/>
          <w:kern w:val="0"/>
          <w:sz w:val="32"/>
          <w:szCs w:val="32"/>
        </w:rPr>
        <w:t>建设上</w:t>
      </w:r>
      <w:r>
        <w:rPr>
          <w:rFonts w:asciiTheme="minorEastAsia" w:hAnsiTheme="minorEastAsia" w:cs="黑体"/>
          <w:color w:val="000000"/>
          <w:kern w:val="0"/>
          <w:sz w:val="32"/>
          <w:szCs w:val="32"/>
        </w:rPr>
        <w:t>有新</w:t>
      </w:r>
      <w:r>
        <w:rPr>
          <w:rFonts w:asciiTheme="minorEastAsia" w:hAnsiTheme="minorEastAsia" w:cs="黑体" w:hint="eastAsia"/>
          <w:color w:val="000000"/>
          <w:kern w:val="0"/>
          <w:sz w:val="32"/>
          <w:szCs w:val="32"/>
        </w:rPr>
        <w:t>作为</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在完善基础设施建设上有新突破，为</w:t>
      </w:r>
      <w:r>
        <w:rPr>
          <w:rFonts w:asciiTheme="minorEastAsia" w:hAnsiTheme="minorEastAsia" w:cs="黑体"/>
          <w:color w:val="000000"/>
          <w:kern w:val="0"/>
          <w:sz w:val="32"/>
          <w:szCs w:val="32"/>
        </w:rPr>
        <w:t>全</w:t>
      </w:r>
      <w:r>
        <w:rPr>
          <w:rFonts w:asciiTheme="minorEastAsia" w:hAnsiTheme="minorEastAsia" w:cs="黑体" w:hint="eastAsia"/>
          <w:color w:val="000000"/>
          <w:kern w:val="0"/>
          <w:sz w:val="32"/>
          <w:szCs w:val="32"/>
        </w:rPr>
        <w:t>区</w:t>
      </w:r>
      <w:r>
        <w:rPr>
          <w:rFonts w:asciiTheme="minorEastAsia" w:hAnsiTheme="minorEastAsia" w:cs="黑体"/>
          <w:color w:val="000000"/>
          <w:kern w:val="0"/>
          <w:sz w:val="32"/>
          <w:szCs w:val="32"/>
        </w:rPr>
        <w:t>经济和社会发展</w:t>
      </w:r>
      <w:r>
        <w:rPr>
          <w:rFonts w:asciiTheme="minorEastAsia" w:hAnsiTheme="minorEastAsia" w:cs="黑体" w:hint="eastAsia"/>
          <w:color w:val="000000"/>
          <w:kern w:val="0"/>
          <w:sz w:val="32"/>
          <w:szCs w:val="32"/>
        </w:rPr>
        <w:t>更好地服务。</w:t>
      </w:r>
    </w:p>
    <w:p w:rsidR="00CD3061" w:rsidRDefault="00587685">
      <w:pPr>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1、根据鹤城区委组织部的干训要求，完成了第十八期科局级干部、第二十四期中青年干部两期主体班培训，</w:t>
      </w:r>
      <w:r>
        <w:rPr>
          <w:rFonts w:asciiTheme="minorEastAsia" w:hAnsiTheme="minorEastAsia" w:cs="黑体"/>
          <w:color w:val="000000"/>
          <w:kern w:val="0"/>
          <w:sz w:val="32"/>
          <w:szCs w:val="32"/>
        </w:rPr>
        <w:t>400</w:t>
      </w:r>
      <w:r>
        <w:rPr>
          <w:rFonts w:asciiTheme="minorEastAsia" w:hAnsiTheme="minorEastAsia" w:cs="黑体" w:hint="eastAsia"/>
          <w:color w:val="000000"/>
          <w:kern w:val="0"/>
          <w:sz w:val="32"/>
          <w:szCs w:val="32"/>
        </w:rPr>
        <w:t>余名副</w:t>
      </w:r>
      <w:proofErr w:type="gramStart"/>
      <w:r>
        <w:rPr>
          <w:rFonts w:asciiTheme="minorEastAsia" w:hAnsiTheme="minorEastAsia" w:cs="黑体" w:hint="eastAsia"/>
          <w:color w:val="000000"/>
          <w:kern w:val="0"/>
          <w:sz w:val="32"/>
          <w:szCs w:val="32"/>
        </w:rPr>
        <w:t>科级以</w:t>
      </w:r>
      <w:proofErr w:type="gramEnd"/>
      <w:r>
        <w:rPr>
          <w:rFonts w:asciiTheme="minorEastAsia" w:hAnsiTheme="minorEastAsia" w:cs="黑体" w:hint="eastAsia"/>
          <w:color w:val="000000"/>
          <w:kern w:val="0"/>
          <w:sz w:val="32"/>
          <w:szCs w:val="32"/>
        </w:rPr>
        <w:t>上区管党员干部的十九届五中全会精神轮训。</w:t>
      </w:r>
    </w:p>
    <w:p w:rsidR="00CD3061" w:rsidRDefault="00587685">
      <w:pPr>
        <w:autoSpaceDE w:val="0"/>
        <w:autoSpaceDN w:val="0"/>
        <w:adjustRightInd w:val="0"/>
        <w:spacing w:line="360" w:lineRule="auto"/>
        <w:ind w:firstLine="643"/>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2、围绕省、市委党校系列科研课题开展调研，今年</w:t>
      </w:r>
      <w:proofErr w:type="gramStart"/>
      <w:r>
        <w:rPr>
          <w:rFonts w:asciiTheme="minorEastAsia" w:hAnsiTheme="minorEastAsia" w:cs="黑体" w:hint="eastAsia"/>
          <w:color w:val="000000"/>
          <w:kern w:val="0"/>
          <w:sz w:val="32"/>
          <w:szCs w:val="32"/>
        </w:rPr>
        <w:t>学校结项课题</w:t>
      </w:r>
      <w:proofErr w:type="gramEnd"/>
      <w:r>
        <w:rPr>
          <w:rFonts w:asciiTheme="minorEastAsia" w:hAnsiTheme="minorEastAsia" w:cs="黑体"/>
          <w:color w:val="000000"/>
          <w:kern w:val="0"/>
          <w:sz w:val="32"/>
          <w:szCs w:val="32"/>
        </w:rPr>
        <w:t>3</w:t>
      </w:r>
      <w:r>
        <w:rPr>
          <w:rFonts w:asciiTheme="minorEastAsia" w:hAnsiTheme="minorEastAsia" w:cs="黑体" w:hint="eastAsia"/>
          <w:color w:val="000000"/>
          <w:kern w:val="0"/>
          <w:sz w:val="32"/>
          <w:szCs w:val="32"/>
        </w:rPr>
        <w:t>个，立项课题</w:t>
      </w:r>
      <w:r>
        <w:rPr>
          <w:rFonts w:asciiTheme="minorEastAsia" w:hAnsiTheme="minorEastAsia" w:cs="黑体"/>
          <w:color w:val="000000"/>
          <w:kern w:val="0"/>
          <w:sz w:val="32"/>
          <w:szCs w:val="32"/>
        </w:rPr>
        <w:t>3</w:t>
      </w:r>
      <w:r>
        <w:rPr>
          <w:rFonts w:asciiTheme="minorEastAsia" w:hAnsiTheme="minorEastAsia" w:cs="黑体" w:hint="eastAsia"/>
          <w:color w:val="000000"/>
          <w:kern w:val="0"/>
          <w:sz w:val="32"/>
          <w:szCs w:val="32"/>
        </w:rPr>
        <w:t>个，获奖论文13篇，发表调研报告、论文4篇。</w:t>
      </w:r>
    </w:p>
    <w:p w:rsidR="00CD3061" w:rsidRDefault="00587685">
      <w:pPr>
        <w:spacing w:line="60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3、干训班学员考试合格，学员们党性修养、理论素养明显提高。</w:t>
      </w:r>
    </w:p>
    <w:p w:rsidR="00CD3061" w:rsidRDefault="00587685">
      <w:pPr>
        <w:spacing w:line="60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4、围绕中心，不折不扣完成区委区政府交作。一是持续做好乡村振兴工办的其他工作。二是积极担当做好疫情防控工作。三是积极参与社会综合治理，推进平安创建工作。</w:t>
      </w:r>
    </w:p>
    <w:p w:rsidR="00CD3061" w:rsidRDefault="00587685" w:rsidP="00281E19">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w:t>
      </w:r>
    </w:p>
    <w:p w:rsidR="00CD3061" w:rsidRDefault="00587685">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根据年初设定的绩效目标，项目绩效自评得分为97分。项目全年预算数为21.01万元，执行数为21.01万元，完成预算的100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CD3061" w:rsidRDefault="00587685" w:rsidP="00281E19">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CD3061" w:rsidRDefault="00587685">
      <w:pPr>
        <w:autoSpaceDE w:val="0"/>
        <w:autoSpaceDN w:val="0"/>
        <w:adjustRightInd w:val="0"/>
        <w:ind w:firstLineChars="200" w:firstLine="640"/>
        <w:jc w:val="left"/>
        <w:rPr>
          <w:rFonts w:asciiTheme="minorEastAsia" w:hAnsiTheme="minorEastAsia" w:cs="黑体"/>
          <w:kern w:val="0"/>
          <w:sz w:val="32"/>
          <w:szCs w:val="32"/>
        </w:rPr>
      </w:pPr>
      <w:r>
        <w:rPr>
          <w:rFonts w:asciiTheme="minorEastAsia" w:hAnsiTheme="minorEastAsia" w:cs="黑体" w:hint="eastAsia"/>
          <w:kern w:val="0"/>
          <w:sz w:val="32"/>
          <w:szCs w:val="32"/>
        </w:rPr>
        <w:t>部门评价项目数量2个，已将2个项目评价报告在绩效评价中向社会公开了。</w:t>
      </w:r>
    </w:p>
    <w:p w:rsidR="00CD3061" w:rsidRDefault="00CD3061">
      <w:pPr>
        <w:pStyle w:val="Default"/>
        <w:jc w:val="center"/>
        <w:rPr>
          <w:color w:val="auto"/>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rPr>
          <w:sz w:val="72"/>
          <w:szCs w:val="72"/>
        </w:rPr>
      </w:pPr>
    </w:p>
    <w:p w:rsidR="00CD3061" w:rsidRDefault="00CD3061">
      <w:pPr>
        <w:pStyle w:val="Default"/>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587685">
      <w:pPr>
        <w:pStyle w:val="Default"/>
        <w:jc w:val="center"/>
        <w:rPr>
          <w:sz w:val="72"/>
          <w:szCs w:val="72"/>
        </w:rPr>
      </w:pPr>
      <w:r>
        <w:rPr>
          <w:rFonts w:hint="eastAsia"/>
          <w:sz w:val="72"/>
          <w:szCs w:val="72"/>
        </w:rPr>
        <w:t>第四部分</w:t>
      </w:r>
    </w:p>
    <w:p w:rsidR="00CD3061" w:rsidRDefault="00CD3061">
      <w:pPr>
        <w:jc w:val="center"/>
        <w:rPr>
          <w:rFonts w:ascii="黑体" w:eastAsia="黑体" w:cs="黑体"/>
          <w:color w:val="000000"/>
          <w:kern w:val="0"/>
          <w:sz w:val="70"/>
          <w:szCs w:val="70"/>
        </w:rPr>
      </w:pPr>
    </w:p>
    <w:p w:rsidR="00CD3061" w:rsidRDefault="00587685">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CD3061" w:rsidRDefault="00587685">
      <w:pPr>
        <w:widowControl/>
        <w:jc w:val="left"/>
        <w:rPr>
          <w:rFonts w:asciiTheme="minorEastAsia" w:hAnsiTheme="minorEastAsia" w:cs="黑体"/>
          <w:color w:val="000000"/>
          <w:kern w:val="0"/>
          <w:sz w:val="32"/>
          <w:szCs w:val="32"/>
        </w:rPr>
      </w:pPr>
      <w:r>
        <w:rPr>
          <w:rFonts w:ascii="黑体" w:eastAsia="黑体" w:cs="黑体"/>
          <w:color w:val="000000"/>
          <w:kern w:val="0"/>
          <w:sz w:val="70"/>
          <w:szCs w:val="70"/>
        </w:rPr>
        <w:br w:type="page"/>
      </w:r>
    </w:p>
    <w:p w:rsidR="00CD3061" w:rsidRDefault="00587685">
      <w:pPr>
        <w:widowControl/>
        <w:ind w:firstLineChars="200" w:firstLine="640"/>
        <w:jc w:val="left"/>
        <w:rPr>
          <w:rFonts w:ascii="宋体" w:hAnsi="宋体" w:cs="黑体"/>
          <w:color w:val="000000"/>
          <w:kern w:val="0"/>
          <w:sz w:val="32"/>
          <w:szCs w:val="32"/>
        </w:rPr>
      </w:pPr>
      <w:r>
        <w:rPr>
          <w:rFonts w:ascii="宋体" w:hAnsi="宋体" w:cs="黑体" w:hint="eastAsia"/>
          <w:color w:val="000000"/>
          <w:kern w:val="0"/>
          <w:sz w:val="32"/>
          <w:szCs w:val="32"/>
        </w:rPr>
        <w:lastRenderedPageBreak/>
        <w:t xml:space="preserve">一、财政拨款收入：指财政当年拨付的资金。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三、经营收入：指事业单位在专业业务活动及其辅助活动之外开展非独立核算经营活动取得的收入。如：中国财政杂志社广告收入等。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四、其他收入：指除上述“财政拨款收入”、“事业收入”、“经营收入”等以外的收入。主要是按规定动用的售房收入、存款利息收入等。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六、年初结转和结余：指以前年度尚未完成、结转到本年按有关规定继续使用的资金。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八、年末结转和结余：指本年度或以前年度预算安排、因客观条件发生变化无法按原计划实施，需要延迟到以后年度按有关规定继续使用的资金。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九、基本支出：指为保障机构正常运转、完成日常工作任务而发生的人员支出和公用支出。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十、项目支出：指在基本支出之外为完成特定行政任务和事业发展目标所发生的支出。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十一、经营支出：指事业单位在专业业务活动及其辅助活动之外开展</w:t>
      </w:r>
      <w:r>
        <w:rPr>
          <w:rFonts w:ascii="宋体" w:hAnsi="宋体" w:cs="黑体" w:hint="eastAsia"/>
          <w:color w:val="000000"/>
          <w:kern w:val="0"/>
          <w:sz w:val="32"/>
          <w:szCs w:val="32"/>
        </w:rPr>
        <w:lastRenderedPageBreak/>
        <w:t xml:space="preserve">非独立核算经营活动发生的支出。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 xml:space="preserve">单位按规定开支的各类公务接待（含外宾接待）支出。 </w:t>
      </w:r>
    </w:p>
    <w:p w:rsidR="00CD3061" w:rsidRDefault="00587685">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center"/>
        <w:rPr>
          <w:sz w:val="72"/>
          <w:szCs w:val="72"/>
        </w:rPr>
      </w:pPr>
    </w:p>
    <w:p w:rsidR="00CD3061" w:rsidRDefault="00CD3061">
      <w:pPr>
        <w:pStyle w:val="Default"/>
        <w:jc w:val="both"/>
        <w:rPr>
          <w:sz w:val="72"/>
          <w:szCs w:val="72"/>
        </w:rPr>
      </w:pPr>
    </w:p>
    <w:p w:rsidR="00CD3061" w:rsidRDefault="00CD3061">
      <w:pPr>
        <w:pStyle w:val="Default"/>
        <w:jc w:val="center"/>
        <w:rPr>
          <w:sz w:val="72"/>
          <w:szCs w:val="72"/>
        </w:rPr>
      </w:pPr>
    </w:p>
    <w:p w:rsidR="00CD3061" w:rsidRDefault="00587685">
      <w:pPr>
        <w:pStyle w:val="Default"/>
        <w:jc w:val="center"/>
        <w:rPr>
          <w:sz w:val="72"/>
          <w:szCs w:val="72"/>
        </w:rPr>
      </w:pPr>
      <w:r>
        <w:rPr>
          <w:rFonts w:hint="eastAsia"/>
          <w:sz w:val="72"/>
          <w:szCs w:val="72"/>
        </w:rPr>
        <w:t>第五部分</w:t>
      </w:r>
    </w:p>
    <w:p w:rsidR="00CD3061" w:rsidRDefault="00CD3061">
      <w:pPr>
        <w:jc w:val="center"/>
        <w:rPr>
          <w:rFonts w:ascii="黑体" w:eastAsia="黑体" w:cs="黑体"/>
          <w:color w:val="000000"/>
          <w:kern w:val="0"/>
          <w:sz w:val="70"/>
          <w:szCs w:val="70"/>
        </w:rPr>
      </w:pPr>
    </w:p>
    <w:p w:rsidR="00CD3061" w:rsidRDefault="00587685">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CD3061" w:rsidRDefault="0058768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CD3061" w:rsidRDefault="00587685">
      <w:pPr>
        <w:widowControl/>
        <w:shd w:val="clear" w:color="auto" w:fill="FFFFFF"/>
        <w:spacing w:line="600" w:lineRule="atLeast"/>
        <w:jc w:val="center"/>
        <w:rPr>
          <w:rFonts w:ascii="楷体" w:eastAsia="楷体" w:hAnsi="楷体"/>
          <w:b/>
          <w:spacing w:val="-2"/>
          <w:sz w:val="32"/>
          <w:szCs w:val="32"/>
        </w:rPr>
      </w:pPr>
      <w:r>
        <w:rPr>
          <w:rFonts w:asciiTheme="minorEastAsia" w:hAnsiTheme="minorEastAsia" w:cs="黑体" w:hint="eastAsia"/>
          <w:b/>
          <w:bCs/>
          <w:color w:val="000000"/>
          <w:kern w:val="0"/>
          <w:sz w:val="32"/>
          <w:szCs w:val="32"/>
        </w:rPr>
        <w:lastRenderedPageBreak/>
        <w:t>2021年度部门整体支出绩效评价报告</w:t>
      </w:r>
    </w:p>
    <w:p w:rsidR="00CD3061" w:rsidRDefault="00587685">
      <w:pPr>
        <w:widowControl/>
        <w:shd w:val="clear" w:color="auto" w:fill="FFFFFF"/>
        <w:spacing w:line="600" w:lineRule="atLeast"/>
        <w:ind w:firstLine="640"/>
        <w:rPr>
          <w:rFonts w:ascii="楷体" w:eastAsia="楷体" w:hAnsi="楷体"/>
          <w:b/>
          <w:spacing w:val="-2"/>
          <w:sz w:val="32"/>
          <w:szCs w:val="21"/>
        </w:rPr>
      </w:pPr>
      <w:r>
        <w:rPr>
          <w:rFonts w:ascii="宋体" w:eastAsia="宋体" w:hAnsi="宋体" w:cs="宋体" w:hint="eastAsia"/>
          <w:b/>
          <w:spacing w:val="-2"/>
          <w:sz w:val="32"/>
          <w:szCs w:val="32"/>
        </w:rPr>
        <w:t>一、部门概况</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t>（一）部门基本情况。</w:t>
      </w:r>
    </w:p>
    <w:p w:rsidR="00CD3061" w:rsidRDefault="00587685">
      <w:pPr>
        <w:pStyle w:val="a8"/>
        <w:shd w:val="clear" w:color="auto" w:fill="FFFFFF"/>
        <w:spacing w:before="0" w:beforeAutospacing="0" w:after="0" w:afterAutospacing="0"/>
        <w:ind w:firstLineChars="200" w:firstLine="64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1、职能职责</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（1）负责宣传和研究马列主义、毛泽东思想、邓小平理论、“三个代表”重要思想、科学发展观、习近平新时代中国特色社会主义思想和党的路线、方针、政策；</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（2）负责鹤城区</w:t>
      </w:r>
      <w:proofErr w:type="gramStart"/>
      <w:r>
        <w:rPr>
          <w:rFonts w:asciiTheme="minorEastAsia" w:hAnsiTheme="minorEastAsia" w:cs="黑体" w:hint="eastAsia"/>
          <w:color w:val="000000"/>
          <w:kern w:val="0"/>
          <w:sz w:val="32"/>
          <w:szCs w:val="32"/>
        </w:rPr>
        <w:t>内党员</w:t>
      </w:r>
      <w:proofErr w:type="gramEnd"/>
      <w:r>
        <w:rPr>
          <w:rFonts w:asciiTheme="minorEastAsia" w:hAnsiTheme="minorEastAsia" w:cs="黑体" w:hint="eastAsia"/>
          <w:color w:val="000000"/>
          <w:kern w:val="0"/>
          <w:sz w:val="32"/>
          <w:szCs w:val="32"/>
        </w:rPr>
        <w:t>领导干部的轮训工作；负责培训中青年党员干部和党外干部；</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（3）负责主体班次学籍管理，协同</w:t>
      </w:r>
      <w:proofErr w:type="gramStart"/>
      <w:r>
        <w:rPr>
          <w:rFonts w:asciiTheme="minorEastAsia" w:hAnsiTheme="minorEastAsia" w:cs="黑体" w:hint="eastAsia"/>
          <w:color w:val="000000"/>
          <w:kern w:val="0"/>
          <w:sz w:val="32"/>
          <w:szCs w:val="32"/>
        </w:rPr>
        <w:t>组织人社部门</w:t>
      </w:r>
      <w:proofErr w:type="gramEnd"/>
      <w:r>
        <w:rPr>
          <w:rFonts w:asciiTheme="minorEastAsia" w:hAnsiTheme="minorEastAsia" w:cs="黑体" w:hint="eastAsia"/>
          <w:color w:val="000000"/>
          <w:kern w:val="0"/>
          <w:sz w:val="32"/>
          <w:szCs w:val="32"/>
        </w:rPr>
        <w:t>，对学员在校期间的学习和党性锻炼情况进行考核、考察和评价，提出使用建议；</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（4）承办区委、区政府以及相关部门举办的专题研讨班；</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（5）负责组织实施开展干部继续教育和培训工作；</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（6）开展同国（境）内外有关机构和组织的合作与交流；</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（7）负责围绕鹤城区委、鹤城区政府的工作方针，就区域经济建设、党的建设、文化建设和社会建设的新经验、新情况、新问题，开展理论科学研究，并提出建设性意见；</w:t>
      </w:r>
    </w:p>
    <w:p w:rsidR="00CD3061" w:rsidRDefault="00587685">
      <w:pPr>
        <w:pStyle w:val="a9"/>
        <w:widowControl/>
        <w:spacing w:line="600" w:lineRule="exact"/>
        <w:ind w:firstLineChars="150" w:firstLine="48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（8）完成区委、区政府交办的其他任务。</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t>（二）机构设置及人员情况</w:t>
      </w:r>
    </w:p>
    <w:p w:rsidR="00CD3061" w:rsidRDefault="00587685" w:rsidP="00281E19">
      <w:pPr>
        <w:pStyle w:val="a9"/>
        <w:widowControl/>
        <w:spacing w:line="600" w:lineRule="exact"/>
        <w:ind w:firstLine="640"/>
        <w:jc w:val="left"/>
        <w:rPr>
          <w:rFonts w:ascii="仿宋" w:eastAsia="仿宋" w:hAnsi="仿宋" w:cs="Times New Roman"/>
          <w:spacing w:val="-2"/>
          <w:sz w:val="32"/>
          <w:szCs w:val="32"/>
        </w:rPr>
      </w:pPr>
      <w:r>
        <w:rPr>
          <w:rFonts w:asciiTheme="minorEastAsia" w:hAnsiTheme="minorEastAsia" w:cs="黑体" w:hint="eastAsia"/>
          <w:color w:val="000000"/>
          <w:kern w:val="0"/>
          <w:sz w:val="32"/>
          <w:szCs w:val="32"/>
        </w:rPr>
        <w:t>区委党校内设5个职能股室：办公室（人事部）、教务室 、科研室 、图书信息室 、后勤部（财务室）。</w:t>
      </w:r>
    </w:p>
    <w:p w:rsidR="00CD3061" w:rsidRDefault="00587685">
      <w:pPr>
        <w:pStyle w:val="a8"/>
        <w:shd w:val="clear" w:color="auto" w:fill="FFFFFF"/>
        <w:spacing w:before="0" w:beforeAutospacing="0" w:after="0" w:afterAutospacing="0"/>
        <w:ind w:firstLineChars="200" w:firstLine="64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区委党校全额拨款事业编制21名，其中党政管理人员编制7名，专业技术人员编制14名。设校长1名，由区委领导兼任；常务副校长（正科级）1名，副校长（副科级）2名，教育长（副科级）1名。股室领导职数5名。</w:t>
      </w:r>
      <w:r>
        <w:rPr>
          <w:rFonts w:asciiTheme="minorEastAsia" w:eastAsiaTheme="minorEastAsia" w:hAnsiTheme="minorEastAsia" w:cs="黑体" w:hint="eastAsia"/>
          <w:color w:val="000000"/>
          <w:sz w:val="32"/>
          <w:szCs w:val="32"/>
        </w:rPr>
        <w:lastRenderedPageBreak/>
        <w:t>截至2021年12月31日，实有在职人员18人，退休人员20人。在职人员控制率为85.7%。</w:t>
      </w:r>
    </w:p>
    <w:p w:rsidR="00CD3061" w:rsidRDefault="00587685">
      <w:pPr>
        <w:widowControl/>
        <w:shd w:val="clear" w:color="auto" w:fill="FFFFFF"/>
        <w:spacing w:line="600" w:lineRule="atLeast"/>
        <w:ind w:firstLine="640"/>
        <w:rPr>
          <w:rFonts w:asciiTheme="minorEastAsia" w:hAnsiTheme="minorEastAsia" w:cs="黑体"/>
          <w:color w:val="000000"/>
          <w:kern w:val="0"/>
          <w:sz w:val="32"/>
          <w:szCs w:val="32"/>
        </w:rPr>
      </w:pPr>
      <w:r>
        <w:rPr>
          <w:rFonts w:ascii="宋体" w:eastAsia="宋体" w:hAnsi="宋体" w:cs="宋体" w:hint="eastAsia"/>
          <w:b/>
          <w:spacing w:val="-2"/>
          <w:sz w:val="32"/>
          <w:szCs w:val="32"/>
        </w:rPr>
        <w:t>（二）部门整体支出规模、使用方向和主要内容、涉及范围等。</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1、按照干训计划，完成干部培训。</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2、改革创新，教学科研稳步提升。</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3、稳步推进，扎实开展党史学习教育。</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4、围绕中心，不折不扣完成区委区政府交办的其他工作。</w:t>
      </w:r>
    </w:p>
    <w:p w:rsidR="00CD3061" w:rsidRDefault="00587685">
      <w:pPr>
        <w:widowControl/>
        <w:shd w:val="clear" w:color="auto" w:fill="FFFFFF"/>
        <w:spacing w:line="600" w:lineRule="atLeast"/>
        <w:ind w:firstLine="640"/>
        <w:rPr>
          <w:rFonts w:ascii="宋体" w:eastAsia="宋体" w:hAnsi="宋体" w:cs="宋体"/>
          <w:b/>
          <w:spacing w:val="-2"/>
          <w:sz w:val="32"/>
          <w:szCs w:val="32"/>
        </w:rPr>
      </w:pPr>
      <w:r>
        <w:rPr>
          <w:rFonts w:ascii="宋体" w:eastAsia="宋体" w:hAnsi="宋体" w:cs="宋体" w:hint="eastAsia"/>
          <w:b/>
          <w:spacing w:val="-2"/>
          <w:sz w:val="32"/>
          <w:szCs w:val="32"/>
        </w:rPr>
        <w:t>二、部门整体支出管理及使用情况</w:t>
      </w:r>
    </w:p>
    <w:p w:rsidR="00CD3061" w:rsidRDefault="00587685">
      <w:pPr>
        <w:widowControl/>
        <w:shd w:val="clear" w:color="auto" w:fill="FFFFFF"/>
        <w:spacing w:line="600" w:lineRule="atLeast"/>
        <w:ind w:firstLine="643"/>
        <w:rPr>
          <w:rFonts w:ascii="仿宋" w:eastAsia="仿宋" w:hAnsi="仿宋"/>
          <w:b/>
          <w:spacing w:val="-2"/>
          <w:sz w:val="32"/>
          <w:szCs w:val="32"/>
        </w:rPr>
      </w:pPr>
      <w:r>
        <w:rPr>
          <w:rFonts w:ascii="宋体" w:eastAsia="宋体" w:hAnsi="宋体" w:cs="宋体" w:hint="eastAsia"/>
          <w:b/>
          <w:spacing w:val="-2"/>
          <w:sz w:val="32"/>
          <w:szCs w:val="32"/>
        </w:rPr>
        <w:t>（一）基本支出</w:t>
      </w:r>
    </w:p>
    <w:p w:rsidR="00CD3061" w:rsidRDefault="00587685" w:rsidP="00281E19">
      <w:pPr>
        <w:pStyle w:val="a9"/>
        <w:widowControl/>
        <w:spacing w:line="600" w:lineRule="exact"/>
        <w:ind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2021年基本支出299.33万元，其中：人员经费支出289.7万元（工资福利支出238.27万元，对个人和家庭的补助支出51.43万元），主要用于：在职人员工资奖金、社保缴费、退休人员春节一次性共享发展生活补助、遗属生活困难补助等；公用经费支出9.63万元，主要用于办公费、邮电费、差旅费、日常维修费、工会经费等一般商品和服务支出。基本支出预算执行率为100%。</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t>（二）专项支出</w:t>
      </w:r>
    </w:p>
    <w:p w:rsidR="00CD3061" w:rsidRDefault="00587685">
      <w:pPr>
        <w:pStyle w:val="a8"/>
        <w:shd w:val="clear" w:color="auto" w:fill="FFFFFF"/>
        <w:spacing w:before="0" w:beforeAutospacing="0" w:after="0" w:afterAutospacing="0"/>
        <w:ind w:firstLineChars="250" w:firstLine="80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2021年我校项目经费21.01万元，主要包括：干训经费和五项经费。支出21.01万元，项目支出预算执行率为100%。强化对资金运行和使用效果的跟踪监控管理，确保财政资金使用效益。项目经费主要用于保障教学科研的办公费、印刷费、邮电费、差旅费等费用；与培训相关的其他费用，保障办学设施维修和日常维护等费用，从而进一步促进了党校干部教育培训质量的提高，提升了干部培训的教学水平和服务保障能力。项目执行率100%。</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t>三、部门专项组织实施情况</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2021年区委党校无项目招投标、调整、竣工验收等情况。</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lastRenderedPageBreak/>
        <w:t>四、资产管理情况</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2021年12月31日我校固定资产原值56.6万元，固定资产净值17.59万元。为加强固定资产管理，提高使用效益，保护公有财产安全，促进学校管理工作的开展，我校制定了资产管理制度。根据《政府采购预算》进行资产配置和处置，按计划购置办公用品。固定资产购置、报废、调拨处置时严格按照资产管理要求，并按规定程序核准。</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t>五、部门整体支出绩效情况</w:t>
      </w:r>
    </w:p>
    <w:p w:rsidR="00CD3061" w:rsidRDefault="00587685">
      <w:pPr>
        <w:pStyle w:val="a8"/>
        <w:shd w:val="clear" w:color="auto" w:fill="FFFFFF"/>
        <w:spacing w:before="0" w:beforeAutospacing="0" w:after="0" w:afterAutospacing="0"/>
        <w:ind w:firstLine="48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（一）绩效目标</w:t>
      </w:r>
    </w:p>
    <w:p w:rsidR="00CD3061" w:rsidRDefault="00587685">
      <w:pPr>
        <w:spacing w:line="360" w:lineRule="auto"/>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1、负责宣传和研究马列主义、毛泽东思想、邓小平理论、“三个代表”重要思想、科学发展观、习近平新时代中国特色社会主义思想和党的路线、方针、政策。</w:t>
      </w:r>
      <w:proofErr w:type="gramStart"/>
      <w:r>
        <w:rPr>
          <w:rFonts w:asciiTheme="minorEastAsia" w:hAnsiTheme="minorEastAsia" w:cs="黑体" w:hint="eastAsia"/>
          <w:color w:val="000000"/>
          <w:kern w:val="0"/>
          <w:sz w:val="32"/>
          <w:szCs w:val="32"/>
        </w:rPr>
        <w:t>主体班党的</w:t>
      </w:r>
      <w:proofErr w:type="gramEnd"/>
      <w:r>
        <w:rPr>
          <w:rFonts w:asciiTheme="minorEastAsia" w:hAnsiTheme="minorEastAsia" w:cs="黑体" w:hint="eastAsia"/>
          <w:color w:val="000000"/>
          <w:kern w:val="0"/>
          <w:sz w:val="32"/>
          <w:szCs w:val="32"/>
        </w:rPr>
        <w:t>理论教育和党性教育在教学安排中不低于总课时的70%；主体班专题更新率达30%。</w:t>
      </w:r>
    </w:p>
    <w:p w:rsidR="00CD3061" w:rsidRDefault="00587685">
      <w:pPr>
        <w:spacing w:line="360" w:lineRule="auto"/>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2、负责鹤城区</w:t>
      </w:r>
      <w:proofErr w:type="gramStart"/>
      <w:r>
        <w:rPr>
          <w:rFonts w:asciiTheme="minorEastAsia" w:hAnsiTheme="minorEastAsia" w:cs="黑体" w:hint="eastAsia"/>
          <w:color w:val="000000"/>
          <w:kern w:val="0"/>
          <w:sz w:val="32"/>
          <w:szCs w:val="32"/>
        </w:rPr>
        <w:t>内党员</w:t>
      </w:r>
      <w:proofErr w:type="gramEnd"/>
      <w:r>
        <w:rPr>
          <w:rFonts w:asciiTheme="minorEastAsia" w:hAnsiTheme="minorEastAsia" w:cs="黑体" w:hint="eastAsia"/>
          <w:color w:val="000000"/>
          <w:kern w:val="0"/>
          <w:sz w:val="32"/>
          <w:szCs w:val="32"/>
        </w:rPr>
        <w:t>领导干部的轮训工作；负责培训中青年党员干部和党外干部。</w:t>
      </w:r>
    </w:p>
    <w:p w:rsidR="00CD3061" w:rsidRDefault="00587685">
      <w:pPr>
        <w:spacing w:line="360" w:lineRule="auto"/>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3、负责主体班次学籍管理，协同</w:t>
      </w:r>
      <w:proofErr w:type="gramStart"/>
      <w:r>
        <w:rPr>
          <w:rFonts w:asciiTheme="minorEastAsia" w:hAnsiTheme="minorEastAsia" w:cs="黑体" w:hint="eastAsia"/>
          <w:color w:val="000000"/>
          <w:kern w:val="0"/>
          <w:sz w:val="32"/>
          <w:szCs w:val="32"/>
        </w:rPr>
        <w:t>组织人社部门</w:t>
      </w:r>
      <w:proofErr w:type="gramEnd"/>
      <w:r>
        <w:rPr>
          <w:rFonts w:asciiTheme="minorEastAsia" w:hAnsiTheme="minorEastAsia" w:cs="黑体" w:hint="eastAsia"/>
          <w:color w:val="000000"/>
          <w:kern w:val="0"/>
          <w:sz w:val="32"/>
          <w:szCs w:val="32"/>
        </w:rPr>
        <w:t>，对学员在校期间的学习和党性锻炼情况进行考核、考察和评价，提出使用建议。学员管理坚持校领导和教师跟班指导服务制度，严格实施学员百分制考核，考核结果进入学员学籍档案。</w:t>
      </w:r>
    </w:p>
    <w:p w:rsidR="00CD3061" w:rsidRDefault="00587685">
      <w:pPr>
        <w:spacing w:line="360" w:lineRule="auto"/>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4、承办区委、区政府以及相关部门举办的专题研讨班。完成区委干教领导小组下达的主体班干部培训年度培训任务，学员</w:t>
      </w:r>
      <w:proofErr w:type="gramStart"/>
      <w:r>
        <w:rPr>
          <w:rFonts w:asciiTheme="minorEastAsia" w:hAnsiTheme="minorEastAsia" w:cs="黑体" w:hint="eastAsia"/>
          <w:color w:val="000000"/>
          <w:kern w:val="0"/>
          <w:sz w:val="32"/>
          <w:szCs w:val="32"/>
        </w:rPr>
        <w:t>到训率</w:t>
      </w:r>
      <w:proofErr w:type="gramEnd"/>
      <w:r>
        <w:rPr>
          <w:rFonts w:asciiTheme="minorEastAsia" w:hAnsiTheme="minorEastAsia" w:cs="黑体" w:hint="eastAsia"/>
          <w:color w:val="000000"/>
          <w:kern w:val="0"/>
          <w:sz w:val="32"/>
          <w:szCs w:val="32"/>
        </w:rPr>
        <w:t>100%。教学质量:主体班学员测评优良率平均达90%。</w:t>
      </w:r>
    </w:p>
    <w:p w:rsidR="00CD3061" w:rsidRDefault="00587685">
      <w:pPr>
        <w:spacing w:line="360" w:lineRule="auto"/>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5、负责组织实施开展干部继续教育和培训工作。</w:t>
      </w:r>
    </w:p>
    <w:p w:rsidR="00CD3061" w:rsidRDefault="00587685">
      <w:pPr>
        <w:spacing w:line="360" w:lineRule="auto"/>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6、开展同国（境）内外有关机构和组织的合作与交流。</w:t>
      </w:r>
    </w:p>
    <w:p w:rsidR="00CD3061" w:rsidRDefault="00587685">
      <w:pPr>
        <w:spacing w:line="360" w:lineRule="auto"/>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7、负责围绕鹤城区委、鹤城区政府的工作方针，就区域经济建设、党</w:t>
      </w:r>
      <w:r>
        <w:rPr>
          <w:rFonts w:asciiTheme="minorEastAsia" w:hAnsiTheme="minorEastAsia" w:cs="黑体" w:hint="eastAsia"/>
          <w:color w:val="000000"/>
          <w:kern w:val="0"/>
          <w:sz w:val="32"/>
          <w:szCs w:val="32"/>
        </w:rPr>
        <w:lastRenderedPageBreak/>
        <w:t>的建设、文化建设和社会建设的新经验、新情况、新问题，开展理论科学研究，并提出建设性意见。论文撰写:在市级以上报刊公开发表或获奖理论文章以及调研报告6篇。成果交流:每期主体班编印《调研与交流》期刊1期。</w:t>
      </w:r>
    </w:p>
    <w:p w:rsidR="00CD3061" w:rsidRDefault="00587685" w:rsidP="00281E19">
      <w:pPr>
        <w:pStyle w:val="a9"/>
        <w:widowControl/>
        <w:spacing w:line="600" w:lineRule="exact"/>
        <w:ind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8、完成区委、区政府交办的其他任务。</w:t>
      </w:r>
      <w:r>
        <w:rPr>
          <w:rFonts w:asciiTheme="minorEastAsia" w:hAnsiTheme="minorEastAsia" w:cs="黑体" w:hint="eastAsia"/>
          <w:color w:val="000000"/>
          <w:kern w:val="0"/>
          <w:sz w:val="32"/>
          <w:szCs w:val="32"/>
          <w:lang w:val="zh-CN"/>
        </w:rPr>
        <w:t>一</w:t>
      </w:r>
      <w:r>
        <w:rPr>
          <w:rFonts w:asciiTheme="minorEastAsia" w:hAnsiTheme="minorEastAsia" w:cs="黑体" w:hint="eastAsia"/>
          <w:color w:val="000000"/>
          <w:kern w:val="0"/>
          <w:sz w:val="32"/>
          <w:szCs w:val="32"/>
        </w:rPr>
        <w:t>是持续完成乡村振兴工作。二是积极担当完成疫情防控工作。三是积极参与社会综合治理，推进平安创建工作。</w:t>
      </w:r>
    </w:p>
    <w:p w:rsidR="00CD3061" w:rsidRDefault="00587685">
      <w:pPr>
        <w:pStyle w:val="a8"/>
        <w:shd w:val="clear" w:color="auto" w:fill="FFFFFF"/>
        <w:spacing w:before="0" w:beforeAutospacing="0" w:after="0" w:afterAutospacing="0"/>
        <w:ind w:firstLine="48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3.项目支出管理情况</w:t>
      </w:r>
    </w:p>
    <w:p w:rsidR="00CD3061" w:rsidRDefault="00587685">
      <w:pPr>
        <w:pStyle w:val="a8"/>
        <w:shd w:val="clear" w:color="auto" w:fill="FFFFFF"/>
        <w:spacing w:before="0" w:beforeAutospacing="0" w:after="0" w:afterAutospacing="0"/>
        <w:ind w:firstLine="48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2021年项目经费预算执行率为100%，主要包括：干训经费和五项经费。强化对资金运行和使用效果的跟踪监控管理，确保财政资金使用效益。</w:t>
      </w:r>
    </w:p>
    <w:p w:rsidR="00CD3061" w:rsidRDefault="00587685">
      <w:pPr>
        <w:pStyle w:val="a8"/>
        <w:shd w:val="clear" w:color="auto" w:fill="FFFFFF"/>
        <w:spacing w:before="0" w:beforeAutospacing="0" w:after="0" w:afterAutospacing="0"/>
        <w:ind w:firstLine="48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（三）预算管理方面</w:t>
      </w:r>
    </w:p>
    <w:p w:rsidR="00CD3061" w:rsidRDefault="00587685">
      <w:pPr>
        <w:pStyle w:val="a8"/>
        <w:shd w:val="clear" w:color="auto" w:fill="FFFFFF"/>
        <w:spacing w:before="0" w:beforeAutospacing="0" w:after="0" w:afterAutospacing="0"/>
        <w:ind w:firstLineChars="200" w:firstLine="64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2021年本单位整体支出预算完成率为100%。</w:t>
      </w:r>
    </w:p>
    <w:p w:rsidR="00CD3061" w:rsidRDefault="00587685">
      <w:pPr>
        <w:widowControl/>
        <w:shd w:val="clear" w:color="auto" w:fill="FFFFFF"/>
        <w:spacing w:line="540" w:lineRule="atLeast"/>
        <w:ind w:firstLine="480"/>
        <w:jc w:val="left"/>
        <w:rPr>
          <w:rFonts w:asciiTheme="minorEastAsia" w:hAnsiTheme="minorEastAsia" w:cs="黑体"/>
          <w:color w:val="000000"/>
          <w:kern w:val="0"/>
          <w:sz w:val="32"/>
          <w:szCs w:val="32"/>
          <w:lang w:val="zh-CN"/>
        </w:rPr>
      </w:pPr>
      <w:r>
        <w:rPr>
          <w:rFonts w:asciiTheme="minorEastAsia" w:hAnsiTheme="minorEastAsia" w:cs="黑体" w:hint="eastAsia"/>
          <w:color w:val="000000"/>
          <w:kern w:val="0"/>
          <w:sz w:val="32"/>
          <w:szCs w:val="32"/>
          <w:lang w:val="zh-CN"/>
        </w:rPr>
        <w:t>（四）各项工作任务、绩效目标完成情况</w:t>
      </w:r>
    </w:p>
    <w:p w:rsidR="00CD3061" w:rsidRDefault="00587685">
      <w:pPr>
        <w:autoSpaceDE w:val="0"/>
        <w:autoSpaceDN w:val="0"/>
        <w:adjustRightInd w:val="0"/>
        <w:spacing w:line="360" w:lineRule="auto"/>
        <w:ind w:firstLine="640"/>
        <w:rPr>
          <w:rFonts w:asciiTheme="minorEastAsia" w:hAnsiTheme="minorEastAsia" w:cs="黑体"/>
          <w:color w:val="000000"/>
          <w:kern w:val="0"/>
          <w:sz w:val="32"/>
          <w:szCs w:val="32"/>
          <w:lang w:val="zh-CN"/>
        </w:rPr>
      </w:pPr>
      <w:r>
        <w:rPr>
          <w:rFonts w:asciiTheme="minorEastAsia" w:hAnsiTheme="minorEastAsia" w:cs="黑体" w:hint="eastAsia"/>
          <w:color w:val="000000"/>
          <w:kern w:val="0"/>
          <w:sz w:val="32"/>
          <w:szCs w:val="32"/>
          <w:lang w:val="zh-CN"/>
        </w:rPr>
        <w:t>2021年，我校在区委、区政府的坚强领导和市委党校的业务指导下，坚持“党校姓党”的基本原则，牢牢抓住党性教育和党的理论教育主业，大力实施“创新兴教”、“开放治校”战略，充分发挥党员干部培训教育“主阵地”作用，较好地完成了全年的目标任务。</w:t>
      </w:r>
    </w:p>
    <w:p w:rsidR="00CD3061" w:rsidRDefault="00587685">
      <w:pPr>
        <w:pStyle w:val="a8"/>
        <w:shd w:val="clear" w:color="auto" w:fill="FFFFFF"/>
        <w:spacing w:before="0" w:beforeAutospacing="0" w:after="0" w:afterAutospacing="0"/>
        <w:ind w:firstLineChars="200" w:firstLine="64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1、主体班培训产出</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lang w:val="zh-CN"/>
        </w:rPr>
      </w:pPr>
      <w:r>
        <w:rPr>
          <w:rFonts w:asciiTheme="minorEastAsia" w:hAnsiTheme="minorEastAsia" w:cs="黑体" w:hint="eastAsia"/>
          <w:color w:val="000000"/>
          <w:kern w:val="0"/>
          <w:sz w:val="32"/>
          <w:szCs w:val="32"/>
          <w:lang w:val="zh-CN"/>
        </w:rPr>
        <w:t>按照区委干训计划，2021年全面完成400余名副</w:t>
      </w:r>
      <w:proofErr w:type="gramStart"/>
      <w:r>
        <w:rPr>
          <w:rFonts w:asciiTheme="minorEastAsia" w:hAnsiTheme="minorEastAsia" w:cs="黑体" w:hint="eastAsia"/>
          <w:color w:val="000000"/>
          <w:kern w:val="0"/>
          <w:sz w:val="32"/>
          <w:szCs w:val="32"/>
          <w:lang w:val="zh-CN"/>
        </w:rPr>
        <w:t>科级以</w:t>
      </w:r>
      <w:proofErr w:type="gramEnd"/>
      <w:r>
        <w:rPr>
          <w:rFonts w:asciiTheme="minorEastAsia" w:hAnsiTheme="minorEastAsia" w:cs="黑体" w:hint="eastAsia"/>
          <w:color w:val="000000"/>
          <w:kern w:val="0"/>
          <w:sz w:val="32"/>
          <w:szCs w:val="32"/>
          <w:lang w:val="zh-CN"/>
        </w:rPr>
        <w:t>上区管党员干部的十九届五中全会精神轮训及2个主体班的培训工作，分别是第18期科局级干部培训班、第24期中青年干部培训班。2期主体班共调训97人，参训97人，</w:t>
      </w:r>
      <w:proofErr w:type="gramStart"/>
      <w:r>
        <w:rPr>
          <w:rFonts w:asciiTheme="minorEastAsia" w:hAnsiTheme="minorEastAsia" w:cs="黑体" w:hint="eastAsia"/>
          <w:color w:val="000000"/>
          <w:kern w:val="0"/>
          <w:sz w:val="32"/>
          <w:szCs w:val="32"/>
          <w:lang w:val="zh-CN"/>
        </w:rPr>
        <w:t>到训率</w:t>
      </w:r>
      <w:proofErr w:type="gramEnd"/>
      <w:r>
        <w:rPr>
          <w:rFonts w:asciiTheme="minorEastAsia" w:hAnsiTheme="minorEastAsia" w:cs="黑体" w:hint="eastAsia"/>
          <w:color w:val="000000"/>
          <w:kern w:val="0"/>
          <w:sz w:val="32"/>
          <w:szCs w:val="32"/>
          <w:lang w:val="zh-CN"/>
        </w:rPr>
        <w:t>均达到100%，其中科干班调训44人，参训44人，中青班调训53人，参训53人。特别是区委向开林副书记、区纪委王旭书记、区委宣传部廖益民部长到校讲课，学员反响强烈。今年挖掘的传承红色基</w:t>
      </w:r>
      <w:r>
        <w:rPr>
          <w:rFonts w:asciiTheme="minorEastAsia" w:hAnsiTheme="minorEastAsia" w:cs="黑体" w:hint="eastAsia"/>
          <w:color w:val="000000"/>
          <w:kern w:val="0"/>
          <w:sz w:val="32"/>
          <w:szCs w:val="32"/>
          <w:lang w:val="zh-CN"/>
        </w:rPr>
        <w:lastRenderedPageBreak/>
        <w:t>因，将怀化烈士陵园打造成为党校现场教学点，学校两名高级教师分别为科干班、中青班学员现场教学授课，学员反响良好。</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2、教学、科研产出</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在教学管理中，区委党校始终坚持党校姓党，围绕党的新使命、新时代、新思想，紧扣时代脉搏，深化教学改革，提高教学水平。按照区委组织部调训安排，今年开办了第18期科局级干部培训班和第24期中青年干部培训班两个主体班，共调训97人，</w:t>
      </w:r>
      <w:proofErr w:type="gramStart"/>
      <w:r>
        <w:rPr>
          <w:rFonts w:asciiTheme="minorEastAsia" w:hAnsiTheme="minorEastAsia" w:cs="黑体" w:hint="eastAsia"/>
          <w:color w:val="000000"/>
          <w:kern w:val="0"/>
          <w:sz w:val="32"/>
          <w:szCs w:val="32"/>
        </w:rPr>
        <w:t>到训率</w:t>
      </w:r>
      <w:proofErr w:type="gramEnd"/>
      <w:r>
        <w:rPr>
          <w:rFonts w:asciiTheme="minorEastAsia" w:hAnsiTheme="minorEastAsia" w:cs="黑体" w:hint="eastAsia"/>
          <w:color w:val="000000"/>
          <w:kern w:val="0"/>
          <w:sz w:val="32"/>
          <w:szCs w:val="32"/>
        </w:rPr>
        <w:t>100%，圆满完成了干部培训任务，学员们党性修养、理论素养有效提升。</w:t>
      </w:r>
      <w:proofErr w:type="gramStart"/>
      <w:r>
        <w:rPr>
          <w:rFonts w:asciiTheme="minorEastAsia" w:hAnsiTheme="minorEastAsia" w:cs="黑体" w:hint="eastAsia"/>
          <w:color w:val="000000"/>
          <w:kern w:val="0"/>
          <w:sz w:val="32"/>
          <w:szCs w:val="32"/>
        </w:rPr>
        <w:t>主体班党的</w:t>
      </w:r>
      <w:proofErr w:type="gramEnd"/>
      <w:r>
        <w:rPr>
          <w:rFonts w:asciiTheme="minorEastAsia" w:hAnsiTheme="minorEastAsia" w:cs="黑体" w:hint="eastAsia"/>
          <w:color w:val="000000"/>
          <w:kern w:val="0"/>
          <w:sz w:val="32"/>
          <w:szCs w:val="32"/>
        </w:rPr>
        <w:t>理论教育和党性教育课时占总课时比例达88.4%，较上年度提高8.9个百分点。两个主体班共开设专题56个，其中新专题34个，专题更新率达60.7%，远高于30%更新率的要求。深化教学方法改革，在通道现场教学、鹤城区经济社会发展调研式教学、调研成果</w:t>
      </w:r>
      <w:proofErr w:type="gramStart"/>
      <w:r>
        <w:rPr>
          <w:rFonts w:asciiTheme="minorEastAsia" w:hAnsiTheme="minorEastAsia" w:cs="黑体" w:hint="eastAsia"/>
          <w:color w:val="000000"/>
          <w:kern w:val="0"/>
          <w:sz w:val="32"/>
          <w:szCs w:val="32"/>
        </w:rPr>
        <w:t>交流汇报</w:t>
      </w:r>
      <w:proofErr w:type="gramEnd"/>
      <w:r>
        <w:rPr>
          <w:rFonts w:asciiTheme="minorEastAsia" w:hAnsiTheme="minorEastAsia" w:cs="黑体" w:hint="eastAsia"/>
          <w:color w:val="000000"/>
          <w:kern w:val="0"/>
          <w:sz w:val="32"/>
          <w:szCs w:val="32"/>
        </w:rPr>
        <w:t>的基础上，主体班均开设了“学员讲坛”，新开设了怀化市烈士陵园现场教学，并稳步推进调研式教学、调研成果</w:t>
      </w:r>
      <w:proofErr w:type="gramStart"/>
      <w:r>
        <w:rPr>
          <w:rFonts w:asciiTheme="minorEastAsia" w:hAnsiTheme="minorEastAsia" w:cs="黑体" w:hint="eastAsia"/>
          <w:color w:val="000000"/>
          <w:kern w:val="0"/>
          <w:sz w:val="32"/>
          <w:szCs w:val="32"/>
        </w:rPr>
        <w:t>交流汇报</w:t>
      </w:r>
      <w:proofErr w:type="gramEnd"/>
      <w:r>
        <w:rPr>
          <w:rFonts w:asciiTheme="minorEastAsia" w:hAnsiTheme="minorEastAsia" w:cs="黑体" w:hint="eastAsia"/>
          <w:color w:val="000000"/>
          <w:kern w:val="0"/>
          <w:sz w:val="32"/>
          <w:szCs w:val="32"/>
        </w:rPr>
        <w:t>式教学、研讨式教学、情景式教学等新模式，使用新教学方法的课程占总课程比例达46%，取得了较好的教学效果。在教学质量和教学效果问卷调查时，学员对教师教学评分都在90分以上；2个主体班均在班级主要面授课程结束一周之内举行了严格的百分制闭卷考核，学员考试合格率为100%，获得感较高。</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lang w:val="zh-CN"/>
        </w:rPr>
      </w:pPr>
      <w:r>
        <w:rPr>
          <w:rFonts w:asciiTheme="minorEastAsia" w:hAnsiTheme="minorEastAsia" w:cs="黑体" w:hint="eastAsia"/>
          <w:color w:val="000000"/>
          <w:kern w:val="0"/>
          <w:sz w:val="32"/>
          <w:szCs w:val="32"/>
          <w:lang w:val="zh-CN"/>
        </w:rPr>
        <w:t>推进教师</w:t>
      </w:r>
      <w:proofErr w:type="gramStart"/>
      <w:r>
        <w:rPr>
          <w:rFonts w:asciiTheme="minorEastAsia" w:hAnsiTheme="minorEastAsia" w:cs="黑体" w:hint="eastAsia"/>
          <w:color w:val="000000"/>
          <w:kern w:val="0"/>
          <w:sz w:val="32"/>
          <w:szCs w:val="32"/>
          <w:lang w:val="zh-CN"/>
        </w:rPr>
        <w:t>之间互听互评</w:t>
      </w:r>
      <w:proofErr w:type="gramEnd"/>
      <w:r>
        <w:rPr>
          <w:rFonts w:asciiTheme="minorEastAsia" w:hAnsiTheme="minorEastAsia" w:cs="黑体" w:hint="eastAsia"/>
          <w:color w:val="000000"/>
          <w:kern w:val="0"/>
          <w:sz w:val="32"/>
          <w:szCs w:val="32"/>
          <w:lang w:val="zh-CN"/>
        </w:rPr>
        <w:t>，通过实行集体备课、新课试讲等方式，提高了教学质量。吴彪老师参加全市教学比武获第三名、二等奖。5名教师参加省、市党校师资培训班学习，教师理论素养、教学能力逐步提高。运用学校定专题、学员分组调研、集中研讨座谈等方式，提高课堂授课的生动性、针对性和实效性。围绕省、市委党校系列科研课题开展调研，今年</w:t>
      </w:r>
      <w:proofErr w:type="gramStart"/>
      <w:r>
        <w:rPr>
          <w:rFonts w:asciiTheme="minorEastAsia" w:hAnsiTheme="minorEastAsia" w:cs="黑体" w:hint="eastAsia"/>
          <w:color w:val="000000"/>
          <w:kern w:val="0"/>
          <w:sz w:val="32"/>
          <w:szCs w:val="32"/>
          <w:lang w:val="zh-CN"/>
        </w:rPr>
        <w:t>学校结项课题</w:t>
      </w:r>
      <w:proofErr w:type="gramEnd"/>
      <w:r>
        <w:rPr>
          <w:rFonts w:asciiTheme="minorEastAsia" w:hAnsiTheme="minorEastAsia" w:cs="黑体" w:hint="eastAsia"/>
          <w:color w:val="000000"/>
          <w:kern w:val="0"/>
          <w:sz w:val="32"/>
          <w:szCs w:val="32"/>
          <w:lang w:val="zh-CN"/>
        </w:rPr>
        <w:t>3个，其中省委党校社科规划课题1个，市党校</w:t>
      </w:r>
      <w:proofErr w:type="gramStart"/>
      <w:r>
        <w:rPr>
          <w:rFonts w:asciiTheme="minorEastAsia" w:hAnsiTheme="minorEastAsia" w:cs="黑体" w:hint="eastAsia"/>
          <w:color w:val="000000"/>
          <w:kern w:val="0"/>
          <w:sz w:val="32"/>
          <w:szCs w:val="32"/>
          <w:lang w:val="zh-CN"/>
        </w:rPr>
        <w:t>课题结项2个</w:t>
      </w:r>
      <w:proofErr w:type="gramEnd"/>
      <w:r>
        <w:rPr>
          <w:rFonts w:asciiTheme="minorEastAsia" w:hAnsiTheme="minorEastAsia" w:cs="黑体" w:hint="eastAsia"/>
          <w:color w:val="000000"/>
          <w:kern w:val="0"/>
          <w:sz w:val="32"/>
          <w:szCs w:val="32"/>
          <w:lang w:val="zh-CN"/>
        </w:rPr>
        <w:t>。课</w:t>
      </w:r>
      <w:r>
        <w:rPr>
          <w:rFonts w:asciiTheme="minorEastAsia" w:hAnsiTheme="minorEastAsia" w:cs="黑体" w:hint="eastAsia"/>
          <w:color w:val="000000"/>
          <w:kern w:val="0"/>
          <w:sz w:val="32"/>
          <w:szCs w:val="32"/>
          <w:lang w:val="zh-CN"/>
        </w:rPr>
        <w:lastRenderedPageBreak/>
        <w:t>题立项3个，其中省委党校社科规划课题立项1个，市社科规划课题立1个，市党校课题立项1个。获奖论文13篇：湖南省科学社会主义学会2021年学会</w:t>
      </w:r>
      <w:proofErr w:type="gramStart"/>
      <w:r>
        <w:rPr>
          <w:rFonts w:asciiTheme="minorEastAsia" w:hAnsiTheme="minorEastAsia" w:cs="黑体" w:hint="eastAsia"/>
          <w:color w:val="000000"/>
          <w:kern w:val="0"/>
          <w:sz w:val="32"/>
          <w:szCs w:val="32"/>
          <w:lang w:val="zh-CN"/>
        </w:rPr>
        <w:t>暨理论</w:t>
      </w:r>
      <w:proofErr w:type="gramEnd"/>
      <w:r>
        <w:rPr>
          <w:rFonts w:asciiTheme="minorEastAsia" w:hAnsiTheme="minorEastAsia" w:cs="黑体" w:hint="eastAsia"/>
          <w:color w:val="000000"/>
          <w:kern w:val="0"/>
          <w:sz w:val="32"/>
          <w:szCs w:val="32"/>
          <w:lang w:val="zh-CN"/>
        </w:rPr>
        <w:t>研讨会获奖3篇：其中二等奖1篇，三等奖2篇。省西部综合开发研究会获奖6篇：6篇均为三等奖。市党校理论研讨会获奖4篇：其中一等奖1篇，二等奖1篇，三等奖2篇。发表调研报告、论文4篇：其中2篇发表于《鹤城社会科学》，2篇发表于《五溪源》。</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3、课题产出</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稳步推进，扎实开展党史学习教育。党史学习教育开展以来，区委党校把党史学习教育作为一项重要的政治任务来抓，学习教育形式多样，“学党史、悟思想、办实事、开新局”，以优异成绩迎接建党100周年，以学习实效推动党校事业发展迈上新台阶。一是挖掘弘扬红色历史文化。根据区委宣传部关于挖掘鹤城红色历史文化的工作要求，我校安排了2位老师，负责鹤城区历史文化和红色文化第二小组的红色文化研究发掘工作。通过走访民政局、档案局、市区退役军人事务局等相关单位，深入坨院街道新街、四方坪、大桥等村烈士墓地进行现场查看、调研、访谈，取得了不错的成果。并将市烈士陵园开发为主体</w:t>
      </w:r>
      <w:proofErr w:type="gramStart"/>
      <w:r>
        <w:rPr>
          <w:rFonts w:asciiTheme="minorEastAsia" w:hAnsiTheme="minorEastAsia" w:cs="黑体" w:hint="eastAsia"/>
          <w:color w:val="000000"/>
          <w:kern w:val="0"/>
          <w:sz w:val="32"/>
          <w:szCs w:val="32"/>
        </w:rPr>
        <w:t>班现场</w:t>
      </w:r>
      <w:proofErr w:type="gramEnd"/>
      <w:r>
        <w:rPr>
          <w:rFonts w:asciiTheme="minorEastAsia" w:hAnsiTheme="minorEastAsia" w:cs="黑体" w:hint="eastAsia"/>
          <w:color w:val="000000"/>
          <w:kern w:val="0"/>
          <w:sz w:val="32"/>
          <w:szCs w:val="32"/>
        </w:rPr>
        <w:t>教学点。为中国共产党建党100周年献上了一份礼物。二是深入开展党史宣传宣讲。学校将党史学习宣传宣讲作为一项重大政治任务，抽调三名教学经验丰富、理论功底较厚的老师，深入区政府办系统、区教育系统及乡镇街道开展宣传宣讲15场次，听课干部达1000余人次，推动了党史学习教育</w:t>
      </w:r>
      <w:proofErr w:type="gramStart"/>
      <w:r>
        <w:rPr>
          <w:rFonts w:asciiTheme="minorEastAsia" w:hAnsiTheme="minorEastAsia" w:cs="黑体" w:hint="eastAsia"/>
          <w:color w:val="000000"/>
          <w:kern w:val="0"/>
          <w:sz w:val="32"/>
          <w:szCs w:val="32"/>
        </w:rPr>
        <w:t>走深走实</w:t>
      </w:r>
      <w:proofErr w:type="gramEnd"/>
      <w:r>
        <w:rPr>
          <w:rFonts w:asciiTheme="minorEastAsia" w:hAnsiTheme="minorEastAsia" w:cs="黑体" w:hint="eastAsia"/>
          <w:color w:val="000000"/>
          <w:kern w:val="0"/>
          <w:sz w:val="32"/>
          <w:szCs w:val="32"/>
        </w:rPr>
        <w:t>。</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4.决策咨询产出</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党校作为党领导的培养党的领导干部的学校，不仅要发挥思想引领、理论建设作用，也要发挥决策咨询作用。我校一直把承担党委和政府决策咨询服务作为政治责任。与区委区政府相关部门比如组织部、区委政研室、</w:t>
      </w:r>
      <w:r>
        <w:rPr>
          <w:rFonts w:asciiTheme="minorEastAsia" w:hAnsiTheme="minorEastAsia" w:cs="黑体" w:hint="eastAsia"/>
          <w:color w:val="000000"/>
          <w:kern w:val="0"/>
          <w:sz w:val="32"/>
          <w:szCs w:val="32"/>
        </w:rPr>
        <w:lastRenderedPageBreak/>
        <w:t>宣传部、扶贫办、旅游局等部门加强协作，对区委和政府重大决策部署、社会热点难点问题进行深入研究，比如鹤城旅游发展、鹤城社区治理、鹤城智慧城市建设等提出了有价值的对策建议。2021年度区委党校共承办2期主体班，教研室编辑印刷期刊《调研与交流》2期。为第十八期科局级、第二十四期中青年干部培训班学员所撰写论文中的优秀论文编辑而成。此外，中青班大胆创新调研模式，积极探索小组下基层实地走访调研，并成功举办调研成果交流会。</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5、学员管理产出</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proofErr w:type="gramStart"/>
      <w:r>
        <w:rPr>
          <w:rFonts w:asciiTheme="minorEastAsia" w:hAnsiTheme="minorEastAsia" w:cs="黑体" w:hint="eastAsia"/>
          <w:color w:val="000000"/>
          <w:kern w:val="0"/>
          <w:sz w:val="32"/>
          <w:szCs w:val="32"/>
        </w:rPr>
        <w:t>两主体</w:t>
      </w:r>
      <w:proofErr w:type="gramEnd"/>
      <w:r>
        <w:rPr>
          <w:rFonts w:asciiTheme="minorEastAsia" w:hAnsiTheme="minorEastAsia" w:cs="黑体" w:hint="eastAsia"/>
          <w:color w:val="000000"/>
          <w:kern w:val="0"/>
          <w:sz w:val="32"/>
          <w:szCs w:val="32"/>
        </w:rPr>
        <w:t>班跟班教师和学员都能较好地遵守相关教学规章制度，全年未发生教学事故。一是实行校领导指导服务制度和班主任跟班制度。2个主体班指导校领导均为学校校长，科干班、中青班跟班班主任均为学校高级教师。二是实行严格学员上课出勤保障制度，坚持跟班班主任每天跟踪学员情况，实行上课签到制度和请假制度；坚持学校教师巡视制度，对迟到早退情况进行机动监督。三是实行严格的校内和校外学习纪律要求，例如：到通道转兵红色教育基地党性教育现场教学活动，学校严格按照异地教学的要求跟每位学员签订《异地培训班学员遵纪守规承诺书》，注重学员安全教育、纪律教育等。四是实行严格的学员百分制考核，进行严格闭卷考试，保障考试纪律。五是实行考核结果进入学员学籍档案制度，倒逼学员认真学习、积极表现。</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6、其他工作产出</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围绕中心，不折不扣完成区委区政府交办的其他工作。一是持续做好乡村振兴工作。学校今年抽调一名教师到贺家田村开展乡村振兴工作。从办公经费中下拨工作队工作经费2万元，专项用于工作队开展工作所需，同时全力保障乡村振兴干部下村的各项工作补贴。全体教职工按照乡村振兴</w:t>
      </w:r>
      <w:r>
        <w:rPr>
          <w:rFonts w:asciiTheme="minorEastAsia" w:hAnsiTheme="minorEastAsia" w:cs="黑体" w:hint="eastAsia"/>
          <w:color w:val="000000"/>
          <w:kern w:val="0"/>
          <w:sz w:val="32"/>
          <w:szCs w:val="32"/>
        </w:rPr>
        <w:lastRenderedPageBreak/>
        <w:t>工作要求持续做好乡村振兴帮扶工作。二是积极担当做好疫情防控工作。自新型冠状病毒感染的肺炎疫情发生以来，学校校委班子临危受命，切实把群众生命安全和身体健康放在第一位，按照区委统一部署，全面动员，全面部署，全面发声，营造了“坚定信心、同舟共济、众志成城、科学防治”的浓厚氛围。今年1月30日至2月10日由教育</w:t>
      </w:r>
      <w:proofErr w:type="gramStart"/>
      <w:r>
        <w:rPr>
          <w:rFonts w:asciiTheme="minorEastAsia" w:hAnsiTheme="minorEastAsia" w:cs="黑体" w:hint="eastAsia"/>
          <w:color w:val="000000"/>
          <w:kern w:val="0"/>
          <w:sz w:val="32"/>
          <w:szCs w:val="32"/>
        </w:rPr>
        <w:t>长丁忠立</w:t>
      </w:r>
      <w:proofErr w:type="gramEnd"/>
      <w:r>
        <w:rPr>
          <w:rFonts w:asciiTheme="minorEastAsia" w:hAnsiTheme="minorEastAsia" w:cs="黑体" w:hint="eastAsia"/>
          <w:color w:val="000000"/>
          <w:kern w:val="0"/>
          <w:sz w:val="32"/>
          <w:szCs w:val="32"/>
        </w:rPr>
        <w:t>带队参加城北街道疫情排查工作。8月7日至8月26日由3名班子成员带领6名党员干部到鹤城区健康服务点（中坡后山卡点）进行24小时疫情防控值班。同时安排2名党员到红十字医院配合医院维持接种疫苗秩序。8月22日学校又安排7名党员干部到城北</w:t>
      </w:r>
      <w:proofErr w:type="gramStart"/>
      <w:r>
        <w:rPr>
          <w:rFonts w:asciiTheme="minorEastAsia" w:hAnsiTheme="minorEastAsia" w:cs="黑体" w:hint="eastAsia"/>
          <w:color w:val="000000"/>
          <w:kern w:val="0"/>
          <w:sz w:val="32"/>
          <w:szCs w:val="32"/>
        </w:rPr>
        <w:t>廉</w:t>
      </w:r>
      <w:proofErr w:type="gramEnd"/>
      <w:r>
        <w:rPr>
          <w:rFonts w:asciiTheme="minorEastAsia" w:hAnsiTheme="minorEastAsia" w:cs="黑体" w:hint="eastAsia"/>
          <w:color w:val="000000"/>
          <w:kern w:val="0"/>
          <w:sz w:val="32"/>
          <w:szCs w:val="32"/>
        </w:rPr>
        <w:t>租房进行微网格服务，宣传疫情防控、了解疫苗接种情况。疫情期间学校积极筹款捐物五千余元；抽调的所有党员干部在这个关键时刻运用“不忘初心、牢记使命”主题教育的成果，树牢“四个意识”、做到“两个维护”，不畏风险，迎难而上。三是积极参与社会综合治理，推进平安创建工作。今年，我校将加强和创新社会管理工作和平安创建工作作为一项重要的课题纳入教学科研，认真组织教师调研和教学。同时配合区委区政府中心工作，努力开展社会治理工作，结合疫情防控、“五一”、“建党100周年”重大节日，校班子成员牵头对我校的不稳定因素进行排查。组织干部职工深入社区参加文明城市创建、夜间治安巡逻、交通劝导以及综合治理法治宣传活动，加强综治民调宣传引导工作，以实际行动参与平安建设。</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（五）社会效应、可持续能力、服务对象满意度情况</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1、社会效应</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充分发挥党校教师理论优势，学员实践优势，学校决策咨询功能推动鹤城区干部教育培训事业的发展，为区委、区政府的决策提供建设性意见，</w:t>
      </w:r>
      <w:r>
        <w:rPr>
          <w:rFonts w:asciiTheme="minorEastAsia" w:hAnsiTheme="minorEastAsia" w:cs="黑体" w:hint="eastAsia"/>
          <w:color w:val="000000"/>
          <w:kern w:val="0"/>
          <w:sz w:val="32"/>
          <w:szCs w:val="32"/>
        </w:rPr>
        <w:lastRenderedPageBreak/>
        <w:t>提高了主体班学员的党性修养、政治素养和管理能更好的为党的事业和</w:t>
      </w:r>
      <w:proofErr w:type="gramStart"/>
      <w:r>
        <w:rPr>
          <w:rFonts w:asciiTheme="minorEastAsia" w:hAnsiTheme="minorEastAsia" w:cs="黑体" w:hint="eastAsia"/>
          <w:color w:val="000000"/>
          <w:kern w:val="0"/>
          <w:sz w:val="32"/>
          <w:szCs w:val="32"/>
        </w:rPr>
        <w:t>鹤城</w:t>
      </w:r>
      <w:proofErr w:type="gramEnd"/>
      <w:r>
        <w:rPr>
          <w:rFonts w:asciiTheme="minorEastAsia" w:hAnsiTheme="minorEastAsia" w:cs="黑体" w:hint="eastAsia"/>
          <w:color w:val="000000"/>
          <w:kern w:val="0"/>
          <w:sz w:val="32"/>
          <w:szCs w:val="32"/>
        </w:rPr>
        <w:t>的建设贡献力量。</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2、可持续发展能力</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2021年区委第26次常委会明确， 要坚持政治统领，压实党委办学主体责任，区委常委班子要带头进党校授课，探索和遵循党校教育规律，聚焦主业评课，突出鹤城特色，走出一条高质量、有特色的办学治校之路。要坚持整体谋划，围绕全区中心工作，区</w:t>
      </w:r>
      <w:proofErr w:type="gramStart"/>
      <w:r>
        <w:rPr>
          <w:rFonts w:asciiTheme="minorEastAsia" w:hAnsiTheme="minorEastAsia" w:cs="黑体" w:hint="eastAsia"/>
          <w:color w:val="000000"/>
          <w:kern w:val="0"/>
          <w:sz w:val="32"/>
          <w:szCs w:val="32"/>
        </w:rPr>
        <w:t>直相关</w:t>
      </w:r>
      <w:proofErr w:type="gramEnd"/>
      <w:r>
        <w:rPr>
          <w:rFonts w:asciiTheme="minorEastAsia" w:hAnsiTheme="minorEastAsia" w:cs="黑体" w:hint="eastAsia"/>
          <w:color w:val="000000"/>
          <w:kern w:val="0"/>
          <w:sz w:val="32"/>
          <w:szCs w:val="32"/>
        </w:rPr>
        <w:t>部门要求全力支持党校建设，在人才引进、经费保障、设施改善方面予以支持，培养高素质干部队伍，提高党校建设水平。坚持党校姓党，牢牢把握正确政治方向，切实提升履职尽责水平，把</w:t>
      </w:r>
      <w:proofErr w:type="gramStart"/>
      <w:r>
        <w:rPr>
          <w:rFonts w:asciiTheme="minorEastAsia" w:hAnsiTheme="minorEastAsia" w:cs="黑体" w:hint="eastAsia"/>
          <w:color w:val="000000"/>
          <w:kern w:val="0"/>
          <w:sz w:val="32"/>
          <w:szCs w:val="32"/>
        </w:rPr>
        <w:t>党校姓党根本</w:t>
      </w:r>
      <w:proofErr w:type="gramEnd"/>
      <w:r>
        <w:rPr>
          <w:rFonts w:asciiTheme="minorEastAsia" w:hAnsiTheme="minorEastAsia" w:cs="黑体" w:hint="eastAsia"/>
          <w:color w:val="000000"/>
          <w:kern w:val="0"/>
          <w:sz w:val="32"/>
          <w:szCs w:val="32"/>
        </w:rPr>
        <w:t>原则贯穿党校工作各方面各环节。</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3、服务对象满意度</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主体</w:t>
      </w:r>
      <w:proofErr w:type="gramStart"/>
      <w:r>
        <w:rPr>
          <w:rFonts w:asciiTheme="minorEastAsia" w:hAnsiTheme="minorEastAsia" w:cs="黑体" w:hint="eastAsia"/>
          <w:color w:val="000000"/>
          <w:kern w:val="0"/>
          <w:sz w:val="32"/>
          <w:szCs w:val="32"/>
        </w:rPr>
        <w:t>班满意度稳定</w:t>
      </w:r>
      <w:proofErr w:type="gramEnd"/>
      <w:r>
        <w:rPr>
          <w:rFonts w:asciiTheme="minorEastAsia" w:hAnsiTheme="minorEastAsia" w:cs="黑体" w:hint="eastAsia"/>
          <w:color w:val="000000"/>
          <w:kern w:val="0"/>
          <w:sz w:val="32"/>
          <w:szCs w:val="32"/>
        </w:rPr>
        <w:t>在90%以上。</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t>六、存在的主要问题</w:t>
      </w:r>
    </w:p>
    <w:p w:rsidR="00CD3061" w:rsidRDefault="00587685">
      <w:pPr>
        <w:pStyle w:val="a8"/>
        <w:shd w:val="clear" w:color="auto" w:fill="FFFFFF"/>
        <w:spacing w:before="0" w:beforeAutospacing="0" w:after="0" w:afterAutospacing="0"/>
        <w:ind w:firstLineChars="200" w:firstLine="64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1、预算绩效评价指标体系有待完善。因对项目支出规律研究不深，</w:t>
      </w:r>
      <w:proofErr w:type="gramStart"/>
      <w:r>
        <w:rPr>
          <w:rFonts w:asciiTheme="minorEastAsia" w:eastAsiaTheme="minorEastAsia" w:hAnsiTheme="minorEastAsia" w:cs="黑体" w:hint="eastAsia"/>
          <w:color w:val="000000"/>
          <w:sz w:val="32"/>
          <w:szCs w:val="32"/>
        </w:rPr>
        <w:t>校内部</w:t>
      </w:r>
      <w:proofErr w:type="gramEnd"/>
      <w:r>
        <w:rPr>
          <w:rFonts w:asciiTheme="minorEastAsia" w:eastAsiaTheme="minorEastAsia" w:hAnsiTheme="minorEastAsia" w:cs="黑体" w:hint="eastAsia"/>
          <w:color w:val="000000"/>
          <w:sz w:val="32"/>
          <w:szCs w:val="32"/>
        </w:rPr>
        <w:t>分项目考核指标细化和量化不够，投入产出经济性、效益性考核指标不够明确、不够完善。</w:t>
      </w:r>
    </w:p>
    <w:p w:rsidR="00CD3061" w:rsidRDefault="00587685">
      <w:pPr>
        <w:pStyle w:val="a8"/>
        <w:shd w:val="clear" w:color="auto" w:fill="FFFFFF"/>
        <w:spacing w:before="0" w:beforeAutospacing="0" w:after="0" w:afterAutospacing="0"/>
        <w:ind w:firstLineChars="200" w:firstLine="640"/>
        <w:rPr>
          <w:rFonts w:asciiTheme="minorEastAsia" w:eastAsiaTheme="minorEastAsia" w:hAnsiTheme="minorEastAsia" w:cs="黑体"/>
          <w:color w:val="000000"/>
          <w:sz w:val="32"/>
          <w:szCs w:val="32"/>
        </w:rPr>
      </w:pPr>
      <w:r>
        <w:rPr>
          <w:rFonts w:asciiTheme="minorEastAsia" w:eastAsiaTheme="minorEastAsia" w:hAnsiTheme="minorEastAsia" w:cs="黑体" w:hint="eastAsia"/>
          <w:color w:val="000000"/>
          <w:sz w:val="32"/>
          <w:szCs w:val="32"/>
        </w:rPr>
        <w:t>2、预算绩效评价结果应用不充分。原因是校内相关制度欠完善，权责统一的管理机制尚未完全建立，制度执行力有待加强。</w:t>
      </w:r>
    </w:p>
    <w:p w:rsidR="00CD3061" w:rsidRDefault="00587685">
      <w:pPr>
        <w:spacing w:line="56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3、资金使用效益有待进一步提高。</w:t>
      </w:r>
    </w:p>
    <w:p w:rsidR="00CD3061" w:rsidRDefault="00587685">
      <w:pPr>
        <w:widowControl/>
        <w:shd w:val="clear" w:color="auto" w:fill="FFFFFF"/>
        <w:spacing w:line="600" w:lineRule="atLeast"/>
        <w:ind w:firstLine="643"/>
        <w:rPr>
          <w:rFonts w:ascii="宋体" w:eastAsia="宋体" w:hAnsi="宋体" w:cs="宋体"/>
          <w:b/>
          <w:spacing w:val="-2"/>
          <w:sz w:val="32"/>
          <w:szCs w:val="32"/>
        </w:rPr>
      </w:pPr>
      <w:r>
        <w:rPr>
          <w:rFonts w:ascii="宋体" w:eastAsia="宋体" w:hAnsi="宋体" w:cs="宋体" w:hint="eastAsia"/>
          <w:b/>
          <w:spacing w:val="-2"/>
          <w:sz w:val="32"/>
          <w:szCs w:val="32"/>
        </w:rPr>
        <w:t>七、改进措施和有关建议</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（一）加大预算绩效管理宣传力度。</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（二）健全预算绩效管理制度。</w:t>
      </w:r>
    </w:p>
    <w:p w:rsidR="00CD3061" w:rsidRDefault="00587685">
      <w:pPr>
        <w:widowControl/>
        <w:shd w:val="clear" w:color="auto" w:fill="FFFFFF"/>
        <w:spacing w:line="600" w:lineRule="atLeast"/>
        <w:ind w:firstLineChars="150" w:firstLine="48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（三）加强绩效评价管理评价的可操作性，对相关业务人员进行相关培训，以提高业务知识水平。</w:t>
      </w:r>
    </w:p>
    <w:sectPr w:rsidR="00CD3061">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start w:val="1"/>
      <w:numFmt w:val="none"/>
      <w:lvlText w:val="一、"/>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100DB"/>
    <w:rsid w:val="0002229B"/>
    <w:rsid w:val="000273BD"/>
    <w:rsid w:val="000415B7"/>
    <w:rsid w:val="00041E3F"/>
    <w:rsid w:val="000475D6"/>
    <w:rsid w:val="00055DAA"/>
    <w:rsid w:val="00061F7B"/>
    <w:rsid w:val="000658A3"/>
    <w:rsid w:val="00074155"/>
    <w:rsid w:val="00081AF1"/>
    <w:rsid w:val="000873EF"/>
    <w:rsid w:val="000A3F69"/>
    <w:rsid w:val="000B19B4"/>
    <w:rsid w:val="000C0913"/>
    <w:rsid w:val="000D4A3A"/>
    <w:rsid w:val="00103957"/>
    <w:rsid w:val="0010397B"/>
    <w:rsid w:val="00124A1F"/>
    <w:rsid w:val="00137373"/>
    <w:rsid w:val="00137D51"/>
    <w:rsid w:val="00141B40"/>
    <w:rsid w:val="00152C6D"/>
    <w:rsid w:val="00162D39"/>
    <w:rsid w:val="001678BD"/>
    <w:rsid w:val="00173507"/>
    <w:rsid w:val="00182373"/>
    <w:rsid w:val="00182B50"/>
    <w:rsid w:val="001A67DB"/>
    <w:rsid w:val="001C3C29"/>
    <w:rsid w:val="001D51E5"/>
    <w:rsid w:val="001E080D"/>
    <w:rsid w:val="001E3BA3"/>
    <w:rsid w:val="001E53D0"/>
    <w:rsid w:val="001F0C3B"/>
    <w:rsid w:val="0020072B"/>
    <w:rsid w:val="00202C14"/>
    <w:rsid w:val="00202C82"/>
    <w:rsid w:val="00214427"/>
    <w:rsid w:val="002260F2"/>
    <w:rsid w:val="00226CB7"/>
    <w:rsid w:val="002479DA"/>
    <w:rsid w:val="00252D0E"/>
    <w:rsid w:val="00264552"/>
    <w:rsid w:val="00264EF9"/>
    <w:rsid w:val="00265724"/>
    <w:rsid w:val="0027426B"/>
    <w:rsid w:val="00281E19"/>
    <w:rsid w:val="002C3313"/>
    <w:rsid w:val="002D28CE"/>
    <w:rsid w:val="002E0A30"/>
    <w:rsid w:val="002E761C"/>
    <w:rsid w:val="002F53BB"/>
    <w:rsid w:val="003130C4"/>
    <w:rsid w:val="00316C4B"/>
    <w:rsid w:val="0032192B"/>
    <w:rsid w:val="00327FFA"/>
    <w:rsid w:val="003414BA"/>
    <w:rsid w:val="003479BD"/>
    <w:rsid w:val="003510B0"/>
    <w:rsid w:val="0037197D"/>
    <w:rsid w:val="003768D5"/>
    <w:rsid w:val="003769FD"/>
    <w:rsid w:val="00386ADD"/>
    <w:rsid w:val="003B21E8"/>
    <w:rsid w:val="003C4197"/>
    <w:rsid w:val="003C47E6"/>
    <w:rsid w:val="003C4FC2"/>
    <w:rsid w:val="003D55BC"/>
    <w:rsid w:val="003D7704"/>
    <w:rsid w:val="003E2331"/>
    <w:rsid w:val="003E5147"/>
    <w:rsid w:val="003F09E1"/>
    <w:rsid w:val="00416E61"/>
    <w:rsid w:val="0042790C"/>
    <w:rsid w:val="004421B0"/>
    <w:rsid w:val="004506F9"/>
    <w:rsid w:val="00460AD5"/>
    <w:rsid w:val="004717A2"/>
    <w:rsid w:val="00473DF3"/>
    <w:rsid w:val="0048205B"/>
    <w:rsid w:val="00487911"/>
    <w:rsid w:val="00491741"/>
    <w:rsid w:val="00493C97"/>
    <w:rsid w:val="00497300"/>
    <w:rsid w:val="004B0CEE"/>
    <w:rsid w:val="004D59F8"/>
    <w:rsid w:val="004E71CA"/>
    <w:rsid w:val="00500E5F"/>
    <w:rsid w:val="005122EF"/>
    <w:rsid w:val="0051441A"/>
    <w:rsid w:val="00517C33"/>
    <w:rsid w:val="00517D5F"/>
    <w:rsid w:val="00521AF2"/>
    <w:rsid w:val="00523644"/>
    <w:rsid w:val="00527E63"/>
    <w:rsid w:val="0053724F"/>
    <w:rsid w:val="00537B3E"/>
    <w:rsid w:val="0054069E"/>
    <w:rsid w:val="00544866"/>
    <w:rsid w:val="00556466"/>
    <w:rsid w:val="00566953"/>
    <w:rsid w:val="0057468A"/>
    <w:rsid w:val="005767CC"/>
    <w:rsid w:val="00587685"/>
    <w:rsid w:val="00590D9F"/>
    <w:rsid w:val="00595D26"/>
    <w:rsid w:val="005A2562"/>
    <w:rsid w:val="005A74E6"/>
    <w:rsid w:val="005B404E"/>
    <w:rsid w:val="005B53DA"/>
    <w:rsid w:val="005D4D55"/>
    <w:rsid w:val="005E2CFB"/>
    <w:rsid w:val="005F2103"/>
    <w:rsid w:val="005F3D1C"/>
    <w:rsid w:val="0060317E"/>
    <w:rsid w:val="00611D0C"/>
    <w:rsid w:val="0062378F"/>
    <w:rsid w:val="00641842"/>
    <w:rsid w:val="00651EEC"/>
    <w:rsid w:val="00683D5A"/>
    <w:rsid w:val="00686673"/>
    <w:rsid w:val="00691E8C"/>
    <w:rsid w:val="00693F05"/>
    <w:rsid w:val="006A22C4"/>
    <w:rsid w:val="006A348B"/>
    <w:rsid w:val="006A351B"/>
    <w:rsid w:val="006B0422"/>
    <w:rsid w:val="006B0ECC"/>
    <w:rsid w:val="006C1B53"/>
    <w:rsid w:val="006D341C"/>
    <w:rsid w:val="006D7730"/>
    <w:rsid w:val="006E0809"/>
    <w:rsid w:val="006E5284"/>
    <w:rsid w:val="006E60F8"/>
    <w:rsid w:val="006F3EB5"/>
    <w:rsid w:val="006F6E93"/>
    <w:rsid w:val="00702E34"/>
    <w:rsid w:val="00704395"/>
    <w:rsid w:val="00710D8E"/>
    <w:rsid w:val="00710FE7"/>
    <w:rsid w:val="00717621"/>
    <w:rsid w:val="00720FF1"/>
    <w:rsid w:val="00727A53"/>
    <w:rsid w:val="0074148C"/>
    <w:rsid w:val="0075690C"/>
    <w:rsid w:val="0076627B"/>
    <w:rsid w:val="00767FBF"/>
    <w:rsid w:val="007773D8"/>
    <w:rsid w:val="00787B42"/>
    <w:rsid w:val="007C4539"/>
    <w:rsid w:val="007D6581"/>
    <w:rsid w:val="007F3657"/>
    <w:rsid w:val="00812ED5"/>
    <w:rsid w:val="008277D9"/>
    <w:rsid w:val="00837100"/>
    <w:rsid w:val="0084478C"/>
    <w:rsid w:val="0086638C"/>
    <w:rsid w:val="00896B37"/>
    <w:rsid w:val="0089729A"/>
    <w:rsid w:val="008A3E8D"/>
    <w:rsid w:val="008A7101"/>
    <w:rsid w:val="008C41DC"/>
    <w:rsid w:val="008D7C0A"/>
    <w:rsid w:val="009237C4"/>
    <w:rsid w:val="009245AC"/>
    <w:rsid w:val="00944C48"/>
    <w:rsid w:val="00950252"/>
    <w:rsid w:val="00967F5D"/>
    <w:rsid w:val="009751A0"/>
    <w:rsid w:val="009A0F95"/>
    <w:rsid w:val="009A4E18"/>
    <w:rsid w:val="009B3ADF"/>
    <w:rsid w:val="009B697A"/>
    <w:rsid w:val="009C3B52"/>
    <w:rsid w:val="009E4834"/>
    <w:rsid w:val="009E675B"/>
    <w:rsid w:val="009E6817"/>
    <w:rsid w:val="009E6E9A"/>
    <w:rsid w:val="00A01D2B"/>
    <w:rsid w:val="00A238D8"/>
    <w:rsid w:val="00A27D1F"/>
    <w:rsid w:val="00A33324"/>
    <w:rsid w:val="00A364D0"/>
    <w:rsid w:val="00A37EC9"/>
    <w:rsid w:val="00A42218"/>
    <w:rsid w:val="00A52556"/>
    <w:rsid w:val="00A70249"/>
    <w:rsid w:val="00A70B02"/>
    <w:rsid w:val="00A71D9F"/>
    <w:rsid w:val="00A75680"/>
    <w:rsid w:val="00A777E9"/>
    <w:rsid w:val="00A841C4"/>
    <w:rsid w:val="00A92E9F"/>
    <w:rsid w:val="00AA2E51"/>
    <w:rsid w:val="00AB0EFF"/>
    <w:rsid w:val="00B13DC5"/>
    <w:rsid w:val="00B33BEA"/>
    <w:rsid w:val="00B42C25"/>
    <w:rsid w:val="00B43F86"/>
    <w:rsid w:val="00B556EF"/>
    <w:rsid w:val="00B57C9F"/>
    <w:rsid w:val="00B63572"/>
    <w:rsid w:val="00B66C8F"/>
    <w:rsid w:val="00B845B3"/>
    <w:rsid w:val="00B85D8B"/>
    <w:rsid w:val="00BA589B"/>
    <w:rsid w:val="00BB4A40"/>
    <w:rsid w:val="00BD6C3E"/>
    <w:rsid w:val="00BE3674"/>
    <w:rsid w:val="00BF156D"/>
    <w:rsid w:val="00C10681"/>
    <w:rsid w:val="00C20287"/>
    <w:rsid w:val="00C30134"/>
    <w:rsid w:val="00C3049A"/>
    <w:rsid w:val="00C31B1E"/>
    <w:rsid w:val="00C60510"/>
    <w:rsid w:val="00C77645"/>
    <w:rsid w:val="00CA61FB"/>
    <w:rsid w:val="00CB0DC3"/>
    <w:rsid w:val="00CC6D2F"/>
    <w:rsid w:val="00CD3061"/>
    <w:rsid w:val="00CE04C3"/>
    <w:rsid w:val="00CE76A0"/>
    <w:rsid w:val="00D148C6"/>
    <w:rsid w:val="00D17A8A"/>
    <w:rsid w:val="00D204AD"/>
    <w:rsid w:val="00D205B4"/>
    <w:rsid w:val="00D415BA"/>
    <w:rsid w:val="00D53057"/>
    <w:rsid w:val="00D63780"/>
    <w:rsid w:val="00D644EE"/>
    <w:rsid w:val="00D74BFC"/>
    <w:rsid w:val="00D75489"/>
    <w:rsid w:val="00DA2860"/>
    <w:rsid w:val="00DB5DC2"/>
    <w:rsid w:val="00DD06FF"/>
    <w:rsid w:val="00DD0925"/>
    <w:rsid w:val="00DD3A35"/>
    <w:rsid w:val="00DD5FE9"/>
    <w:rsid w:val="00DF22ED"/>
    <w:rsid w:val="00DF5763"/>
    <w:rsid w:val="00E00C7A"/>
    <w:rsid w:val="00E209CF"/>
    <w:rsid w:val="00E37D6C"/>
    <w:rsid w:val="00E443D2"/>
    <w:rsid w:val="00E55B68"/>
    <w:rsid w:val="00E67BE6"/>
    <w:rsid w:val="00E8683C"/>
    <w:rsid w:val="00EA2B72"/>
    <w:rsid w:val="00ED0D8F"/>
    <w:rsid w:val="00EE1225"/>
    <w:rsid w:val="00F02D2B"/>
    <w:rsid w:val="00F20BE2"/>
    <w:rsid w:val="00F3737D"/>
    <w:rsid w:val="00F65830"/>
    <w:rsid w:val="00F74360"/>
    <w:rsid w:val="00F90B7F"/>
    <w:rsid w:val="00F91174"/>
    <w:rsid w:val="00F91B7E"/>
    <w:rsid w:val="00FA1218"/>
    <w:rsid w:val="00FB462F"/>
    <w:rsid w:val="00FB4C1A"/>
    <w:rsid w:val="00FE16FA"/>
    <w:rsid w:val="00FE2EEC"/>
    <w:rsid w:val="00FE328A"/>
    <w:rsid w:val="00FE6269"/>
    <w:rsid w:val="00FF5CD6"/>
    <w:rsid w:val="0337738D"/>
    <w:rsid w:val="05825942"/>
    <w:rsid w:val="061B537F"/>
    <w:rsid w:val="07F05EE3"/>
    <w:rsid w:val="0D5F7B6F"/>
    <w:rsid w:val="395222CC"/>
    <w:rsid w:val="3E8945CF"/>
    <w:rsid w:val="493767A5"/>
    <w:rsid w:val="4E217FEA"/>
    <w:rsid w:val="4F8079E9"/>
    <w:rsid w:val="5B733DD4"/>
    <w:rsid w:val="793F73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10"/>
    <w:qFormat/>
    <w:pPr>
      <w:snapToGrid w:val="0"/>
      <w:jc w:val="left"/>
    </w:pPr>
    <w:rPr>
      <w:rFonts w:ascii="Calibri" w:hAnsi="Calibri"/>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99"/>
    <w:qFormat/>
    <w:pPr>
      <w:ind w:firstLineChars="200" w:firstLine="420"/>
    </w:pPr>
  </w:style>
  <w:style w:type="character" w:customStyle="1" w:styleId="Char">
    <w:name w:val="批注框文本 Char"/>
    <w:basedOn w:val="a0"/>
    <w:link w:val="a4"/>
    <w:uiPriority w:val="99"/>
    <w:semiHidden/>
    <w:qFormat/>
    <w:rPr>
      <w:sz w:val="18"/>
      <w:szCs w:val="18"/>
    </w:rPr>
  </w:style>
  <w:style w:type="character" w:customStyle="1" w:styleId="Char2">
    <w:name w:val="脚注文本 Char"/>
    <w:basedOn w:val="a0"/>
    <w:qFormat/>
    <w:rPr>
      <w:rFonts w:ascii="Calibri" w:hAnsi="Calibri"/>
      <w:sz w:val="18"/>
      <w:szCs w:val="18"/>
    </w:rPr>
  </w:style>
  <w:style w:type="character" w:customStyle="1" w:styleId="Char10">
    <w:name w:val="脚注文本 Char1"/>
    <w:basedOn w:val="a0"/>
    <w:link w:val="a7"/>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10"/>
    <w:qFormat/>
    <w:pPr>
      <w:snapToGrid w:val="0"/>
      <w:jc w:val="left"/>
    </w:pPr>
    <w:rPr>
      <w:rFonts w:ascii="Calibri" w:hAnsi="Calibri"/>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99"/>
    <w:qFormat/>
    <w:pPr>
      <w:ind w:firstLineChars="200" w:firstLine="420"/>
    </w:pPr>
  </w:style>
  <w:style w:type="character" w:customStyle="1" w:styleId="Char">
    <w:name w:val="批注框文本 Char"/>
    <w:basedOn w:val="a0"/>
    <w:link w:val="a4"/>
    <w:uiPriority w:val="99"/>
    <w:semiHidden/>
    <w:qFormat/>
    <w:rPr>
      <w:sz w:val="18"/>
      <w:szCs w:val="18"/>
    </w:rPr>
  </w:style>
  <w:style w:type="character" w:customStyle="1" w:styleId="Char2">
    <w:name w:val="脚注文本 Char"/>
    <w:basedOn w:val="a0"/>
    <w:qFormat/>
    <w:rPr>
      <w:rFonts w:ascii="Calibri" w:hAnsi="Calibri"/>
      <w:sz w:val="18"/>
      <w:szCs w:val="18"/>
    </w:rPr>
  </w:style>
  <w:style w:type="character" w:customStyle="1" w:styleId="Char10">
    <w:name w:val="脚注文本 Char1"/>
    <w:basedOn w:val="a0"/>
    <w:link w:val="a7"/>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82ED5-BE4C-4CF9-AF44-F9004B97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1715</Words>
  <Characters>9777</Characters>
  <Application>Microsoft Office Word</Application>
  <DocSecurity>0</DocSecurity>
  <Lines>81</Lines>
  <Paragraphs>22</Paragraphs>
  <ScaleCrop>false</ScaleCrop>
  <Company>Microsoft</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4</cp:revision>
  <cp:lastPrinted>2022-07-27T12:55:00Z</cp:lastPrinted>
  <dcterms:created xsi:type="dcterms:W3CDTF">2022-10-09T07:20:00Z</dcterms:created>
  <dcterms:modified xsi:type="dcterms:W3CDTF">2023-10-16T07:28:00Z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A31DC3DE0170465F80442FBCC5E883D7_13</vt:lpwstr>
  </property>
</Properties>
</file>