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sz w:val="56"/>
          <w:szCs w:val="56"/>
        </w:rPr>
      </w:pPr>
    </w:p>
    <w:p>
      <w:pPr>
        <w:pStyle w:val="12"/>
        <w:jc w:val="center"/>
        <w:rPr>
          <w:sz w:val="56"/>
          <w:szCs w:val="56"/>
        </w:rPr>
      </w:pPr>
    </w:p>
    <w:p>
      <w:pPr>
        <w:pStyle w:val="12"/>
        <w:jc w:val="center"/>
        <w:rPr>
          <w:sz w:val="84"/>
          <w:szCs w:val="84"/>
        </w:rPr>
      </w:pPr>
    </w:p>
    <w:p>
      <w:pPr>
        <w:pStyle w:val="12"/>
        <w:jc w:val="center"/>
        <w:rPr>
          <w:sz w:val="84"/>
          <w:szCs w:val="84"/>
        </w:rPr>
      </w:pPr>
    </w:p>
    <w:p>
      <w:pPr>
        <w:pStyle w:val="12"/>
        <w:jc w:val="center"/>
        <w:rPr>
          <w:sz w:val="84"/>
          <w:szCs w:val="84"/>
        </w:rPr>
      </w:pPr>
      <w:r>
        <w:rPr>
          <w:rFonts w:hint="eastAsia"/>
          <w:sz w:val="84"/>
          <w:szCs w:val="84"/>
        </w:rPr>
        <w:t>2021年度</w:t>
      </w:r>
    </w:p>
    <w:p>
      <w:pPr>
        <w:pStyle w:val="12"/>
        <w:jc w:val="center"/>
        <w:rPr>
          <w:rFonts w:hint="eastAsia"/>
          <w:sz w:val="84"/>
          <w:szCs w:val="84"/>
        </w:rPr>
      </w:pPr>
      <w:r>
        <w:rPr>
          <w:rFonts w:hint="eastAsia"/>
          <w:sz w:val="84"/>
          <w:szCs w:val="84"/>
          <w:lang w:val="en-US" w:eastAsia="zh-CN"/>
        </w:rPr>
        <w:t>怀化市</w:t>
      </w:r>
      <w:r>
        <w:rPr>
          <w:rFonts w:hint="eastAsia"/>
          <w:sz w:val="84"/>
          <w:szCs w:val="84"/>
        </w:rPr>
        <w:t>鹤城区商务局</w:t>
      </w:r>
    </w:p>
    <w:p>
      <w:pPr>
        <w:pStyle w:val="12"/>
        <w:jc w:val="center"/>
        <w:rPr>
          <w:sz w:val="84"/>
          <w:szCs w:val="84"/>
        </w:rPr>
      </w:pPr>
      <w:r>
        <w:rPr>
          <w:rFonts w:hint="eastAsia"/>
          <w:sz w:val="84"/>
          <w:szCs w:val="84"/>
        </w:rPr>
        <w:t>部门决算</w:t>
      </w: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32"/>
          <w:szCs w:val="32"/>
        </w:rPr>
      </w:pPr>
    </w:p>
    <w:p>
      <w:pPr>
        <w:pStyle w:val="12"/>
        <w:jc w:val="center"/>
        <w:rPr>
          <w:sz w:val="32"/>
          <w:szCs w:val="32"/>
        </w:rPr>
      </w:pPr>
    </w:p>
    <w:p>
      <w:pPr>
        <w:pStyle w:val="12"/>
        <w:jc w:val="center"/>
        <w:rPr>
          <w:sz w:val="32"/>
          <w:szCs w:val="32"/>
        </w:rPr>
      </w:pPr>
    </w:p>
    <w:p>
      <w:pPr>
        <w:pStyle w:val="12"/>
        <w:jc w:val="center"/>
        <w:rPr>
          <w:sz w:val="32"/>
          <w:szCs w:val="32"/>
        </w:rPr>
      </w:pPr>
    </w:p>
    <w:p>
      <w:pPr>
        <w:pStyle w:val="12"/>
        <w:jc w:val="center"/>
        <w:rPr>
          <w:sz w:val="32"/>
          <w:szCs w:val="32"/>
        </w:rPr>
      </w:pPr>
    </w:p>
    <w:p>
      <w:pPr>
        <w:pStyle w:val="12"/>
        <w:spacing w:line="500" w:lineRule="exact"/>
        <w:jc w:val="center"/>
        <w:rPr>
          <w:b/>
          <w:sz w:val="36"/>
          <w:szCs w:val="28"/>
        </w:rPr>
      </w:pPr>
      <w:r>
        <w:rPr>
          <w:rFonts w:hint="eastAsia"/>
          <w:b/>
          <w:sz w:val="36"/>
          <w:szCs w:val="28"/>
        </w:rPr>
        <w:t>目录</w:t>
      </w:r>
    </w:p>
    <w:p>
      <w:pPr>
        <w:pStyle w:val="12"/>
        <w:spacing w:line="500" w:lineRule="exact"/>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怀化市</w:t>
      </w:r>
      <w:r>
        <w:rPr>
          <w:rFonts w:hint="eastAsia"/>
          <w:b/>
          <w:sz w:val="28"/>
          <w:szCs w:val="28"/>
        </w:rPr>
        <w:t>鹤城区商务局</w:t>
      </w:r>
      <w:r>
        <w:rPr>
          <w:rFonts w:hint="eastAsia"/>
          <w:b/>
          <w:sz w:val="28"/>
          <w:szCs w:val="28"/>
          <w:lang w:val="en-US" w:eastAsia="zh-CN"/>
        </w:rPr>
        <w:t>单位</w:t>
      </w:r>
      <w:r>
        <w:rPr>
          <w:rFonts w:hint="eastAsia"/>
          <w:b/>
          <w:sz w:val="28"/>
          <w:szCs w:val="28"/>
        </w:rPr>
        <w:t>概况</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2"/>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2"/>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2"/>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2"/>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2"/>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hint="eastAsia"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r>
        <w:br w:type="page"/>
      </w:r>
    </w:p>
    <w:p>
      <w:pPr>
        <w:pStyle w:val="2"/>
        <w:ind w:left="0" w:leftChars="0" w:firstLine="0" w:firstLineChars="0"/>
      </w:pP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2"/>
        <w:jc w:val="center"/>
        <w:rPr>
          <w:sz w:val="84"/>
          <w:szCs w:val="84"/>
        </w:rPr>
      </w:pPr>
      <w:r>
        <w:rPr>
          <w:rFonts w:hint="eastAsia"/>
          <w:sz w:val="84"/>
          <w:szCs w:val="84"/>
        </w:rPr>
        <w:t>第一部分</w:t>
      </w:r>
    </w:p>
    <w:p>
      <w:pPr>
        <w:pStyle w:val="12"/>
        <w:jc w:val="center"/>
        <w:rPr>
          <w:sz w:val="84"/>
          <w:szCs w:val="84"/>
        </w:rPr>
      </w:pPr>
    </w:p>
    <w:p>
      <w:pPr>
        <w:pStyle w:val="12"/>
        <w:jc w:val="center"/>
        <w:rPr>
          <w:rFonts w:hint="eastAsia"/>
          <w:sz w:val="84"/>
          <w:szCs w:val="84"/>
        </w:rPr>
      </w:pPr>
      <w:r>
        <w:rPr>
          <w:rFonts w:hint="eastAsia"/>
          <w:sz w:val="84"/>
          <w:szCs w:val="84"/>
          <w:lang w:val="en-US" w:eastAsia="zh-CN"/>
        </w:rPr>
        <w:t>怀化市</w:t>
      </w:r>
      <w:r>
        <w:rPr>
          <w:rFonts w:hint="eastAsia"/>
          <w:sz w:val="84"/>
          <w:szCs w:val="84"/>
        </w:rPr>
        <w:t>鹤城区商务局</w:t>
      </w:r>
    </w:p>
    <w:p>
      <w:pPr>
        <w:pStyle w:val="12"/>
        <w:jc w:val="center"/>
        <w:rPr>
          <w:sz w:val="84"/>
          <w:szCs w:val="84"/>
        </w:rPr>
      </w:pPr>
      <w:r>
        <w:rPr>
          <w:rFonts w:hint="eastAsia"/>
          <w:sz w:val="84"/>
          <w:szCs w:val="84"/>
          <w:lang w:val="en-US" w:eastAsia="zh-CN"/>
        </w:rPr>
        <w:t>单位</w:t>
      </w:r>
      <w:r>
        <w:rPr>
          <w:rFonts w:hint="eastAsia"/>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3"/>
        <w:ind w:left="0" w:leftChars="0" w:firstLine="0" w:firstLineChars="0"/>
        <w:jc w:val="left"/>
        <w:rPr>
          <w:rFonts w:ascii="黑体" w:hAnsi="黑体" w:eastAsia="黑体"/>
          <w:sz w:val="32"/>
          <w:szCs w:val="32"/>
        </w:rPr>
      </w:pPr>
    </w:p>
    <w:p>
      <w:pPr>
        <w:pStyle w:val="13"/>
        <w:numPr>
          <w:ilvl w:val="0"/>
          <w:numId w:val="0"/>
        </w:numPr>
        <w:jc w:val="left"/>
        <w:rPr>
          <w:rFonts w:ascii="黑体" w:hAnsi="黑体" w:eastAsia="黑体"/>
          <w:sz w:val="32"/>
          <w:szCs w:val="32"/>
        </w:rPr>
      </w:pPr>
    </w:p>
    <w:p>
      <w:pPr>
        <w:pStyle w:val="13"/>
        <w:numPr>
          <w:ilvl w:val="0"/>
          <w:numId w:val="0"/>
        </w:numPr>
        <w:jc w:val="left"/>
        <w:rPr>
          <w:rFonts w:ascii="黑体" w:hAnsi="黑体" w:eastAsia="黑体"/>
          <w:sz w:val="32"/>
          <w:szCs w:val="32"/>
        </w:rPr>
      </w:pPr>
      <w:r>
        <w:rPr>
          <w:rFonts w:hint="eastAsia" w:ascii="黑体" w:hAnsi="黑体" w:eastAsia="黑体"/>
          <w:sz w:val="32"/>
          <w:szCs w:val="32"/>
          <w:lang w:val="en-US" w:eastAsia="zh-CN"/>
        </w:rPr>
        <w:t>一、</w:t>
      </w:r>
      <w:r>
        <w:rPr>
          <w:rFonts w:ascii="黑体" w:hAnsi="黑体" w:eastAsia="黑体"/>
          <w:sz w:val="32"/>
          <w:szCs w:val="32"/>
        </w:rPr>
        <w:t>部门职责</w:t>
      </w:r>
    </w:p>
    <w:p>
      <w:pPr>
        <w:ind w:firstLine="640" w:firstLineChars="200"/>
        <w:jc w:val="left"/>
        <w:rPr>
          <w:rFonts w:hint="eastAsia" w:eastAsia="宋体" w:asciiTheme="minorEastAsia" w:hAnsiTheme="minorEastAsia"/>
          <w:sz w:val="32"/>
          <w:szCs w:val="32"/>
          <w:lang w:eastAsia="zh-CN"/>
        </w:rPr>
      </w:pPr>
      <w:r>
        <w:rPr>
          <w:rFonts w:hint="eastAsia" w:asciiTheme="minorEastAsia" w:hAnsiTheme="minorEastAsia"/>
          <w:sz w:val="32"/>
          <w:szCs w:val="32"/>
        </w:rPr>
        <w:t>（一）</w:t>
      </w:r>
      <w:r>
        <w:rPr>
          <w:rFonts w:hint="eastAsia" w:asciiTheme="minorEastAsia" w:hAnsiTheme="minorEastAsia"/>
          <w:sz w:val="32"/>
          <w:szCs w:val="32"/>
          <w:lang w:val="en-US" w:eastAsia="zh-CN"/>
        </w:rPr>
        <w:t>怀化市</w:t>
      </w:r>
      <w:r>
        <w:rPr>
          <w:rFonts w:hint="eastAsia" w:ascii="宋体" w:hAnsi="宋体" w:eastAsia="宋体" w:cs="宋体"/>
          <w:sz w:val="32"/>
          <w:szCs w:val="32"/>
        </w:rPr>
        <w:t>鹤城区商务局是全额拨款的行政单位</w:t>
      </w:r>
      <w:r>
        <w:rPr>
          <w:rFonts w:hint="eastAsia" w:ascii="宋体" w:hAnsi="宋体" w:eastAsia="宋体" w:cs="宋体"/>
          <w:sz w:val="32"/>
          <w:szCs w:val="32"/>
          <w:lang w:eastAsia="zh-CN"/>
        </w:rPr>
        <w:t>；</w:t>
      </w:r>
    </w:p>
    <w:p>
      <w:pPr>
        <w:spacing w:line="520" w:lineRule="exact"/>
        <w:ind w:firstLine="640"/>
        <w:rPr>
          <w:rFonts w:ascii="宋体" w:hAnsi="宋体" w:eastAsia="宋体" w:cs="宋体"/>
          <w:kern w:val="0"/>
          <w:sz w:val="32"/>
          <w:szCs w:val="32"/>
        </w:rPr>
      </w:pPr>
      <w:r>
        <w:rPr>
          <w:rFonts w:hint="eastAsia" w:asciiTheme="minorEastAsia" w:hAnsiTheme="minorEastAsia"/>
          <w:sz w:val="32"/>
          <w:szCs w:val="32"/>
        </w:rPr>
        <w:t>（二）</w:t>
      </w:r>
      <w:r>
        <w:rPr>
          <w:rFonts w:hint="eastAsia" w:ascii="宋体" w:hAnsi="宋体" w:eastAsia="宋体" w:cs="宋体"/>
          <w:sz w:val="32"/>
          <w:szCs w:val="32"/>
        </w:rPr>
        <w:t>主要工作职责：制定我区国内外贸易、招商引资、承接产业转移、对外投资和对外经济合作的政策措施和实施办法指导流通企业改革，促进商贸服务业和社区商业发展促进城乡市场发展、承担组织实施重要消费品市场调控和重要生产资料（成品油）流通管理的责任、承担会展业促进与管理有关工作、负责商贸行业安全生产监督管理工作。</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ind w:firstLine="640" w:firstLineChars="200"/>
        <w:rPr>
          <w:rFonts w:ascii="宋体" w:hAnsi="宋体" w:eastAsia="宋体" w:cs="宋体"/>
          <w:sz w:val="32"/>
        </w:rPr>
      </w:pPr>
      <w:r>
        <w:rPr>
          <w:rFonts w:hint="eastAsia" w:asciiTheme="minorEastAsia" w:hAnsiTheme="minorEastAsia"/>
          <w:bCs/>
          <w:kern w:val="0"/>
          <w:sz w:val="32"/>
          <w:szCs w:val="32"/>
        </w:rPr>
        <w:t>（一）内设机构设置。</w:t>
      </w:r>
      <w:r>
        <w:rPr>
          <w:rFonts w:hint="eastAsia" w:ascii="宋体" w:hAnsi="宋体" w:eastAsia="宋体" w:cs="宋体"/>
          <w:bCs/>
          <w:kern w:val="0"/>
          <w:sz w:val="32"/>
          <w:szCs w:val="32"/>
        </w:rPr>
        <w:t>区商务局内设机构包括：8</w:t>
      </w:r>
      <w:r>
        <w:rPr>
          <w:rFonts w:hint="eastAsia" w:ascii="宋体" w:hAnsi="宋体" w:eastAsia="宋体" w:cs="宋体"/>
          <w:sz w:val="32"/>
          <w:szCs w:val="32"/>
        </w:rPr>
        <w:t>个职能股室：</w:t>
      </w:r>
      <w:r>
        <w:rPr>
          <w:rFonts w:hint="eastAsia" w:ascii="宋体" w:hAnsi="宋体" w:eastAsia="宋体" w:cs="宋体"/>
          <w:sz w:val="32"/>
        </w:rPr>
        <w:t>办公室（人事股）</w:t>
      </w:r>
      <w:r>
        <w:rPr>
          <w:rFonts w:hint="eastAsia" w:ascii="宋体" w:hAnsi="宋体" w:eastAsia="宋体" w:cs="宋体"/>
          <w:sz w:val="32"/>
          <w:szCs w:val="32"/>
        </w:rPr>
        <w:t>、财务股、</w:t>
      </w:r>
      <w:r>
        <w:rPr>
          <w:rFonts w:hint="eastAsia" w:ascii="宋体" w:hAnsi="宋体" w:eastAsia="宋体" w:cs="宋体"/>
          <w:sz w:val="32"/>
        </w:rPr>
        <w:t>政策法规和市场秩序股（行政审批股）</w:t>
      </w:r>
      <w:r>
        <w:rPr>
          <w:rFonts w:hint="eastAsia" w:ascii="宋体" w:hAnsi="宋体" w:eastAsia="宋体" w:cs="宋体"/>
          <w:sz w:val="32"/>
          <w:szCs w:val="32"/>
        </w:rPr>
        <w:t>、</w:t>
      </w:r>
      <w:r>
        <w:rPr>
          <w:rFonts w:hint="eastAsia" w:ascii="宋体" w:hAnsi="宋体" w:eastAsia="宋体" w:cs="宋体"/>
          <w:sz w:val="32"/>
        </w:rPr>
        <w:t>市场运行和商贸服务业股、市场体系建设股、流通业发展股（电子商务局股）、对外贸易和对外经济合作股、招商联络和投资促进股。</w:t>
      </w:r>
    </w:p>
    <w:p>
      <w:pPr>
        <w:widowControl/>
        <w:spacing w:line="600" w:lineRule="exact"/>
        <w:ind w:firstLine="640" w:firstLineChars="200"/>
        <w:rPr>
          <w:rFonts w:ascii="宋体" w:hAnsi="宋体" w:eastAsia="宋体" w:cs="宋体"/>
          <w:bCs/>
          <w:kern w:val="0"/>
          <w:sz w:val="32"/>
          <w:szCs w:val="32"/>
        </w:rPr>
      </w:pPr>
      <w:r>
        <w:rPr>
          <w:rFonts w:hint="eastAsia" w:asciiTheme="minorEastAsia" w:hAnsiTheme="minorEastAsia"/>
          <w:bCs/>
          <w:kern w:val="0"/>
          <w:sz w:val="32"/>
          <w:szCs w:val="32"/>
        </w:rPr>
        <w:t>（二）决算单位构成。鹤城区商务局</w:t>
      </w:r>
      <w:r>
        <w:rPr>
          <w:rFonts w:asciiTheme="minorEastAsia" w:hAnsiTheme="minorEastAsia"/>
          <w:bCs/>
          <w:kern w:val="0"/>
          <w:sz w:val="32"/>
          <w:szCs w:val="32"/>
        </w:rPr>
        <w:t>20</w:t>
      </w:r>
      <w:r>
        <w:rPr>
          <w:rFonts w:hint="eastAsia" w:asciiTheme="minorEastAsia" w:hAnsiTheme="minorEastAsia"/>
          <w:bCs/>
          <w:kern w:val="0"/>
          <w:sz w:val="32"/>
          <w:szCs w:val="32"/>
        </w:rPr>
        <w:t>21年部门决算汇总公开单位构成</w:t>
      </w:r>
      <w:r>
        <w:rPr>
          <w:rFonts w:hint="eastAsia" w:ascii="宋体" w:hAnsi="宋体" w:eastAsia="宋体" w:cs="宋体"/>
          <w:bCs/>
          <w:kern w:val="0"/>
          <w:sz w:val="32"/>
          <w:szCs w:val="32"/>
          <w:lang w:val="en-US" w:eastAsia="zh-CN"/>
        </w:rPr>
        <w:t>包括：</w:t>
      </w:r>
      <w:r>
        <w:rPr>
          <w:rFonts w:hint="eastAsia" w:asciiTheme="minorEastAsia" w:hAnsiTheme="minorEastAsia"/>
          <w:bCs/>
          <w:kern w:val="0"/>
          <w:sz w:val="32"/>
          <w:szCs w:val="32"/>
        </w:rPr>
        <w:t>鹤城区商务局</w:t>
      </w:r>
      <w:r>
        <w:rPr>
          <w:rFonts w:hint="eastAsia" w:asciiTheme="minorEastAsia" w:hAnsiTheme="minorEastAsia"/>
          <w:bCs/>
          <w:kern w:val="0"/>
          <w:sz w:val="32"/>
          <w:szCs w:val="32"/>
          <w:lang w:val="en-US" w:eastAsia="zh-CN"/>
        </w:rPr>
        <w:t>本级</w:t>
      </w:r>
      <w:r>
        <w:rPr>
          <w:rFonts w:hint="eastAsia" w:ascii="宋体" w:hAnsi="宋体" w:eastAsia="宋体" w:cs="宋体"/>
          <w:bCs/>
          <w:kern w:val="0"/>
          <w:sz w:val="32"/>
          <w:szCs w:val="32"/>
        </w:rPr>
        <w:t>。</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jc w:val="center"/>
        <w:rPr>
          <w:rFonts w:hint="eastAsia"/>
          <w:sz w:val="84"/>
          <w:szCs w:val="84"/>
        </w:rPr>
      </w:pPr>
    </w:p>
    <w:p>
      <w:pPr>
        <w:pStyle w:val="12"/>
        <w:jc w:val="center"/>
        <w:rPr>
          <w:rFonts w:hint="eastAsia"/>
          <w:sz w:val="84"/>
          <w:szCs w:val="84"/>
        </w:rPr>
      </w:pPr>
    </w:p>
    <w:p>
      <w:pPr>
        <w:pStyle w:val="12"/>
        <w:jc w:val="center"/>
        <w:rPr>
          <w:rFonts w:hint="eastAsia"/>
          <w:sz w:val="84"/>
          <w:szCs w:val="84"/>
        </w:rPr>
      </w:pPr>
    </w:p>
    <w:p>
      <w:pPr>
        <w:pStyle w:val="12"/>
        <w:jc w:val="center"/>
        <w:rPr>
          <w:rFonts w:hint="eastAsia"/>
          <w:sz w:val="84"/>
          <w:szCs w:val="84"/>
        </w:rPr>
      </w:pPr>
      <w:r>
        <w:rPr>
          <w:rFonts w:hint="eastAsia"/>
          <w:sz w:val="84"/>
          <w:szCs w:val="84"/>
        </w:rPr>
        <w:t>第二部分</w:t>
      </w:r>
    </w:p>
    <w:p>
      <w:pPr>
        <w:pStyle w:val="12"/>
        <w:jc w:val="center"/>
        <w:rPr>
          <w:rFonts w:hint="eastAsia"/>
          <w:sz w:val="84"/>
          <w:szCs w:val="84"/>
        </w:rPr>
      </w:pPr>
    </w:p>
    <w:p>
      <w:pPr>
        <w:pStyle w:val="12"/>
        <w:jc w:val="center"/>
        <w:rPr>
          <w:sz w:val="72"/>
          <w:szCs w:val="72"/>
        </w:rPr>
      </w:pPr>
      <w:r>
        <w:rPr>
          <w:rFonts w:hint="eastAsia"/>
          <w:sz w:val="84"/>
          <w:szCs w:val="84"/>
        </w:rPr>
        <w:t>部门决算表</w:t>
      </w:r>
      <w:r>
        <w:rPr>
          <w:rFonts w:hint="eastAsia"/>
          <w:sz w:val="84"/>
          <w:szCs w:val="84"/>
        </w:rPr>
        <w:br w:type="textWrapping"/>
      </w:r>
      <w:r>
        <w:rPr>
          <w:rFonts w:hint="eastAsia"/>
          <w:sz w:val="84"/>
          <w:szCs w:val="84"/>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2"/>
        <w:rPr>
          <w:sz w:val="72"/>
          <w:szCs w:val="72"/>
        </w:rPr>
      </w:pPr>
    </w:p>
    <w:p>
      <w:pPr>
        <w:pStyle w:val="12"/>
        <w:rPr>
          <w:sz w:val="72"/>
          <w:szCs w:val="72"/>
        </w:rPr>
      </w:pPr>
    </w:p>
    <w:p>
      <w:pPr>
        <w:pStyle w:val="12"/>
        <w:rPr>
          <w:sz w:val="72"/>
          <w:szCs w:val="72"/>
        </w:rPr>
      </w:pPr>
    </w:p>
    <w:p>
      <w:pPr>
        <w:pStyle w:val="12"/>
        <w:rPr>
          <w:sz w:val="72"/>
          <w:szCs w:val="72"/>
        </w:rPr>
      </w:pPr>
    </w:p>
    <w:p>
      <w:pPr>
        <w:pStyle w:val="12"/>
        <w:jc w:val="center"/>
        <w:rPr>
          <w:sz w:val="72"/>
          <w:szCs w:val="72"/>
        </w:rPr>
      </w:pPr>
    </w:p>
    <w:p>
      <w:pPr>
        <w:pStyle w:val="12"/>
        <w:jc w:val="center"/>
        <w:rPr>
          <w:sz w:val="72"/>
          <w:szCs w:val="72"/>
        </w:rPr>
      </w:pPr>
    </w:p>
    <w:p>
      <w:pPr>
        <w:pStyle w:val="12"/>
        <w:jc w:val="center"/>
        <w:rPr>
          <w:rFonts w:hint="eastAsia"/>
          <w:sz w:val="84"/>
          <w:szCs w:val="84"/>
        </w:rPr>
      </w:pPr>
      <w:r>
        <w:rPr>
          <w:rFonts w:hint="eastAsia"/>
          <w:sz w:val="84"/>
          <w:szCs w:val="84"/>
        </w:rPr>
        <w:t>第三部分</w:t>
      </w:r>
    </w:p>
    <w:p>
      <w:pPr>
        <w:pStyle w:val="12"/>
        <w:jc w:val="center"/>
        <w:rPr>
          <w:rFonts w:hint="eastAsia"/>
          <w:sz w:val="84"/>
          <w:szCs w:val="84"/>
        </w:rPr>
      </w:pPr>
    </w:p>
    <w:p>
      <w:pPr>
        <w:pStyle w:val="12"/>
        <w:jc w:val="center"/>
        <w:rPr>
          <w:sz w:val="70"/>
          <w:szCs w:val="70"/>
        </w:rPr>
      </w:pPr>
      <w:r>
        <w:rPr>
          <w:rFonts w:hint="eastAsia"/>
          <w:sz w:val="84"/>
          <w:szCs w:val="84"/>
        </w:rPr>
        <w:t>2021年度部门决算情况说明</w:t>
      </w:r>
    </w:p>
    <w:p>
      <w:pPr>
        <w:widowControl/>
        <w:jc w:val="left"/>
        <w:rPr>
          <w:rFonts w:ascii="黑体" w:eastAsia="黑体" w:cs="黑体"/>
          <w:color w:val="000000"/>
          <w:kern w:val="0"/>
          <w:sz w:val="70"/>
          <w:szCs w:val="70"/>
        </w:rPr>
      </w:pPr>
      <w:r>
        <w:rPr>
          <w:sz w:val="70"/>
          <w:szCs w:val="70"/>
        </w:rPr>
        <w:br w:type="page"/>
      </w:r>
    </w:p>
    <w:p>
      <w:pPr>
        <w:pStyle w:val="12"/>
        <w:rPr>
          <w:rFonts w:asciiTheme="minorEastAsia" w:hAnsiTheme="minorEastAsia" w:eastAsiaTheme="minorEastAsia"/>
          <w:sz w:val="32"/>
          <w:szCs w:val="32"/>
        </w:rPr>
      </w:pPr>
    </w:p>
    <w:p>
      <w:pPr>
        <w:pStyle w:val="12"/>
        <w:rPr>
          <w:rFonts w:hAnsi="黑体"/>
          <w:b/>
          <w:sz w:val="32"/>
          <w:szCs w:val="32"/>
        </w:rPr>
      </w:pPr>
      <w:r>
        <w:rPr>
          <w:rFonts w:hint="eastAsia" w:hAnsi="黑体"/>
          <w:b/>
          <w:sz w:val="32"/>
          <w:szCs w:val="32"/>
        </w:rPr>
        <w:t>一、收入支出决算总体情况说明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2021年度收入合计921.76万元。与上年相比，减少266.54万元，减少22.43%，主要是因为减少了项目经费的开支。</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2021年度支出合计921.76万元。与上年相比，减少266.54万元，减少22.43%，主要是因为减少了项目经费的开支。</w:t>
      </w:r>
    </w:p>
    <w:p>
      <w:pPr>
        <w:pStyle w:val="12"/>
        <w:rPr>
          <w:rFonts w:hAnsi="黑体"/>
          <w:b/>
          <w:sz w:val="32"/>
          <w:szCs w:val="32"/>
        </w:rPr>
      </w:pPr>
      <w:r>
        <w:rPr>
          <w:rFonts w:hint="eastAsia" w:hAnsi="黑体"/>
          <w:b/>
          <w:sz w:val="32"/>
          <w:szCs w:val="32"/>
        </w:rPr>
        <w:t>二、收入决算情况说明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2021年度收入合计921.76万元，其中：财政拨款收入921.76万元，占100%；上级补助收入0万元，占0%；事业收入0万元，占0%；经营收入0万元，占0%；附属单位上缴收入0万元，占0%；其他收入0万元，占0%。</w:t>
      </w:r>
    </w:p>
    <w:p>
      <w:pPr>
        <w:pStyle w:val="12"/>
        <w:rPr>
          <w:rFonts w:hAnsi="黑体"/>
          <w:b/>
          <w:sz w:val="32"/>
          <w:szCs w:val="32"/>
        </w:rPr>
      </w:pPr>
      <w:r>
        <w:rPr>
          <w:rFonts w:hint="eastAsia" w:hAnsi="黑体"/>
          <w:b/>
          <w:sz w:val="32"/>
          <w:szCs w:val="32"/>
        </w:rPr>
        <w:t>三、支出决算情况说明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2021年度支出合计921.76万元，其中：基本支出410.02万元，占55.52%；项目支出511.74万元，占44.48%；上缴上级支出0万元，占0%；经营支出0万元，占0%；对附属单位补助支出0万元，占0%。</w:t>
      </w:r>
    </w:p>
    <w:p>
      <w:pPr>
        <w:pStyle w:val="12"/>
        <w:rPr>
          <w:rFonts w:hAnsi="黑体"/>
          <w:b/>
          <w:sz w:val="32"/>
          <w:szCs w:val="32"/>
        </w:rPr>
      </w:pPr>
      <w:r>
        <w:rPr>
          <w:rFonts w:hint="eastAsia" w:hAnsi="黑体"/>
          <w:b/>
          <w:sz w:val="32"/>
          <w:szCs w:val="32"/>
        </w:rPr>
        <w:t>四、财政拨款收入支出决算总体情况说明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2021年度财政拨款收入合计921.76万元。与上年相比，减少266.54万元，减少22.43%，主要是因为减少了项目经费的开支。</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2021年度财政拨款支出合计921.76万元。与上年相比，</w:t>
      </w:r>
      <w:r>
        <w:rPr>
          <w:rFonts w:hint="eastAsia" w:asciiTheme="minorEastAsia" w:hAnsiTheme="minorEastAsia" w:eastAsiaTheme="minorEastAsia"/>
          <w:sz w:val="32"/>
          <w:szCs w:val="32"/>
          <w:lang w:val="en-US" w:eastAsia="zh-CN"/>
        </w:rPr>
        <w:t>减</w:t>
      </w:r>
      <w:r>
        <w:rPr>
          <w:rFonts w:hint="eastAsia" w:asciiTheme="minorEastAsia" w:hAnsiTheme="minorEastAsia" w:eastAsiaTheme="minorEastAsia"/>
          <w:sz w:val="32"/>
          <w:szCs w:val="32"/>
        </w:rPr>
        <w:t>少266.54万元，减少22.43%，主要是因为减少了项目经费的开支。</w:t>
      </w:r>
    </w:p>
    <w:p>
      <w:pPr>
        <w:pStyle w:val="12"/>
        <w:rPr>
          <w:rFonts w:hAnsi="黑体"/>
          <w:b/>
          <w:sz w:val="32"/>
          <w:szCs w:val="32"/>
        </w:rPr>
      </w:pPr>
      <w:r>
        <w:rPr>
          <w:rFonts w:hint="eastAsia" w:hAnsi="黑体"/>
          <w:b/>
          <w:sz w:val="32"/>
          <w:szCs w:val="32"/>
        </w:rPr>
        <w:t>五、一般公共预算财政拨款支出决算情况说明</w:t>
      </w:r>
    </w:p>
    <w:p>
      <w:pPr>
        <w:pStyle w:val="12"/>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2021年度财政拨款支出921.76万元，占本年支出合计的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%，与上年相比，财政拨款支出减少266.54万元，减少22.43%，主要是因为减少了项目经费的开支。</w:t>
      </w:r>
    </w:p>
    <w:p>
      <w:pPr>
        <w:pStyle w:val="12"/>
        <w:ind w:firstLine="800" w:firstLineChars="250"/>
        <w:rPr>
          <w:rFonts w:asciiTheme="minorEastAsia" w:hAnsiTheme="minorEastAsia" w:eastAsiaTheme="minorEastAsia"/>
          <w:sz w:val="32"/>
          <w:szCs w:val="32"/>
        </w:rPr>
      </w:pPr>
    </w:p>
    <w:p>
      <w:pPr>
        <w:pStyle w:val="12"/>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921.76万元，主要用于以下方面：一般公共服务（类）支出408.29万元，占44.29%；科学技术支出（类）支出27万元，占2.93%;社会保障和就业（类）支出309.6万元，占33.59%;卫生健康（类）支出16.3万元，占1.77%; 农林水（类）支出13.58万元，占1.47%;资源勘探工业信息等（类）支出 20万元，占2.17%;商业服务业等（类）支出124.99万元，占13.56%;灾害防治及应急管理（类）支出2万元，占0.22%。</w:t>
      </w:r>
    </w:p>
    <w:p>
      <w:pPr>
        <w:pStyle w:val="12"/>
        <w:ind w:firstLine="320" w:firstLineChars="10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2021年度财政拨款支出年初预算数为747.05万元，支出决算数为921.76万元，完成年初预算的100%，其中：</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1、一般公共服务支出（类）统计信息事务（款）其他统计信息事务支出（项）。</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年初预算为0万元，支出决算为9万元，无法计算完成比率，决算数大于年初预算数的主要原因是：增加了统计业务经费的支出；</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2、一般公共服务支出（类）商贸事务（款）行政运行（项）。</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年初预算为242.80万元，支出决算为294.79万元，完成年初预算</w:t>
      </w:r>
      <w:r>
        <w:rPr>
          <w:rFonts w:hint="eastAsia" w:asciiTheme="minorEastAsia" w:hAnsiTheme="minorEastAsia" w:eastAsiaTheme="minorEastAsia"/>
          <w:sz w:val="32"/>
          <w:szCs w:val="32"/>
          <w:highlight w:val="none"/>
        </w:rPr>
        <w:t>的</w:t>
      </w:r>
      <w:r>
        <w:rPr>
          <w:rFonts w:hint="eastAsia" w:asciiTheme="minorEastAsia" w:hAnsiTheme="minorEastAsia" w:eastAsiaTheme="minorEastAsia"/>
          <w:sz w:val="32"/>
          <w:szCs w:val="32"/>
          <w:highlight w:val="none"/>
          <w:lang w:val="en-US" w:eastAsia="zh-CN"/>
        </w:rPr>
        <w:t>121.41</w:t>
      </w:r>
      <w:r>
        <w:rPr>
          <w:rFonts w:hint="eastAsia" w:asciiTheme="minorEastAsia" w:hAnsiTheme="minorEastAsia" w:eastAsiaTheme="minorEastAsia"/>
          <w:sz w:val="32"/>
          <w:szCs w:val="32"/>
          <w:highlight w:val="none"/>
        </w:rPr>
        <w:t>%</w:t>
      </w:r>
      <w:r>
        <w:rPr>
          <w:rFonts w:hint="eastAsia" w:asciiTheme="minorEastAsia" w:hAnsiTheme="minorEastAsia" w:eastAsiaTheme="minorEastAsia"/>
          <w:sz w:val="32"/>
          <w:szCs w:val="32"/>
        </w:rPr>
        <w:t>，决算数小于年初预算数的主要原因是：增加了人员的开支；</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3、一般公共服务支出（类）商贸事务（款）一般行政管理事务（项）。</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年初预算为295.34万元，支出决算为5万元，完成年初预算的</w:t>
      </w:r>
      <w:r>
        <w:rPr>
          <w:rFonts w:hint="eastAsia" w:asciiTheme="minorEastAsia" w:hAnsiTheme="minorEastAsia" w:eastAsiaTheme="minorEastAsia"/>
          <w:sz w:val="32"/>
          <w:szCs w:val="32"/>
          <w:highlight w:val="none"/>
          <w:lang w:val="en-US" w:eastAsia="zh-CN"/>
        </w:rPr>
        <w:t>1.69</w:t>
      </w:r>
      <w:r>
        <w:rPr>
          <w:rFonts w:hint="eastAsia" w:asciiTheme="minorEastAsia" w:hAnsiTheme="minorEastAsia" w:eastAsiaTheme="minorEastAsia"/>
          <w:sz w:val="32"/>
          <w:szCs w:val="32"/>
          <w:highlight w:val="none"/>
        </w:rPr>
        <w:t>%</w:t>
      </w:r>
      <w:r>
        <w:rPr>
          <w:rFonts w:hint="eastAsia" w:asciiTheme="minorEastAsia" w:hAnsiTheme="minorEastAsia" w:eastAsiaTheme="minorEastAsia"/>
          <w:sz w:val="32"/>
          <w:szCs w:val="32"/>
        </w:rPr>
        <w:t>，决算数小于年初预算数的主要原因是：专项业务经费的减少；</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4、一般公共服务支出（类）商贸事务（款）招商引资（项）。</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年初预算为129.50万元，支出决算为65万元，完成年初预算的</w:t>
      </w:r>
      <w:r>
        <w:rPr>
          <w:rFonts w:hint="eastAsia" w:asciiTheme="minorEastAsia" w:hAnsiTheme="minorEastAsia" w:eastAsiaTheme="minorEastAsia"/>
          <w:sz w:val="32"/>
          <w:szCs w:val="32"/>
          <w:highlight w:val="none"/>
          <w:lang w:val="en-US" w:eastAsia="zh-CN"/>
        </w:rPr>
        <w:t>50.19</w:t>
      </w:r>
      <w:r>
        <w:rPr>
          <w:rFonts w:hint="eastAsia" w:asciiTheme="minorEastAsia" w:hAnsiTheme="minorEastAsia" w:eastAsiaTheme="minorEastAsia"/>
          <w:sz w:val="32"/>
          <w:szCs w:val="32"/>
          <w:highlight w:val="none"/>
        </w:rPr>
        <w:t>%</w:t>
      </w:r>
      <w:r>
        <w:rPr>
          <w:rFonts w:hint="eastAsia" w:asciiTheme="minorEastAsia" w:hAnsiTheme="minorEastAsia" w:eastAsiaTheme="minorEastAsia"/>
          <w:sz w:val="32"/>
          <w:szCs w:val="32"/>
        </w:rPr>
        <w:t>，决算数小于年初预算数的主要原因是：专项业务经费的减少；</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5、一般公共服务支出（类）商贸事务（款）其他商贸事务支出（项）。</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年初预算为0万元，支出决算为34.5万元，无法计算完成比率，决算数大于年初预算数的主要原因是：专项业务经费的增加；</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6、科学技术支出（类）其他科学技术支出（款）其他科学技术支出（项）。</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年初预算为0万元，支出决算为27万元，无法计算完成比率，决算数大于年初预算数的主要原因是：增加了企业奖励经费；</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7、社会保障和就业支出（类）行政事业单位养老支出（款）行政单位离退休（项）。</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年初预算为10.63万元，支出决算为42.63万元，完成年初预算的</w:t>
      </w:r>
      <w:r>
        <w:rPr>
          <w:rFonts w:hint="eastAsia" w:asciiTheme="minorEastAsia" w:hAnsiTheme="minorEastAsia" w:eastAsiaTheme="minorEastAsia"/>
          <w:sz w:val="32"/>
          <w:szCs w:val="32"/>
          <w:highlight w:val="none"/>
          <w:lang w:val="en-US" w:eastAsia="zh-CN"/>
        </w:rPr>
        <w:t>401.03</w:t>
      </w:r>
      <w:r>
        <w:rPr>
          <w:rFonts w:hint="eastAsia" w:asciiTheme="minorEastAsia" w:hAnsiTheme="minorEastAsia" w:eastAsiaTheme="minorEastAsia"/>
          <w:sz w:val="32"/>
          <w:szCs w:val="32"/>
          <w:highlight w:val="none"/>
        </w:rPr>
        <w:t>%</w:t>
      </w:r>
      <w:r>
        <w:rPr>
          <w:rFonts w:hint="eastAsia" w:asciiTheme="minorEastAsia" w:hAnsiTheme="minorEastAsia" w:eastAsiaTheme="minorEastAsia"/>
          <w:sz w:val="32"/>
          <w:szCs w:val="32"/>
        </w:rPr>
        <w:t>，决算数大于年初预算数的主要原因是：增加了离退休人员经费；</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8、社会保障和就业支出（类）行政事业单位养老支出（款）机关事业单位基本养老保险缴费支出（项）。</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年初预算为31.91万元，支出决算为33.1万元，完成年初预算的</w:t>
      </w:r>
      <w:r>
        <w:rPr>
          <w:rFonts w:hint="eastAsia" w:asciiTheme="minorEastAsia" w:hAnsiTheme="minorEastAsia" w:eastAsiaTheme="minorEastAsia"/>
          <w:sz w:val="32"/>
          <w:szCs w:val="32"/>
          <w:highlight w:val="none"/>
          <w:lang w:val="en-US" w:eastAsia="zh-CN"/>
        </w:rPr>
        <w:t>103.72</w:t>
      </w:r>
      <w:r>
        <w:rPr>
          <w:rFonts w:hint="eastAsia" w:asciiTheme="minorEastAsia" w:hAnsiTheme="minorEastAsia" w:eastAsiaTheme="minorEastAsia"/>
          <w:sz w:val="32"/>
          <w:szCs w:val="32"/>
          <w:highlight w:val="none"/>
        </w:rPr>
        <w:t>%，</w:t>
      </w:r>
      <w:r>
        <w:rPr>
          <w:rFonts w:hint="eastAsia" w:asciiTheme="minorEastAsia" w:hAnsiTheme="minorEastAsia" w:eastAsiaTheme="minorEastAsia"/>
          <w:sz w:val="32"/>
          <w:szCs w:val="32"/>
        </w:rPr>
        <w:t>决算数大于年初预算数的主要原因是：增加了人员养老保险支出；</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9、社会保障和就业支出（类）企业改革补助（款）企业关闭破产补助（项）。</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年初预算为0万元，支出决算为209.4万元，无法计算完成比率，决算数大于年初预算数的主要原因是：增加了企业改制业务的支出；</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10、社会保障和就业支出（类）就业补助（款）其他就业补助支出（项）。</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年初预算为0万元，支出决算为16.24万元，无法计算完成比率，决算数大于年初预算数的主要原因是：增加了公益性岗位人员的支出；</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、社会保障和就业支出（类）其他社会保障和就业支出（款）其他社会保障和就业支出（项）。</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年初预算为0万元，支出决算为8.22万元，无法计算完成比率，决算数大于年初预算数的主要原因是：增加了改制企业留守人员的支出；</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、卫生健康支出（类）行政事业单位医疗（款）行政单位医疗（项）。</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年初预算为15.95万元，支出决算为16.3万元，完成年初预算的</w:t>
      </w:r>
      <w:r>
        <w:rPr>
          <w:rFonts w:hint="eastAsia" w:asciiTheme="minorEastAsia" w:hAnsiTheme="minorEastAsia" w:eastAsiaTheme="minorEastAsia"/>
          <w:sz w:val="32"/>
          <w:szCs w:val="32"/>
          <w:highlight w:val="none"/>
          <w:lang w:val="en-US" w:eastAsia="zh-CN"/>
        </w:rPr>
        <w:t>102.19</w:t>
      </w:r>
      <w:r>
        <w:rPr>
          <w:rFonts w:hint="eastAsia" w:asciiTheme="minorEastAsia" w:hAnsiTheme="minorEastAsia" w:eastAsiaTheme="minorEastAsia"/>
          <w:sz w:val="32"/>
          <w:szCs w:val="32"/>
        </w:rPr>
        <w:t>%，决算数大于年初预算数的主要原因是：增加了人员医保的支出；</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w:t>
      </w: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、农林水支出（类）扶贫（款）其他扶贫支出（项）。</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年初预算为0万元，支出决算为13.58万元，无法计算完成比率，决算数大于年初预算数的主要原因是：增加了扶贫业务的支出；</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w:t>
      </w: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、资源勘探工业信息等支出（类）工业和信息产业监管（款）产业发展（项）。</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年初预算为0万元，支出决算为20万元，无法计算完成比率，决算数大于年初预算数的主要原因是：增加了产业发展业务的支出；</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w:t>
      </w:r>
      <w:r>
        <w:rPr>
          <w:rFonts w:hint="eastAsia" w:asciiTheme="minorEastAsia" w:hAnsiTheme="minorEastAsia" w:eastAsiaTheme="minorEastAsia"/>
          <w:sz w:val="32"/>
          <w:szCs w:val="32"/>
          <w:lang w:val="en-US" w:eastAsia="zh-CN"/>
        </w:rPr>
        <w:t>5</w:t>
      </w:r>
      <w:r>
        <w:rPr>
          <w:rFonts w:hint="eastAsia" w:asciiTheme="minorEastAsia" w:hAnsiTheme="minorEastAsia" w:eastAsiaTheme="minorEastAsia"/>
          <w:sz w:val="32"/>
          <w:szCs w:val="32"/>
        </w:rPr>
        <w:t>、商业服务业等支出（类）商业流通事务（款）行政运行（项）。</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年初预算为0万元，支出决算为23.19万元，无法计算完成比率，决算数大于年初预算数的主要原因是：增加了专项业务的支出；</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w:t>
      </w:r>
      <w:r>
        <w:rPr>
          <w:rFonts w:hint="eastAsia" w:asciiTheme="minorEastAsia" w:hAnsiTheme="minorEastAsia" w:eastAsiaTheme="minorEastAsia"/>
          <w:sz w:val="32"/>
          <w:szCs w:val="32"/>
          <w:lang w:val="en-US" w:eastAsia="zh-CN"/>
        </w:rPr>
        <w:t>6</w:t>
      </w:r>
      <w:r>
        <w:rPr>
          <w:rFonts w:hint="eastAsia" w:asciiTheme="minorEastAsia" w:hAnsiTheme="minorEastAsia" w:eastAsiaTheme="minorEastAsia"/>
          <w:sz w:val="32"/>
          <w:szCs w:val="32"/>
        </w:rPr>
        <w:t>、商业服务业等支出（类）商业流通事务（款）其他商业流通事务支出（项）。</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年初预算为0万元，支出决算为101.8万元，无法计算完成比率，决算数大于年初预算数的主要原因是：增加了企业补贴的支出；</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w:t>
      </w:r>
      <w:r>
        <w:rPr>
          <w:rFonts w:hint="eastAsia" w:asciiTheme="minorEastAsia" w:hAnsiTheme="minorEastAsia" w:eastAsiaTheme="minorEastAsia"/>
          <w:sz w:val="32"/>
          <w:szCs w:val="32"/>
          <w:lang w:val="en-US" w:eastAsia="zh-CN"/>
        </w:rPr>
        <w:t>7</w:t>
      </w:r>
      <w:r>
        <w:rPr>
          <w:rFonts w:hint="eastAsia" w:asciiTheme="minorEastAsia" w:hAnsiTheme="minorEastAsia" w:eastAsiaTheme="minorEastAsia"/>
          <w:sz w:val="32"/>
          <w:szCs w:val="32"/>
        </w:rPr>
        <w:t>、灾害防治及应急管理支出（类）应急管理事务（款）安全监管（项）。</w:t>
      </w:r>
    </w:p>
    <w:p>
      <w:pPr>
        <w:pStyle w:val="12"/>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年初预算为0万元，支出决算为2万元，无法计算完成比率，决算数大于年初预算数的主要原因是：增加了专项业务的支出</w:t>
      </w:r>
      <w:r>
        <w:rPr>
          <w:rFonts w:hint="eastAsia" w:asciiTheme="minorEastAsia" w:hAnsiTheme="minorEastAsia" w:eastAsiaTheme="minorEastAsia"/>
          <w:sz w:val="32"/>
          <w:szCs w:val="32"/>
          <w:lang w:eastAsia="zh-CN"/>
        </w:rPr>
        <w:t>。</w:t>
      </w:r>
    </w:p>
    <w:p>
      <w:pPr>
        <w:pStyle w:val="12"/>
        <w:ind w:firstLine="800" w:firstLineChars="250"/>
        <w:rPr>
          <w:rFonts w:asciiTheme="minorEastAsia" w:hAnsiTheme="minorEastAsia" w:eastAsiaTheme="minorEastAsia"/>
          <w:sz w:val="32"/>
          <w:szCs w:val="32"/>
        </w:rPr>
      </w:pPr>
    </w:p>
    <w:p>
      <w:pPr>
        <w:pStyle w:val="12"/>
        <w:ind w:firstLine="800" w:firstLineChars="250"/>
        <w:rPr>
          <w:rFonts w:asciiTheme="minorEastAsia" w:hAnsiTheme="minorEastAsia" w:eastAsiaTheme="minorEastAsia"/>
          <w:sz w:val="32"/>
          <w:szCs w:val="32"/>
        </w:rPr>
      </w:pPr>
    </w:p>
    <w:p>
      <w:pPr>
        <w:pStyle w:val="12"/>
        <w:ind w:firstLine="800" w:firstLineChars="250"/>
        <w:rPr>
          <w:rFonts w:asciiTheme="minorEastAsia" w:hAnsiTheme="minorEastAsia" w:eastAsiaTheme="minorEastAsia"/>
          <w:sz w:val="32"/>
          <w:szCs w:val="32"/>
        </w:rPr>
      </w:pPr>
    </w:p>
    <w:p>
      <w:pPr>
        <w:pStyle w:val="12"/>
        <w:ind w:firstLine="800" w:firstLineChars="250"/>
        <w:rPr>
          <w:rFonts w:asciiTheme="minorEastAsia" w:hAnsiTheme="minorEastAsia" w:eastAsiaTheme="minorEastAsia"/>
          <w:sz w:val="32"/>
          <w:szCs w:val="32"/>
        </w:rPr>
      </w:pPr>
    </w:p>
    <w:p>
      <w:pPr>
        <w:pStyle w:val="12"/>
        <w:rPr>
          <w:rFonts w:hAnsi="黑体"/>
          <w:b/>
          <w:sz w:val="32"/>
          <w:szCs w:val="32"/>
        </w:rPr>
      </w:pPr>
      <w:r>
        <w:rPr>
          <w:rFonts w:hint="eastAsia" w:hAnsi="黑体"/>
          <w:b/>
          <w:sz w:val="32"/>
          <w:szCs w:val="32"/>
        </w:rPr>
        <w:t>六、一般公共预算财政拨款基本支出决算情况说明</w:t>
      </w:r>
    </w:p>
    <w:p>
      <w:pPr>
        <w:pStyle w:val="12"/>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410.02万元，其中：人员经费393万元，占基本支出的95.85%,主要包括基本工资、津贴补贴、奖金、伙食补助费、绩效工资、机关事业单位基本养老保险缴费、职工基本医疗保险缴费、其他社会保障缴费、其他工资福利支出、离休费、退休费、抚恤金、救济费、奖励金、代缴社会保险费、其他对个人和家庭的补助；公用经费17.03万元，占基本支出的4.15%，主要包括办公费、印刷费、邮电费、物业管理费、差旅费、维修（护）费、会议费、公务接待费、劳务费、工会经费、福利费。</w:t>
      </w:r>
    </w:p>
    <w:p>
      <w:pPr>
        <w:pStyle w:val="12"/>
        <w:rPr>
          <w:rFonts w:hAnsi="黑体"/>
          <w:b/>
          <w:sz w:val="32"/>
          <w:szCs w:val="32"/>
        </w:rPr>
      </w:pPr>
      <w:r>
        <w:rPr>
          <w:rFonts w:hint="eastAsia" w:hAnsi="黑体"/>
          <w:b/>
          <w:sz w:val="32"/>
          <w:szCs w:val="32"/>
        </w:rPr>
        <w:t>七、一般公共预算财政拨款“三公”经费支出决算情况说明</w:t>
      </w:r>
    </w:p>
    <w:p>
      <w:pPr>
        <w:pStyle w:val="12"/>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2021年度“三公”经费财政拨款支出预算为26.34万元，支出决算为1.7万元，完成预算的0.06%，其中：</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因公出国（境）费支出预算为0万元，支出决算为0万元，因预算金额0万元，无法计算百分比，与上年相比持平。</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26.34万元，支出决算为1.7万元，完成预算的0.06%，决算数小于预算数的主要原因是疫情期间取消大型节会及招商活动；客商接待减少，与上年相比增加0.13万元，增长7.65%,增长的主要原因是接来怀招商企业多于上年。</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公务用车购置费支出预算为0万元，支出决算为0万元，因预算金额0万元，无法计算百分比，与上年相比持平。</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公务用车运行维护费支出预算为0万元，支出决算为0万元，因预算金额0万元，无法计算百分比，与上年相比持平。</w:t>
      </w:r>
    </w:p>
    <w:p>
      <w:pPr>
        <w:pStyle w:val="12"/>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2021年度“三公”经费财政拨款支出决算中，公务接待费支出决算1.7万元，占100%,因公出国（境）费支出决算0万元，占0%,公务用车购置费及运行维护费支出决算0万元，占0%。其中：</w:t>
      </w:r>
    </w:p>
    <w:p>
      <w:pPr>
        <w:pStyle w:val="12"/>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12"/>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2、公务接待费支出决算为1.7万元，全年共接待来访团组12个、来宾122人次，主要是海门市小江食品有限公司、广州新又好集团、广东中人集团、江西武功实业等企业来怀招商发生的接待支出。</w:t>
      </w:r>
    </w:p>
    <w:p>
      <w:pPr>
        <w:keepNext w:val="0"/>
        <w:keepLines w:val="0"/>
        <w:pageBreakBefore w:val="0"/>
        <w:widowControl w:val="0"/>
        <w:kinsoku/>
        <w:wordWrap/>
        <w:overflowPunct/>
        <w:topLinePunct w:val="0"/>
        <w:bidi w:val="0"/>
        <w:snapToGrid/>
        <w:ind w:firstLine="640" w:firstLineChars="200"/>
        <w:textAlignment w:val="auto"/>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3、公务用车购置费及运行维护费支出决算为0万元，其中：公务用车购置费0万元，更新公务用车0辆</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公务用车运行维护费0万元，截止2021年12月31日，我单位开支财政拨款的公务用车保有量为0辆。</w:t>
      </w:r>
    </w:p>
    <w:p>
      <w:pPr>
        <w:pStyle w:val="12"/>
        <w:rPr>
          <w:rFonts w:hAnsi="黑体"/>
          <w:b/>
          <w:sz w:val="32"/>
          <w:szCs w:val="32"/>
        </w:rPr>
      </w:pPr>
      <w:r>
        <w:rPr>
          <w:rFonts w:hint="eastAsia" w:hAnsi="黑体"/>
          <w:b/>
          <w:sz w:val="32"/>
          <w:szCs w:val="32"/>
        </w:rPr>
        <w:t>八、政府性基金预算收入支出决算情况</w:t>
      </w:r>
    </w:p>
    <w:p>
      <w:pPr>
        <w:pStyle w:val="12"/>
        <w:rPr>
          <w:rFonts w:asciiTheme="minorEastAsia" w:hAnsiTheme="minorEastAsia" w:eastAsiaTheme="minorEastAsia"/>
          <w:b/>
          <w:bCs/>
          <w:iCs/>
          <w:color w:val="000000" w:themeColor="text1"/>
          <w:sz w:val="32"/>
          <w:szCs w:val="32"/>
        </w:rPr>
      </w:pPr>
      <w:r>
        <w:rPr>
          <w:rFonts w:hint="eastAsia" w:asciiTheme="minorEastAsia" w:hAnsiTheme="minorEastAsia" w:eastAsiaTheme="minorEastAsia"/>
          <w:sz w:val="32"/>
          <w:szCs w:val="32"/>
        </w:rPr>
        <w:t xml:space="preserve">     2021年度政府性基金预算财政拨款收入0万元；年初结转和结余0万元；支出0万元，其中基本支出0万元，项目支出0万元；年末结转和结余0万元。</w:t>
      </w:r>
    </w:p>
    <w:p>
      <w:pPr>
        <w:pStyle w:val="12"/>
        <w:rPr>
          <w:rFonts w:hAnsi="黑体"/>
          <w:b/>
          <w:sz w:val="32"/>
          <w:szCs w:val="32"/>
        </w:rPr>
      </w:pPr>
      <w:r>
        <w:rPr>
          <w:rFonts w:hint="eastAsia" w:hAnsi="黑体"/>
          <w:b/>
          <w:sz w:val="32"/>
          <w:szCs w:val="32"/>
        </w:rPr>
        <w:t>九、国有资本经营预算财政拨款支出情况</w:t>
      </w:r>
    </w:p>
    <w:p>
      <w:pPr>
        <w:pStyle w:val="12"/>
        <w:rPr>
          <w:rFonts w:asciiTheme="minorEastAsia" w:hAnsiTheme="minorEastAsia" w:eastAsiaTheme="minorEastAsia"/>
          <w:b/>
          <w:bCs/>
          <w:color w:val="0C0C0C" w:themeColor="text1" w:themeTint="F2"/>
          <w:sz w:val="32"/>
          <w:szCs w:val="32"/>
        </w:rPr>
      </w:pPr>
      <w:r>
        <w:rPr>
          <w:rFonts w:hint="eastAsia" w:asciiTheme="minorEastAsia" w:hAnsiTheme="minorEastAsia" w:eastAsiaTheme="minorEastAsia" w:cstheme="minorBidi"/>
          <w:color w:val="auto"/>
          <w:kern w:val="2"/>
          <w:sz w:val="32"/>
          <w:szCs w:val="32"/>
          <w:lang w:val="en-US" w:eastAsia="zh-CN" w:bidi="ar-SA"/>
        </w:rPr>
        <w:t>2021年度国有资本经营预算财政拨款收入0万元；年初结转和结余0万元；支出0万元，其中基本支出0万元，项目支出0万元；年末结转和结余0万元。</w:t>
      </w:r>
      <w:bookmarkStart w:id="0" w:name="_GoBack"/>
      <w:bookmarkEnd w:id="0"/>
    </w:p>
    <w:p>
      <w:pPr>
        <w:pStyle w:val="12"/>
        <w:rPr>
          <w:rFonts w:hAnsi="黑体"/>
          <w:b/>
          <w:sz w:val="32"/>
          <w:szCs w:val="32"/>
        </w:rPr>
      </w:pPr>
      <w:r>
        <w:rPr>
          <w:rFonts w:hint="eastAsia" w:hAnsi="黑体"/>
          <w:b/>
          <w:sz w:val="32"/>
          <w:szCs w:val="32"/>
        </w:rPr>
        <w:t>十、机关运行经费支出说明</w:t>
      </w:r>
    </w:p>
    <w:p>
      <w:pPr>
        <w:pStyle w:val="12"/>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本部门2021年度机关运行经费支出17.03万元，比年初预算数减少了12.52万元，降低42.37%。主要原因是：厉行节约，减少开支。</w:t>
      </w:r>
    </w:p>
    <w:p>
      <w:pPr>
        <w:pStyle w:val="12"/>
        <w:rPr>
          <w:rFonts w:hAnsi="黑体"/>
          <w:b/>
          <w:sz w:val="32"/>
          <w:szCs w:val="32"/>
        </w:rPr>
      </w:pPr>
      <w:r>
        <w:rPr>
          <w:rFonts w:hint="eastAsia" w:hAnsi="黑体"/>
          <w:b/>
          <w:sz w:val="32"/>
          <w:szCs w:val="32"/>
        </w:rPr>
        <w:t>十一、一般性支出情况说明</w:t>
      </w:r>
    </w:p>
    <w:p>
      <w:pPr>
        <w:pStyle w:val="12"/>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2021年本部门开支会议费0.25万元，用于召开商贸企业统计员会议，人数70人，内容为商贸企业统计员统计系统会议；开支培训费0万元，</w:t>
      </w:r>
      <w:r>
        <w:rPr>
          <w:rFonts w:hint="eastAsia" w:asciiTheme="minorEastAsia" w:hAnsiTheme="minorEastAsia" w:eastAsiaTheme="minorEastAsia"/>
          <w:sz w:val="32"/>
          <w:szCs w:val="32"/>
          <w:lang w:val="en-US" w:eastAsia="zh-CN"/>
        </w:rPr>
        <w:t>本年无培训费支出</w:t>
      </w:r>
      <w:r>
        <w:rPr>
          <w:rFonts w:hint="eastAsia" w:asciiTheme="minorEastAsia" w:hAnsiTheme="minorEastAsia" w:eastAsiaTheme="minorEastAsia"/>
          <w:sz w:val="32"/>
          <w:szCs w:val="32"/>
        </w:rPr>
        <w:t>；无举办节庆、晚会、论坛、赛事活动，开支0万元。</w:t>
      </w:r>
    </w:p>
    <w:p>
      <w:pPr>
        <w:pStyle w:val="12"/>
        <w:rPr>
          <w:rFonts w:hAnsi="黑体"/>
          <w:b/>
          <w:sz w:val="32"/>
          <w:szCs w:val="32"/>
        </w:rPr>
      </w:pPr>
      <w:r>
        <w:rPr>
          <w:rFonts w:hint="eastAsia" w:hAnsi="黑体"/>
          <w:b/>
          <w:sz w:val="32"/>
          <w:szCs w:val="32"/>
        </w:rPr>
        <w:t>十二、政府采购支出说明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本部门2021年度政府采购支出总额46.95万元，其中：政府采购货物支出28.37万元、政府采购工程支出0 万元、政府采购服务支出18.58万元。授予中小企业合同金额18.58万元，占政府采购支出总额的39.57%，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100%。</w:t>
      </w:r>
    </w:p>
    <w:p>
      <w:pPr>
        <w:pStyle w:val="12"/>
        <w:rPr>
          <w:rFonts w:hAnsi="黑体"/>
          <w:b/>
          <w:sz w:val="32"/>
          <w:szCs w:val="32"/>
        </w:rPr>
      </w:pPr>
      <w:r>
        <w:rPr>
          <w:rFonts w:hint="eastAsia" w:hAnsi="黑体"/>
          <w:b/>
          <w:sz w:val="32"/>
          <w:szCs w:val="32"/>
        </w:rPr>
        <w:t>十三、国有资产占用情况说明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0辆，其中，主要领导干部用车0辆，机要通信用车0辆、应急保障用车0辆、执法执勤用车0辆、特种专业技术用车0辆、其他用车0辆；单位价值50万元以上通用设备0台（套）；单位价值100万元以上专用设备0台（套）。</w:t>
      </w:r>
    </w:p>
    <w:p>
      <w:pPr>
        <w:pStyle w:val="12"/>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年度一般公共预算项目支出全面开展绩效自评，其中，一级项目1个，二级项目0个，共涉及资金</w:t>
      </w:r>
      <w:r>
        <w:rPr>
          <w:rFonts w:hint="eastAsia" w:ascii="宋体" w:hAnsi="宋体" w:eastAsia="宋体" w:cs="宋体"/>
          <w:sz w:val="32"/>
          <w:szCs w:val="32"/>
        </w:rPr>
        <w:t>511.74</w:t>
      </w:r>
      <w:r>
        <w:rPr>
          <w:rFonts w:hint="eastAsia" w:cs="黑体" w:asciiTheme="minorEastAsia" w:hAnsiTheme="minorEastAsia"/>
          <w:color w:val="000000"/>
          <w:kern w:val="0"/>
          <w:sz w:val="32"/>
          <w:szCs w:val="32"/>
        </w:rPr>
        <w:t>万元，占一般公共预算项目支出总额的55.52</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。本单位无</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年度政府性基金预算项目支。本单位无</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年度国有资本经营预算项目。</w:t>
      </w:r>
    </w:p>
    <w:p>
      <w:pPr>
        <w:widowControl/>
        <w:shd w:val="clear" w:color="auto" w:fill="FFFFFF"/>
        <w:spacing w:line="600" w:lineRule="exact"/>
        <w:ind w:firstLine="640" w:firstLineChars="200"/>
        <w:rPr>
          <w:rFonts w:ascii="宋体" w:hAnsi="宋体" w:eastAsia="宋体" w:cs="宋体"/>
          <w:sz w:val="32"/>
          <w:szCs w:val="32"/>
        </w:rPr>
      </w:pPr>
      <w:r>
        <w:rPr>
          <w:rFonts w:hint="eastAsia" w:ascii="宋体" w:hAnsi="宋体" w:eastAsia="宋体" w:cs="宋体"/>
          <w:sz w:val="32"/>
          <w:szCs w:val="32"/>
        </w:rPr>
        <w:t>2021年度专项资金支出511.74万元（其中：</w:t>
      </w:r>
      <w:r>
        <w:rPr>
          <w:rFonts w:hint="eastAsia" w:ascii="宋体" w:hAnsi="宋体" w:eastAsia="宋体" w:cs="宋体"/>
          <w:spacing w:val="-2"/>
          <w:sz w:val="32"/>
          <w:szCs w:val="32"/>
        </w:rPr>
        <w:t>财政资金</w:t>
      </w:r>
      <w:r>
        <w:rPr>
          <w:rFonts w:hint="eastAsia" w:ascii="宋体" w:hAnsi="宋体" w:eastAsia="宋体" w:cs="宋体"/>
          <w:sz w:val="32"/>
          <w:szCs w:val="32"/>
        </w:rPr>
        <w:t>511.74万元）。主要用于鹤城区辖内市、区重点商贸项目协调与服务，确保全区重点商贸绩效指标完成，重点项目指标的完成。完成全区招商引资指标任务；参加大型招商集会；举行区内招商节会。</w:t>
      </w:r>
    </w:p>
    <w:p>
      <w:pPr>
        <w:widowControl/>
        <w:shd w:val="clear" w:color="auto" w:fill="FFFFFF"/>
        <w:spacing w:line="600" w:lineRule="exact"/>
        <w:ind w:firstLine="640" w:firstLineChars="200"/>
      </w:pPr>
      <w:r>
        <w:rPr>
          <w:rFonts w:hint="eastAsia" w:ascii="宋体" w:hAnsi="宋体" w:eastAsia="宋体" w:cs="宋体"/>
          <w:color w:val="000000"/>
          <w:sz w:val="32"/>
          <w:szCs w:val="32"/>
          <w:shd w:val="clear" w:color="auto" w:fill="FFFFFF"/>
        </w:rPr>
        <w:t>2021年，我局在上级部门的支持与坚强领导下，鹤城区全面或超额完成商贸流通行业考核任务，获全国首批“城市一刻钟便民生活圈”试点城市，德众汽贸成功上市，“数商兴农”先进县市区，国家骨干冷链基地和“港园”加快建设或推进，夯实了2022年稳中有进工作基础条件。</w:t>
      </w:r>
      <w:r>
        <w:rPr>
          <w:rFonts w:hint="eastAsia" w:ascii="宋体" w:hAnsi="宋体" w:eastAsia="宋体" w:cs="宋体"/>
          <w:sz w:val="32"/>
          <w:szCs w:val="32"/>
        </w:rPr>
        <w:t>自评分为96分。</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pStyle w:val="2"/>
        <w:spacing w:line="600" w:lineRule="exact"/>
        <w:ind w:firstLine="640" w:firstLineChars="200"/>
        <w:rPr>
          <w:rFonts w:ascii="宋体" w:hAnsi="宋体" w:eastAsia="宋体" w:cs="宋体"/>
          <w:bCs/>
          <w:sz w:val="32"/>
          <w:szCs w:val="32"/>
        </w:rPr>
      </w:pPr>
      <w:r>
        <w:rPr>
          <w:rFonts w:hint="eastAsia" w:cs="黑体" w:asciiTheme="minorEastAsia" w:hAnsiTheme="minorEastAsia"/>
          <w:kern w:val="0"/>
          <w:sz w:val="32"/>
          <w:szCs w:val="32"/>
        </w:rPr>
        <w:t>商贸专项项目绩效自评综述：根据年初设定的绩效目标，项目绩效自评得分为96分。项目全年预算数为321.5万元，执行数为511.74万元，完成预算的100</w:t>
      </w:r>
      <w:r>
        <w:rPr>
          <w:rFonts w:cs="黑体" w:asciiTheme="minorEastAsia" w:hAnsiTheme="minorEastAsia"/>
          <w:kern w:val="0"/>
          <w:sz w:val="32"/>
          <w:szCs w:val="32"/>
        </w:rPr>
        <w:t>%</w:t>
      </w:r>
      <w:r>
        <w:rPr>
          <w:rFonts w:hint="eastAsia" w:cs="黑体" w:asciiTheme="minorEastAsia" w:hAnsiTheme="minorEastAsia"/>
          <w:kern w:val="0"/>
          <w:sz w:val="32"/>
          <w:szCs w:val="32"/>
        </w:rPr>
        <w:t>。项目绩效目标完成情况：一是消费市场开创新局面，</w:t>
      </w:r>
      <w:r>
        <w:rPr>
          <w:rFonts w:hint="eastAsia" w:ascii="宋体" w:hAnsi="宋体" w:eastAsia="宋体" w:cs="宋体"/>
          <w:color w:val="auto"/>
          <w:sz w:val="32"/>
          <w:szCs w:val="32"/>
        </w:rPr>
        <w:t>全年</w:t>
      </w:r>
      <w:r>
        <w:rPr>
          <w:rFonts w:hint="eastAsia" w:ascii="宋体" w:hAnsi="宋体" w:eastAsia="宋体" w:cs="宋体"/>
          <w:bCs/>
          <w:color w:val="auto"/>
          <w:sz w:val="32"/>
          <w:szCs w:val="32"/>
          <w:shd w:val="clear" w:color="auto" w:fill="FFFFFF"/>
        </w:rPr>
        <w:t>实现社会消费品零售总额294.5亿元（总量全市第一、占比全市42%），增幅约10.5%</w:t>
      </w:r>
      <w:r>
        <w:rPr>
          <w:rFonts w:hint="eastAsia" w:cs="黑体" w:asciiTheme="minorEastAsia" w:hAnsiTheme="minorEastAsia"/>
          <w:kern w:val="0"/>
          <w:sz w:val="32"/>
          <w:szCs w:val="32"/>
        </w:rPr>
        <w:t>；二是</w:t>
      </w:r>
      <w:r>
        <w:rPr>
          <w:rFonts w:hint="eastAsia" w:ascii="宋体" w:hAnsi="宋体" w:eastAsia="宋体" w:cs="宋体"/>
          <w:bCs/>
          <w:color w:val="auto"/>
          <w:sz w:val="32"/>
          <w:szCs w:val="32"/>
          <w:shd w:val="clear" w:color="auto" w:fill="FFFFFF"/>
        </w:rPr>
        <w:t>招商引资创造新形势，</w:t>
      </w:r>
      <w:r>
        <w:rPr>
          <w:rFonts w:hint="eastAsia" w:ascii="宋体" w:hAnsi="宋体" w:eastAsia="宋体" w:cs="宋体"/>
          <w:sz w:val="32"/>
          <w:szCs w:val="32"/>
        </w:rPr>
        <w:t>今年，我局以突出招商实效为导向，健全招商考核机制，拟定了《2021年鹤城区招商引资工作绩效考核方案》，区级领导人人有招商任务，正科以上单位均有考核要求。</w:t>
      </w:r>
      <w:r>
        <w:rPr>
          <w:rFonts w:hint="eastAsia" w:cs="黑体" w:asciiTheme="minorEastAsia" w:hAnsiTheme="minorEastAsia"/>
          <w:kern w:val="0"/>
          <w:sz w:val="32"/>
          <w:szCs w:val="32"/>
        </w:rPr>
        <w:t>发现的主要问题及原因：是</w:t>
      </w:r>
      <w:r>
        <w:rPr>
          <w:rFonts w:hint="eastAsia" w:ascii="宋体" w:hAnsi="宋体" w:eastAsia="宋体" w:cs="宋体"/>
          <w:kern w:val="0"/>
          <w:sz w:val="32"/>
          <w:szCs w:val="32"/>
        </w:rPr>
        <w:t>预算控制率。</w:t>
      </w:r>
      <w:r>
        <w:rPr>
          <w:rFonts w:hint="eastAsia" w:cs="黑体" w:asciiTheme="minorEastAsia" w:hAnsiTheme="minorEastAsia"/>
          <w:kern w:val="0"/>
          <w:sz w:val="32"/>
          <w:szCs w:val="32"/>
        </w:rPr>
        <w:t>下一步改进措施：</w:t>
      </w:r>
      <w:r>
        <w:rPr>
          <w:rFonts w:hint="eastAsia" w:ascii="宋体" w:hAnsi="宋体" w:eastAsia="宋体" w:cs="宋体"/>
          <w:kern w:val="0"/>
          <w:sz w:val="32"/>
          <w:szCs w:val="32"/>
        </w:rPr>
        <w:t>预算控制率较高，主要原因是因年初预算严重不足，单位工作有本年追加预算。</w:t>
      </w:r>
      <w:r>
        <w:rPr>
          <w:rFonts w:hint="eastAsia" w:ascii="宋体" w:hAnsi="宋体" w:eastAsia="宋体" w:cs="宋体"/>
          <w:bCs/>
          <w:spacing w:val="-2"/>
          <w:sz w:val="32"/>
          <w:szCs w:val="32"/>
        </w:rPr>
        <w:t>严格执行区委、区政府相关规定，按照财政程序适时调整下年年初预算。</w:t>
      </w:r>
    </w:p>
    <w:p>
      <w:pPr>
        <w:pStyle w:val="15"/>
        <w:spacing w:line="600" w:lineRule="exact"/>
        <w:ind w:firstLine="640" w:firstLineChars="200"/>
        <w:rPr>
          <w:rFonts w:ascii="宋体" w:hAnsi="宋体" w:cs="宋体"/>
          <w:sz w:val="32"/>
          <w:szCs w:val="32"/>
        </w:rPr>
      </w:pPr>
      <w:r>
        <w:rPr>
          <w:rFonts w:hint="eastAsia" w:cs="黑体" w:asciiTheme="minorEastAsia" w:hAnsiTheme="minorEastAsia"/>
          <w:color w:val="000000"/>
          <w:kern w:val="0"/>
          <w:sz w:val="32"/>
          <w:szCs w:val="32"/>
        </w:rPr>
        <w:t>商贸专项项目绩效自评综述：</w:t>
      </w:r>
      <w:r>
        <w:rPr>
          <w:rFonts w:hint="eastAsia" w:ascii="宋体" w:hAnsi="宋体" w:cs="宋体"/>
          <w:spacing w:val="-2"/>
          <w:sz w:val="32"/>
          <w:szCs w:val="32"/>
        </w:rPr>
        <w:t>2021年专项支出无建设项目支出。</w:t>
      </w:r>
      <w:r>
        <w:rPr>
          <w:rFonts w:hint="eastAsia" w:ascii="宋体" w:hAnsi="宋体" w:cs="宋体"/>
          <w:sz w:val="32"/>
          <w:szCs w:val="32"/>
        </w:rPr>
        <w:t>项目资金为业务工作经费。2021年项目支出511.74万元，外出招商10余次，引进重大产业项目9个。全年实现社会消费品零售总额294.5亿元（总量全市第一、占比全市42%），增幅约10.5%。全年实现外贸进出口5600万元，完成区级年任务的100%。全年实现网络销售28.5亿元，完成年计划的100%。</w:t>
      </w:r>
    </w:p>
    <w:p>
      <w:pPr>
        <w:numPr>
          <w:ilvl w:val="0"/>
          <w:numId w:val="1"/>
        </w:numPr>
        <w:autoSpaceDE w:val="0"/>
        <w:autoSpaceDN w:val="0"/>
        <w:adjustRightInd w:val="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部门评价项目绩效评价结果。</w:t>
      </w:r>
    </w:p>
    <w:p>
      <w:pPr>
        <w:pStyle w:val="2"/>
        <w:ind w:firstLine="640" w:firstLineChars="200"/>
        <w:rPr>
          <w:color w:val="000000" w:themeColor="text1"/>
        </w:rPr>
      </w:pPr>
      <w:r>
        <w:rPr>
          <w:rFonts w:hint="eastAsia" w:cs="黑体" w:asciiTheme="minorEastAsia" w:hAnsiTheme="minorEastAsia"/>
          <w:color w:val="000000" w:themeColor="text1"/>
          <w:kern w:val="0"/>
          <w:sz w:val="32"/>
          <w:szCs w:val="32"/>
        </w:rPr>
        <w:t>商贸专项项目项目已单独在绩效评价中公开。</w:t>
      </w: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rPr>
          <w:sz w:val="72"/>
          <w:szCs w:val="72"/>
        </w:rPr>
      </w:pPr>
    </w:p>
    <w:p>
      <w:pPr>
        <w:pStyle w:val="12"/>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eastAsiaTheme="minorEastAsia"/>
          <w:color w:val="000000"/>
          <w:kern w:val="0"/>
          <w:sz w:val="32"/>
          <w:szCs w:val="32"/>
          <w:lang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both"/>
        <w:rPr>
          <w:sz w:val="72"/>
          <w:szCs w:val="72"/>
        </w:rPr>
      </w:pPr>
    </w:p>
    <w:p>
      <w:pPr>
        <w:pStyle w:val="12"/>
        <w:jc w:val="center"/>
        <w:rPr>
          <w:sz w:val="72"/>
          <w:szCs w:val="72"/>
        </w:rPr>
      </w:pPr>
    </w:p>
    <w:p>
      <w:pPr>
        <w:pStyle w:val="12"/>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2021年度部门整体支出绩效评价报告</w:t>
      </w:r>
    </w:p>
    <w:p>
      <w:pPr>
        <w:widowControl/>
        <w:shd w:val="clear" w:color="auto" w:fill="FFFFFF"/>
        <w:spacing w:line="600" w:lineRule="atLeast"/>
        <w:rPr>
          <w:rFonts w:eastAsia="仿宋_GB2312"/>
          <w:b/>
          <w:spacing w:val="-2"/>
          <w:sz w:val="32"/>
          <w:szCs w:val="44"/>
        </w:rPr>
      </w:pPr>
    </w:p>
    <w:p>
      <w:pPr>
        <w:widowControl/>
        <w:shd w:val="clear" w:color="auto" w:fill="FFFFFF"/>
        <w:spacing w:line="600" w:lineRule="exact"/>
        <w:ind w:firstLine="632" w:firstLineChars="200"/>
        <w:rPr>
          <w:rFonts w:ascii="宋体" w:hAnsi="宋体" w:eastAsia="宋体" w:cs="宋体"/>
          <w:b/>
          <w:spacing w:val="-2"/>
          <w:sz w:val="32"/>
          <w:szCs w:val="32"/>
        </w:rPr>
      </w:pPr>
      <w:r>
        <w:rPr>
          <w:rFonts w:hint="eastAsia" w:ascii="宋体" w:hAnsi="宋体" w:eastAsia="宋体" w:cs="宋体"/>
          <w:b/>
          <w:spacing w:val="-2"/>
          <w:sz w:val="32"/>
          <w:szCs w:val="32"/>
        </w:rPr>
        <w:t>一、部门概况</w:t>
      </w:r>
    </w:p>
    <w:p>
      <w:pPr>
        <w:widowControl/>
        <w:shd w:val="clear" w:color="auto" w:fill="FFFFFF"/>
        <w:spacing w:line="600" w:lineRule="exact"/>
        <w:ind w:firstLine="632" w:firstLineChars="200"/>
        <w:rPr>
          <w:rFonts w:ascii="宋体" w:hAnsi="宋体" w:eastAsia="宋体" w:cs="宋体"/>
          <w:spacing w:val="-2"/>
          <w:sz w:val="32"/>
          <w:szCs w:val="32"/>
        </w:rPr>
      </w:pPr>
      <w:r>
        <w:rPr>
          <w:rFonts w:hint="eastAsia" w:ascii="宋体" w:hAnsi="宋体" w:eastAsia="宋体" w:cs="宋体"/>
          <w:spacing w:val="-2"/>
          <w:sz w:val="32"/>
          <w:szCs w:val="32"/>
        </w:rPr>
        <w:t>（一）部门基本情况</w:t>
      </w:r>
    </w:p>
    <w:p>
      <w:pPr>
        <w:widowControl/>
        <w:shd w:val="clear" w:color="auto" w:fill="FFFFFF"/>
        <w:spacing w:line="600" w:lineRule="exact"/>
        <w:ind w:firstLine="640" w:firstLineChars="200"/>
        <w:rPr>
          <w:rFonts w:ascii="宋体" w:hAnsi="宋体" w:eastAsia="宋体" w:cs="宋体"/>
          <w:sz w:val="32"/>
          <w:szCs w:val="32"/>
        </w:rPr>
      </w:pPr>
      <w:r>
        <w:rPr>
          <w:rFonts w:hint="eastAsia" w:ascii="宋体" w:hAnsi="宋体" w:eastAsia="宋体" w:cs="宋体"/>
          <w:snapToGrid w:val="0"/>
          <w:sz w:val="32"/>
          <w:szCs w:val="32"/>
        </w:rPr>
        <w:t>怀化市鹤城区商务局是区政府工作部门，为正科级。贯彻落实党中央、省委、市委、关于商务工作的方针政策和决策部署，全面落实省委、市委、区委关于商务工作的部署要求，在履行职责过程中坚持和加强党对商务工作的集中统一领导，主要职责是：</w:t>
      </w:r>
      <w:r>
        <w:rPr>
          <w:rFonts w:hint="eastAsia" w:ascii="宋体" w:hAnsi="宋体" w:eastAsia="宋体" w:cs="宋体"/>
          <w:sz w:val="32"/>
          <w:szCs w:val="32"/>
        </w:rPr>
        <w:t>制定我区国内外贸易、招商引资、承接产业转移、对外投资和对外经济合作的政策措施和实施办法指导流通企业改革，促进商贸服务业和社区商业发展促进城乡市场发展、承担组织实施重要消费品市场调控和重要生产资料（成品油）流通管理的责任、承担会展业促进与管理有关工作、负责商贸行业安全生产监督管理工作。</w:t>
      </w:r>
      <w:r>
        <w:rPr>
          <w:rFonts w:hint="eastAsia" w:ascii="宋体" w:hAnsi="宋体" w:eastAsia="宋体" w:cs="宋体"/>
          <w:bCs/>
          <w:kern w:val="0"/>
          <w:sz w:val="32"/>
          <w:szCs w:val="32"/>
        </w:rPr>
        <w:t>区商务局内设机构包括：8</w:t>
      </w:r>
      <w:r>
        <w:rPr>
          <w:rFonts w:hint="eastAsia" w:ascii="宋体" w:hAnsi="宋体" w:eastAsia="宋体" w:cs="宋体"/>
          <w:sz w:val="32"/>
          <w:szCs w:val="32"/>
        </w:rPr>
        <w:t>个职能股室：办公室（人事股）、财务股、政策法规和市场秩序股（行政审批股）、市场运行和商贸服务业股、市场体系建设股、流通业发展股（电子商务局股）、对外贸易和对外经济合作股、招商联络和投资促进股。 区商务局机关行政编制11名，其中:局长1名，副局长3名，股（室）领导职数7名。机关后勤全额拨款事业编制1名。</w:t>
      </w:r>
    </w:p>
    <w:p>
      <w:pPr>
        <w:autoSpaceDE w:val="0"/>
        <w:spacing w:line="600" w:lineRule="exact"/>
        <w:ind w:firstLine="640" w:firstLineChars="200"/>
        <w:jc w:val="left"/>
        <w:rPr>
          <w:rFonts w:hint="eastAsia" w:ascii="宋体" w:hAnsi="宋体" w:eastAsia="宋体" w:cs="宋体"/>
          <w:color w:val="000000"/>
          <w:sz w:val="32"/>
          <w:szCs w:val="32"/>
          <w:shd w:val="clear" w:color="auto" w:fill="FFFFFF"/>
          <w:lang w:eastAsia="zh-CN"/>
        </w:rPr>
      </w:pPr>
      <w:r>
        <w:rPr>
          <w:rFonts w:hint="eastAsia" w:ascii="宋体" w:hAnsi="宋体" w:eastAsia="宋体" w:cs="宋体"/>
          <w:color w:val="000000"/>
          <w:sz w:val="32"/>
          <w:szCs w:val="32"/>
          <w:shd w:val="clear" w:color="auto" w:fill="FFFFFF"/>
        </w:rPr>
        <w:t>2022年工作计划及保障措施</w:t>
      </w:r>
      <w:r>
        <w:rPr>
          <w:rFonts w:hint="eastAsia" w:ascii="宋体" w:hAnsi="宋体" w:eastAsia="宋体" w:cs="宋体"/>
          <w:color w:val="000000"/>
          <w:sz w:val="32"/>
          <w:szCs w:val="32"/>
          <w:shd w:val="clear" w:color="auto" w:fill="FFFFFF"/>
          <w:lang w:eastAsia="zh-CN"/>
        </w:rPr>
        <w:t>：</w:t>
      </w:r>
    </w:p>
    <w:p>
      <w:pPr>
        <w:autoSpaceDE w:val="0"/>
        <w:spacing w:line="600" w:lineRule="exact"/>
        <w:ind w:firstLine="640" w:firstLineChars="200"/>
        <w:jc w:val="left"/>
        <w:rPr>
          <w:rFonts w:ascii="宋体" w:hAnsi="宋体" w:eastAsia="宋体" w:cs="宋体"/>
          <w:sz w:val="32"/>
          <w:szCs w:val="32"/>
        </w:rPr>
      </w:pPr>
      <w:r>
        <w:rPr>
          <w:rFonts w:hint="eastAsia" w:ascii="宋体" w:hAnsi="宋体" w:eastAsia="宋体" w:cs="宋体"/>
          <w:color w:val="000000"/>
          <w:sz w:val="32"/>
          <w:szCs w:val="32"/>
          <w:shd w:val="clear" w:color="auto" w:fill="FFFFFF"/>
        </w:rPr>
        <w:t>（1）全力稳消费增长。</w:t>
      </w:r>
      <w:r>
        <w:rPr>
          <w:rFonts w:hint="eastAsia" w:ascii="宋体" w:hAnsi="宋体" w:eastAsia="宋体" w:cs="宋体"/>
          <w:sz w:val="32"/>
          <w:szCs w:val="32"/>
        </w:rPr>
        <w:t>一是抓服务提质。责任到人，责任到片区，对标中央台、省、市项目，争取项目经费，优化营商环境；二是抓企业培育。</w:t>
      </w:r>
      <w:r>
        <w:rPr>
          <w:rFonts w:hint="eastAsia" w:ascii="宋体" w:hAnsi="宋体" w:eastAsia="宋体" w:cs="宋体"/>
          <w:color w:val="000000"/>
          <w:sz w:val="32"/>
          <w:szCs w:val="32"/>
          <w:shd w:val="clear" w:color="auto" w:fill="FFFFFF"/>
        </w:rPr>
        <w:t>建立和完善规上商贸企业培育储备机制，</w:t>
      </w:r>
      <w:r>
        <w:rPr>
          <w:rFonts w:hint="eastAsia" w:ascii="宋体" w:hAnsi="宋体" w:eastAsia="宋体" w:cs="宋体"/>
          <w:sz w:val="32"/>
          <w:szCs w:val="32"/>
        </w:rPr>
        <w:t>优化</w:t>
      </w:r>
      <w:r>
        <w:rPr>
          <w:rFonts w:hint="eastAsia" w:ascii="宋体" w:hAnsi="宋体" w:eastAsia="宋体" w:cs="宋体"/>
          <w:color w:val="000000"/>
          <w:sz w:val="32"/>
          <w:szCs w:val="32"/>
          <w:shd w:val="clear" w:color="auto" w:fill="FFFFFF"/>
        </w:rPr>
        <w:t>“个转企、企上限、限入统、统上市”政策，进一步摸清企业底数，挖掘商贸经济发展潜力，促进规上商贸企业稳健发展。</w:t>
      </w:r>
      <w:r>
        <w:rPr>
          <w:rFonts w:hint="eastAsia" w:ascii="宋体" w:hAnsi="宋体" w:eastAsia="宋体" w:cs="宋体"/>
          <w:sz w:val="32"/>
          <w:szCs w:val="32"/>
        </w:rPr>
        <w:t>三是抓节会消费。积极举办好“健博会”、“怀化第十五届汽车展销会”和“第十一届湖南怀化国际汽车博览会”等节会，组织佳惠、怀仁、电信、石油等重点企业开展节日促销活动，力争社零贡献占全年30%；四是抓双向流通。积极动员组织开展“数商兴农”消费帮扶，并着力建设发展“快递进村”工作；五是抓示范创建。认真落实《城市一刻钟生活圈创建工作实施方案》，力争15个生活圈初具规模效应，保障建成悦麓里、中环广场2个“网红圈”或“打卡地”，吸引周边县（市、区）群众消费集聚。</w:t>
      </w:r>
    </w:p>
    <w:p>
      <w:pPr>
        <w:pStyle w:val="7"/>
        <w:widowControl/>
        <w:spacing w:line="600" w:lineRule="exact"/>
        <w:ind w:firstLine="640" w:firstLineChars="200"/>
        <w:rPr>
          <w:rFonts w:ascii="宋体" w:hAnsi="宋体" w:eastAsia="宋体" w:cs="宋体"/>
          <w:color w:val="000000"/>
          <w:kern w:val="2"/>
          <w:sz w:val="32"/>
          <w:szCs w:val="32"/>
          <w:shd w:val="clear" w:color="auto" w:fill="FFFFFF"/>
        </w:rPr>
      </w:pPr>
      <w:r>
        <w:rPr>
          <w:rFonts w:hint="eastAsia" w:ascii="宋体" w:hAnsi="宋体" w:eastAsia="宋体" w:cs="宋体"/>
          <w:color w:val="000000"/>
          <w:kern w:val="2"/>
          <w:sz w:val="32"/>
          <w:szCs w:val="32"/>
          <w:shd w:val="clear" w:color="auto" w:fill="FFFFFF"/>
        </w:rPr>
        <w:t>（2）精准促招商落地。着力招大引强。</w:t>
      </w:r>
      <w:r>
        <w:rPr>
          <w:rFonts w:hint="eastAsia" w:ascii="宋体" w:hAnsi="宋体" w:eastAsia="宋体" w:cs="宋体"/>
          <w:sz w:val="32"/>
          <w:szCs w:val="32"/>
        </w:rPr>
        <w:t>一是紧盯重大项目。</w:t>
      </w:r>
      <w:r>
        <w:rPr>
          <w:rFonts w:hint="eastAsia" w:ascii="宋体" w:hAnsi="宋体" w:eastAsia="宋体" w:cs="宋体"/>
          <w:color w:val="000000"/>
          <w:kern w:val="2"/>
          <w:sz w:val="32"/>
          <w:szCs w:val="32"/>
          <w:shd w:val="clear" w:color="auto" w:fill="FFFFFF"/>
        </w:rPr>
        <w:t>紧盯500强企业、上市公司的发展方向和投资动向，持续跟进国内外战略投资者和极具发展潜力的重大项目。报请市政府和市局支持招商上海矽尔电子、海尔教育设备和深圳市力合微电子等21家企业，力争8家以上落户鹤城；</w:t>
      </w:r>
      <w:r>
        <w:rPr>
          <w:rFonts w:hint="eastAsia" w:ascii="宋体" w:hAnsi="宋体" w:eastAsia="宋体" w:cs="宋体"/>
          <w:sz w:val="32"/>
          <w:szCs w:val="32"/>
        </w:rPr>
        <w:t>二是突出园区招商。</w:t>
      </w:r>
      <w:r>
        <w:rPr>
          <w:rFonts w:hint="eastAsia" w:ascii="宋体" w:hAnsi="宋体" w:eastAsia="宋体" w:cs="宋体"/>
          <w:color w:val="000000"/>
          <w:kern w:val="2"/>
          <w:sz w:val="32"/>
          <w:szCs w:val="32"/>
          <w:shd w:val="clear" w:color="auto" w:fill="FFFFFF"/>
        </w:rPr>
        <w:t>以区工业集中区11万平米标准化厂房和黄金坳产业园为载体，力争引进1家以上百强企业；</w:t>
      </w:r>
      <w:r>
        <w:rPr>
          <w:rFonts w:hint="eastAsia" w:ascii="宋体" w:hAnsi="宋体" w:eastAsia="宋体" w:cs="宋体"/>
          <w:sz w:val="32"/>
          <w:szCs w:val="32"/>
        </w:rPr>
        <w:t>三是突出产业招商。</w:t>
      </w:r>
      <w:r>
        <w:rPr>
          <w:rFonts w:hint="eastAsia" w:ascii="宋体" w:hAnsi="宋体" w:eastAsia="宋体" w:cs="宋体"/>
          <w:color w:val="000000"/>
          <w:kern w:val="2"/>
          <w:sz w:val="32"/>
          <w:szCs w:val="32"/>
          <w:shd w:val="clear" w:color="auto" w:fill="FFFFFF"/>
        </w:rPr>
        <w:t>紧扣六大“百亿产业”，瞄准关键决策人和关键环节，紧密跟进德瑞户外家具等项目意向签约。健全招商机制、项目落地机制，高效协同供应链上下游企业，加大协调力度。探索第三方招商，优化招商政策。</w:t>
      </w:r>
    </w:p>
    <w:p>
      <w:pPr>
        <w:pStyle w:val="7"/>
        <w:widowControl/>
        <w:spacing w:line="600" w:lineRule="exact"/>
        <w:ind w:firstLine="640" w:firstLineChars="200"/>
        <w:rPr>
          <w:rFonts w:ascii="宋体" w:hAnsi="宋体" w:eastAsia="宋体" w:cs="宋体"/>
          <w:sz w:val="32"/>
          <w:szCs w:val="32"/>
        </w:rPr>
      </w:pPr>
      <w:r>
        <w:rPr>
          <w:rFonts w:hint="eastAsia" w:ascii="宋体" w:hAnsi="宋体" w:eastAsia="宋体" w:cs="宋体"/>
          <w:color w:val="000000"/>
          <w:kern w:val="2"/>
          <w:sz w:val="32"/>
          <w:szCs w:val="32"/>
          <w:shd w:val="clear" w:color="auto" w:fill="FFFFFF"/>
        </w:rPr>
        <w:t>（3）保障市场体系建设。</w:t>
      </w:r>
      <w:r>
        <w:rPr>
          <w:rFonts w:hint="eastAsia" w:ascii="宋体" w:hAnsi="宋体" w:eastAsia="宋体" w:cs="宋体"/>
          <w:sz w:val="32"/>
          <w:szCs w:val="32"/>
        </w:rPr>
        <w:t>一是保项目竣工营业。重点服务步步高中环广场竣工营业；二是保项目开工建设。主动积极汇报衔接市直部门，协调督促项目业主加快审批进度和资金到位，力促佳惠智能立体冷库（织染厂）、宏宇商业广场、佳惠五星级、翔铭中石化和石门农贸市场等项目开工建设。三是促项目前期加速。协调业主单位和项目部，促进翔铭中石化5个加油站项目、汽车城酒店配套项目、悦麓里二期（夜经济）和佳惠五星级酒店等8个项目，完成审批工作，力争年底前开工建设。</w:t>
      </w:r>
    </w:p>
    <w:p>
      <w:pPr>
        <w:pStyle w:val="7"/>
        <w:widowControl/>
        <w:spacing w:line="600" w:lineRule="exact"/>
        <w:ind w:firstLine="640" w:firstLineChars="200"/>
        <w:rPr>
          <w:rFonts w:ascii="宋体" w:hAnsi="宋体" w:eastAsia="宋体" w:cs="宋体"/>
          <w:color w:val="000000"/>
          <w:sz w:val="32"/>
          <w:szCs w:val="32"/>
        </w:rPr>
      </w:pPr>
      <w:r>
        <w:rPr>
          <w:rFonts w:hint="eastAsia" w:ascii="宋体" w:hAnsi="宋体" w:eastAsia="宋体" w:cs="宋体"/>
          <w:color w:val="000000"/>
          <w:kern w:val="2"/>
          <w:sz w:val="32"/>
          <w:szCs w:val="32"/>
          <w:shd w:val="clear" w:color="auto" w:fill="FFFFFF"/>
        </w:rPr>
        <w:t>（4）常态抓安全生产。</w:t>
      </w:r>
      <w:r>
        <w:rPr>
          <w:rFonts w:hint="eastAsia" w:ascii="宋体" w:hAnsi="宋体" w:eastAsia="宋体" w:cs="宋体"/>
          <w:sz w:val="32"/>
          <w:szCs w:val="32"/>
        </w:rPr>
        <w:t>积极落实商场（超市）和农贸市场疫情防控《两个指南》，常态化巡查加油站点安全生产，落实“保供稳价”监测职能，进一步稳定可提升商贸物流发展软环境和软实力。</w:t>
      </w:r>
    </w:p>
    <w:p>
      <w:pPr>
        <w:widowControl/>
        <w:shd w:val="clear" w:color="auto" w:fill="FFFFFF"/>
        <w:spacing w:line="600" w:lineRule="exact"/>
        <w:ind w:firstLine="632" w:firstLineChars="200"/>
        <w:rPr>
          <w:rFonts w:ascii="宋体" w:hAnsi="宋体" w:eastAsia="宋体" w:cs="宋体"/>
          <w:spacing w:val="-2"/>
          <w:sz w:val="32"/>
          <w:szCs w:val="32"/>
        </w:rPr>
      </w:pPr>
      <w:r>
        <w:rPr>
          <w:rFonts w:hint="eastAsia" w:ascii="宋体" w:hAnsi="宋体" w:eastAsia="宋体" w:cs="宋体"/>
          <w:spacing w:val="-2"/>
          <w:sz w:val="32"/>
          <w:szCs w:val="32"/>
        </w:rPr>
        <w:t>（二）部门整体支出规模、使用方向和主要内容、涉及范围等。</w:t>
      </w:r>
    </w:p>
    <w:p>
      <w:pPr>
        <w:pStyle w:val="2"/>
        <w:spacing w:line="600" w:lineRule="exact"/>
        <w:ind w:firstLine="640" w:firstLineChars="200"/>
        <w:rPr>
          <w:rFonts w:ascii="宋体" w:hAnsi="宋体" w:eastAsia="宋体" w:cs="宋体"/>
          <w:sz w:val="32"/>
          <w:szCs w:val="32"/>
        </w:rPr>
      </w:pPr>
      <w:r>
        <w:rPr>
          <w:rFonts w:hint="eastAsia" w:ascii="宋体" w:hAnsi="宋体" w:eastAsia="宋体" w:cs="宋体"/>
          <w:sz w:val="32"/>
          <w:szCs w:val="32"/>
        </w:rPr>
        <w:t>2021年部门整体支出规模921.76万元，其中：基本支出410.02万元，项目支出511.74万元。在区委、区政府的领导下，全面或超额完成商贸流通行业考核任务。</w:t>
      </w:r>
    </w:p>
    <w:p>
      <w:pPr>
        <w:widowControl/>
        <w:shd w:val="clear" w:color="auto" w:fill="FFFFFF"/>
        <w:spacing w:line="600" w:lineRule="exact"/>
        <w:ind w:firstLine="632" w:firstLineChars="200"/>
        <w:rPr>
          <w:rFonts w:ascii="宋体" w:hAnsi="宋体" w:eastAsia="宋体" w:cs="宋体"/>
          <w:b/>
          <w:spacing w:val="-2"/>
          <w:sz w:val="32"/>
          <w:szCs w:val="32"/>
        </w:rPr>
      </w:pPr>
      <w:r>
        <w:rPr>
          <w:rFonts w:hint="eastAsia" w:ascii="宋体" w:hAnsi="宋体" w:eastAsia="宋体" w:cs="宋体"/>
          <w:b/>
          <w:spacing w:val="-2"/>
          <w:sz w:val="32"/>
          <w:szCs w:val="32"/>
        </w:rPr>
        <w:t>二、部门整体支出管理及使用情况</w:t>
      </w:r>
    </w:p>
    <w:p>
      <w:pPr>
        <w:widowControl/>
        <w:shd w:val="clear" w:color="auto" w:fill="FFFFFF"/>
        <w:spacing w:line="600" w:lineRule="exact"/>
        <w:ind w:firstLine="632" w:firstLineChars="200"/>
        <w:rPr>
          <w:rFonts w:ascii="宋体" w:hAnsi="宋体" w:eastAsia="宋体" w:cs="宋体"/>
          <w:b/>
          <w:spacing w:val="-2"/>
          <w:sz w:val="32"/>
          <w:szCs w:val="32"/>
        </w:rPr>
      </w:pPr>
      <w:r>
        <w:rPr>
          <w:rFonts w:hint="eastAsia" w:ascii="宋体" w:hAnsi="宋体" w:eastAsia="宋体" w:cs="宋体"/>
          <w:b/>
          <w:spacing w:val="-2"/>
          <w:sz w:val="32"/>
          <w:szCs w:val="32"/>
        </w:rPr>
        <w:t>（一）基本支出</w:t>
      </w:r>
    </w:p>
    <w:p>
      <w:pPr>
        <w:pStyle w:val="13"/>
        <w:widowControl/>
        <w:spacing w:line="600" w:lineRule="exact"/>
        <w:ind w:firstLine="632"/>
        <w:rPr>
          <w:rFonts w:ascii="宋体" w:hAnsi="宋体" w:eastAsia="宋体" w:cs="宋体"/>
          <w:spacing w:val="-2"/>
          <w:sz w:val="32"/>
          <w:szCs w:val="32"/>
        </w:rPr>
      </w:pPr>
      <w:r>
        <w:rPr>
          <w:rFonts w:hint="eastAsia" w:ascii="宋体" w:hAnsi="宋体" w:eastAsia="宋体" w:cs="宋体"/>
          <w:spacing w:val="-2"/>
          <w:sz w:val="32"/>
          <w:szCs w:val="32"/>
        </w:rPr>
        <w:t>2021</w:t>
      </w:r>
      <w:r>
        <w:rPr>
          <w:rFonts w:hint="eastAsia" w:ascii="宋体" w:hAnsi="宋体" w:eastAsia="宋体" w:cs="宋体"/>
          <w:sz w:val="32"/>
          <w:szCs w:val="32"/>
        </w:rPr>
        <w:t>年度财政拨款基本支出410.02万元，其中：人员经费392.99万元，公用经费支出17.03万元。人员经费主要用于职工基本工资、津贴补贴、社保缴纳等，公用经费主要用于办公费、印刷费、维护费等；</w:t>
      </w:r>
      <w:r>
        <w:rPr>
          <w:rFonts w:hint="eastAsia" w:ascii="宋体" w:hAnsi="宋体" w:eastAsia="宋体" w:cs="宋体"/>
          <w:spacing w:val="-2"/>
          <w:sz w:val="32"/>
          <w:szCs w:val="32"/>
        </w:rPr>
        <w:t>2021年“三公”经费控制数为26.34万元，决算数为1.70万元，主要用于招商引资客商接待支出。</w:t>
      </w:r>
    </w:p>
    <w:p>
      <w:pPr>
        <w:widowControl/>
        <w:shd w:val="clear" w:color="auto" w:fill="FFFFFF"/>
        <w:spacing w:line="600" w:lineRule="exact"/>
        <w:ind w:firstLine="632" w:firstLineChars="200"/>
        <w:rPr>
          <w:rFonts w:ascii="宋体" w:hAnsi="宋体" w:eastAsia="宋体" w:cs="宋体"/>
          <w:b/>
          <w:spacing w:val="-2"/>
          <w:sz w:val="32"/>
          <w:szCs w:val="32"/>
        </w:rPr>
      </w:pPr>
      <w:r>
        <w:rPr>
          <w:rFonts w:hint="eastAsia" w:ascii="宋体" w:hAnsi="宋体" w:eastAsia="宋体" w:cs="宋体"/>
          <w:b/>
          <w:spacing w:val="-2"/>
          <w:sz w:val="32"/>
          <w:szCs w:val="32"/>
        </w:rPr>
        <w:t>（二）专项支出</w:t>
      </w:r>
    </w:p>
    <w:p>
      <w:pPr>
        <w:widowControl/>
        <w:shd w:val="clear" w:color="auto" w:fill="FFFFFF"/>
        <w:spacing w:line="600" w:lineRule="exact"/>
        <w:ind w:firstLine="632" w:firstLineChars="200"/>
        <w:rPr>
          <w:rFonts w:ascii="宋体" w:hAnsi="宋体" w:eastAsia="宋体" w:cs="宋体"/>
          <w:spacing w:val="-2"/>
          <w:sz w:val="32"/>
          <w:szCs w:val="32"/>
        </w:rPr>
      </w:pPr>
      <w:r>
        <w:rPr>
          <w:rFonts w:hint="eastAsia" w:ascii="宋体" w:hAnsi="宋体" w:eastAsia="宋体" w:cs="宋体"/>
          <w:spacing w:val="-2"/>
          <w:sz w:val="32"/>
          <w:szCs w:val="32"/>
        </w:rPr>
        <w:t>1、专项资金（包括财政资金、自筹资金等）安排落实、总投入等情况分析。</w:t>
      </w:r>
    </w:p>
    <w:p>
      <w:pPr>
        <w:pStyle w:val="13"/>
        <w:widowControl/>
        <w:spacing w:line="600" w:lineRule="exact"/>
        <w:ind w:firstLine="640"/>
        <w:rPr>
          <w:rFonts w:ascii="宋体" w:hAnsi="宋体" w:eastAsia="宋体" w:cs="宋体"/>
          <w:spacing w:val="-2"/>
          <w:sz w:val="32"/>
          <w:szCs w:val="32"/>
        </w:rPr>
      </w:pPr>
      <w:r>
        <w:rPr>
          <w:rFonts w:hint="eastAsia" w:ascii="宋体" w:hAnsi="宋体" w:eastAsia="宋体" w:cs="宋体"/>
          <w:sz w:val="32"/>
          <w:szCs w:val="32"/>
        </w:rPr>
        <w:t>2021年度专项资金支出511.74万元（其中：</w:t>
      </w:r>
      <w:r>
        <w:rPr>
          <w:rFonts w:hint="eastAsia" w:ascii="宋体" w:hAnsi="宋体" w:eastAsia="宋体" w:cs="宋体"/>
          <w:spacing w:val="-2"/>
          <w:sz w:val="32"/>
          <w:szCs w:val="32"/>
        </w:rPr>
        <w:t>财政资金</w:t>
      </w:r>
      <w:r>
        <w:rPr>
          <w:rFonts w:hint="eastAsia" w:ascii="宋体" w:hAnsi="宋体" w:eastAsia="宋体" w:cs="宋体"/>
          <w:sz w:val="32"/>
          <w:szCs w:val="32"/>
        </w:rPr>
        <w:t>511.74万元）。2021年度专项资金安排落实和总投入情况：该项资金属于商贸专项资金，主要用于促进商贸服务业和社区商业发展促进城乡市场发展；加强招商引资、承接产业转移、对外投资和对外经济合作的政策措施和实施办法指导流通企业改革。</w:t>
      </w:r>
    </w:p>
    <w:p>
      <w:pPr>
        <w:widowControl/>
        <w:numPr>
          <w:ilvl w:val="0"/>
          <w:numId w:val="2"/>
        </w:numPr>
        <w:shd w:val="clear" w:color="auto" w:fill="FFFFFF"/>
        <w:spacing w:line="600" w:lineRule="exact"/>
        <w:ind w:firstLine="632" w:firstLineChars="200"/>
        <w:rPr>
          <w:rFonts w:ascii="宋体" w:hAnsi="宋体" w:eastAsia="宋体" w:cs="宋体"/>
          <w:spacing w:val="-2"/>
          <w:sz w:val="32"/>
          <w:szCs w:val="32"/>
        </w:rPr>
      </w:pPr>
      <w:r>
        <w:rPr>
          <w:rFonts w:hint="eastAsia" w:ascii="宋体" w:hAnsi="宋体" w:eastAsia="宋体" w:cs="宋体"/>
          <w:spacing w:val="-2"/>
          <w:sz w:val="32"/>
          <w:szCs w:val="32"/>
        </w:rPr>
        <w:t>专项资金（主要指财政资金）实际使用情况分析。</w:t>
      </w:r>
    </w:p>
    <w:p>
      <w:pPr>
        <w:widowControl/>
        <w:shd w:val="clear" w:color="auto" w:fill="FFFFFF"/>
        <w:spacing w:line="600" w:lineRule="exact"/>
        <w:ind w:firstLine="640" w:firstLineChars="200"/>
        <w:rPr>
          <w:rFonts w:ascii="宋体" w:hAnsi="宋体" w:eastAsia="宋体" w:cs="宋体"/>
          <w:sz w:val="32"/>
          <w:szCs w:val="32"/>
        </w:rPr>
      </w:pPr>
      <w:r>
        <w:rPr>
          <w:rFonts w:hint="eastAsia" w:ascii="宋体" w:hAnsi="宋体" w:eastAsia="宋体" w:cs="宋体"/>
          <w:sz w:val="32"/>
          <w:szCs w:val="32"/>
        </w:rPr>
        <w:t>2021年度专项资金支出511.74万元（其中：</w:t>
      </w:r>
      <w:r>
        <w:rPr>
          <w:rFonts w:hint="eastAsia" w:ascii="宋体" w:hAnsi="宋体" w:eastAsia="宋体" w:cs="宋体"/>
          <w:spacing w:val="-2"/>
          <w:sz w:val="32"/>
          <w:szCs w:val="32"/>
        </w:rPr>
        <w:t>财政资金</w:t>
      </w:r>
      <w:r>
        <w:rPr>
          <w:rFonts w:hint="eastAsia" w:ascii="宋体" w:hAnsi="宋体" w:eastAsia="宋体" w:cs="宋体"/>
          <w:sz w:val="32"/>
          <w:szCs w:val="32"/>
        </w:rPr>
        <w:t>511.74万元）。主要用于鹤城区辖内市、区重点商贸项目协调与服务，确保全区重点商贸绩效指标完成，重点项目指标的完成。完成全区招商引资指标任务；参加大型招商集会；举行区内招商节会。</w:t>
      </w:r>
    </w:p>
    <w:p>
      <w:pPr>
        <w:pStyle w:val="7"/>
        <w:widowControl/>
        <w:numPr>
          <w:ilvl w:val="0"/>
          <w:numId w:val="2"/>
        </w:numPr>
        <w:spacing w:line="600" w:lineRule="exact"/>
        <w:ind w:firstLine="632" w:firstLineChars="200"/>
        <w:rPr>
          <w:rFonts w:ascii="宋体" w:hAnsi="宋体" w:eastAsia="宋体" w:cs="宋体"/>
          <w:spacing w:val="-2"/>
          <w:sz w:val="32"/>
          <w:szCs w:val="32"/>
        </w:rPr>
      </w:pPr>
      <w:r>
        <w:rPr>
          <w:rFonts w:hint="eastAsia" w:ascii="宋体" w:hAnsi="宋体" w:eastAsia="宋体" w:cs="宋体"/>
          <w:spacing w:val="-2"/>
          <w:sz w:val="32"/>
          <w:szCs w:val="32"/>
        </w:rPr>
        <w:t>专项资金管理情况分析，主要包括管理制度、办法的制订及执行情况。</w:t>
      </w:r>
    </w:p>
    <w:p>
      <w:pPr>
        <w:pStyle w:val="7"/>
        <w:widowControl/>
        <w:spacing w:line="600" w:lineRule="exact"/>
        <w:ind w:firstLine="640" w:firstLineChars="200"/>
        <w:rPr>
          <w:rFonts w:ascii="宋体" w:hAnsi="宋体" w:eastAsia="宋体" w:cs="宋体"/>
          <w:spacing w:val="-2"/>
          <w:sz w:val="32"/>
          <w:szCs w:val="32"/>
        </w:rPr>
      </w:pPr>
      <w:r>
        <w:rPr>
          <w:rFonts w:hint="eastAsia" w:ascii="宋体" w:hAnsi="宋体" w:eastAsia="宋体" w:cs="宋体"/>
          <w:color w:val="000000"/>
          <w:sz w:val="32"/>
          <w:szCs w:val="32"/>
        </w:rPr>
        <w:t>专项资金管理遵循公开、择优、规范、实效原则，资金分配和使用情况向社会公开，接受有关部门和社会监督。获得专项资金后，按照国家财务、会计制度的有关规定进行账务处理，严格按照预算管理及国库集中支付制度等有关规定，加强专项资金支付管理，确保专项资金及时、有效、安全支付。无挤占、截留、挪用、骗取、套取、浪费资金的行为。</w:t>
      </w:r>
    </w:p>
    <w:p>
      <w:pPr>
        <w:widowControl/>
        <w:shd w:val="clear" w:color="auto" w:fill="FFFFFF"/>
        <w:spacing w:line="600" w:lineRule="exact"/>
        <w:ind w:firstLine="632" w:firstLineChars="200"/>
        <w:rPr>
          <w:rFonts w:ascii="宋体" w:hAnsi="宋体" w:eastAsia="宋体" w:cs="宋体"/>
          <w:b/>
          <w:spacing w:val="-2"/>
          <w:sz w:val="32"/>
          <w:szCs w:val="32"/>
        </w:rPr>
      </w:pPr>
      <w:r>
        <w:rPr>
          <w:rFonts w:hint="eastAsia" w:ascii="宋体" w:hAnsi="宋体" w:eastAsia="宋体" w:cs="宋体"/>
          <w:b/>
          <w:spacing w:val="-2"/>
          <w:sz w:val="32"/>
          <w:szCs w:val="32"/>
        </w:rPr>
        <w:t>三、部门专项组织实施情况</w:t>
      </w:r>
    </w:p>
    <w:p>
      <w:pPr>
        <w:widowControl/>
        <w:shd w:val="clear" w:color="auto" w:fill="FFFFFF"/>
        <w:spacing w:line="600" w:lineRule="exact"/>
        <w:ind w:firstLine="632" w:firstLineChars="200"/>
        <w:rPr>
          <w:rFonts w:ascii="宋体" w:hAnsi="宋体" w:eastAsia="宋体" w:cs="宋体"/>
          <w:spacing w:val="-2"/>
          <w:sz w:val="32"/>
          <w:szCs w:val="32"/>
        </w:rPr>
      </w:pPr>
      <w:r>
        <w:rPr>
          <w:rFonts w:hint="eastAsia" w:ascii="宋体" w:hAnsi="宋体" w:eastAsia="宋体" w:cs="宋体"/>
          <w:spacing w:val="-2"/>
          <w:sz w:val="32"/>
          <w:szCs w:val="32"/>
        </w:rPr>
        <w:t>（一）专项组织情况分析，主要包括项目招投标、调整、竣工验收等情况。</w:t>
      </w:r>
    </w:p>
    <w:p>
      <w:pPr>
        <w:widowControl/>
        <w:shd w:val="clear" w:color="auto" w:fill="FFFFFF"/>
        <w:spacing w:line="600" w:lineRule="exact"/>
        <w:ind w:firstLine="632" w:firstLineChars="200"/>
        <w:rPr>
          <w:rFonts w:ascii="宋体" w:hAnsi="宋体" w:eastAsia="宋体" w:cs="宋体"/>
          <w:spacing w:val="-2"/>
          <w:sz w:val="32"/>
          <w:szCs w:val="32"/>
        </w:rPr>
      </w:pPr>
      <w:r>
        <w:rPr>
          <w:rFonts w:hint="eastAsia" w:ascii="宋体" w:hAnsi="宋体" w:eastAsia="宋体" w:cs="宋体"/>
          <w:spacing w:val="-2"/>
          <w:sz w:val="32"/>
          <w:szCs w:val="32"/>
        </w:rPr>
        <w:t>严格执行政府采购招投标和完成验收工作，事前按照政府购买服务的规定申报采购计划，实施中对资金投向及年度资金调度进行详细规划，并及时将项目按预算科目编报财务决算。</w:t>
      </w:r>
    </w:p>
    <w:p>
      <w:pPr>
        <w:widowControl/>
        <w:numPr>
          <w:ilvl w:val="0"/>
          <w:numId w:val="3"/>
        </w:numPr>
        <w:shd w:val="clear" w:color="auto" w:fill="FFFFFF"/>
        <w:spacing w:line="600" w:lineRule="exact"/>
        <w:ind w:firstLine="632" w:firstLineChars="200"/>
        <w:rPr>
          <w:rFonts w:ascii="宋体" w:hAnsi="宋体" w:eastAsia="宋体" w:cs="宋体"/>
          <w:spacing w:val="-2"/>
          <w:sz w:val="32"/>
          <w:szCs w:val="32"/>
        </w:rPr>
      </w:pPr>
      <w:r>
        <w:rPr>
          <w:rFonts w:hint="eastAsia" w:ascii="宋体" w:hAnsi="宋体" w:eastAsia="宋体" w:cs="宋体"/>
          <w:spacing w:val="-2"/>
          <w:sz w:val="32"/>
          <w:szCs w:val="32"/>
        </w:rPr>
        <w:t>专项管理情况分析，主要包括项目管理制度建设、日常检查监督管理等情况。</w:t>
      </w:r>
    </w:p>
    <w:p>
      <w:pPr>
        <w:pStyle w:val="15"/>
        <w:spacing w:line="600" w:lineRule="exact"/>
        <w:ind w:firstLine="632" w:firstLineChars="200"/>
        <w:rPr>
          <w:rFonts w:ascii="宋体" w:hAnsi="宋体" w:cs="宋体"/>
          <w:sz w:val="32"/>
          <w:szCs w:val="32"/>
        </w:rPr>
      </w:pPr>
      <w:r>
        <w:rPr>
          <w:rFonts w:hint="eastAsia" w:ascii="宋体" w:hAnsi="宋体" w:cs="宋体"/>
          <w:spacing w:val="-2"/>
          <w:sz w:val="32"/>
          <w:szCs w:val="32"/>
        </w:rPr>
        <w:t>2021年专项支出无建设项目支出。</w:t>
      </w:r>
      <w:r>
        <w:rPr>
          <w:rFonts w:hint="eastAsia" w:ascii="宋体" w:hAnsi="宋体" w:cs="宋体"/>
          <w:sz w:val="32"/>
          <w:szCs w:val="32"/>
        </w:rPr>
        <w:t>项目资金为业务工作经费。2021年项目支出511.74万元，外出招商10余次，引进重大产业项目9个。全年实现社会消费品零售总额294.5亿元（总量全市第一、占比全市42%），增幅约10.5%。全年实现外贸进出口5600万元，完成区级年任务的100%。全年实现网络销售28.5亿元，完成年计划的100%。</w:t>
      </w:r>
    </w:p>
    <w:p>
      <w:pPr>
        <w:widowControl/>
        <w:shd w:val="clear" w:color="auto" w:fill="FFFFFF"/>
        <w:spacing w:line="600" w:lineRule="exact"/>
        <w:ind w:firstLine="632" w:firstLineChars="200"/>
        <w:rPr>
          <w:rFonts w:ascii="宋体" w:hAnsi="宋体" w:eastAsia="宋体" w:cs="宋体"/>
          <w:b/>
          <w:spacing w:val="-2"/>
          <w:sz w:val="32"/>
          <w:szCs w:val="32"/>
        </w:rPr>
      </w:pPr>
      <w:r>
        <w:rPr>
          <w:rFonts w:hint="eastAsia" w:ascii="宋体" w:hAnsi="宋体" w:eastAsia="宋体" w:cs="宋体"/>
          <w:b/>
          <w:spacing w:val="-2"/>
          <w:sz w:val="32"/>
          <w:szCs w:val="32"/>
        </w:rPr>
        <w:t>四、资产管理情况</w:t>
      </w:r>
    </w:p>
    <w:p>
      <w:pPr>
        <w:widowControl/>
        <w:shd w:val="clear" w:color="auto" w:fill="FFFFFF"/>
        <w:spacing w:line="600" w:lineRule="exact"/>
        <w:ind w:firstLine="632" w:firstLineChars="200"/>
        <w:rPr>
          <w:rFonts w:ascii="宋体" w:hAnsi="宋体" w:eastAsia="宋体" w:cs="宋体"/>
          <w:spacing w:val="-2"/>
          <w:sz w:val="32"/>
          <w:szCs w:val="32"/>
        </w:rPr>
      </w:pPr>
      <w:r>
        <w:rPr>
          <w:rFonts w:hint="eastAsia" w:ascii="宋体" w:hAnsi="宋体" w:eastAsia="宋体" w:cs="宋体"/>
          <w:spacing w:val="-2"/>
          <w:sz w:val="32"/>
          <w:szCs w:val="32"/>
        </w:rPr>
        <w:t>2021年度新增固定资产和办公用品严格按照《资产管理办法》和《政府采购预算》进行配置管理。</w:t>
      </w:r>
    </w:p>
    <w:p>
      <w:pPr>
        <w:widowControl/>
        <w:shd w:val="clear" w:color="auto" w:fill="FFFFFF"/>
        <w:spacing w:line="600" w:lineRule="exact"/>
        <w:ind w:firstLine="632" w:firstLineChars="200"/>
        <w:rPr>
          <w:rFonts w:ascii="宋体" w:hAnsi="宋体" w:eastAsia="宋体" w:cs="宋体"/>
          <w:b/>
          <w:spacing w:val="-2"/>
          <w:sz w:val="32"/>
          <w:szCs w:val="32"/>
        </w:rPr>
      </w:pPr>
    </w:p>
    <w:p>
      <w:pPr>
        <w:widowControl/>
        <w:shd w:val="clear" w:color="auto" w:fill="FFFFFF"/>
        <w:spacing w:line="600" w:lineRule="exact"/>
        <w:ind w:firstLine="632" w:firstLineChars="200"/>
        <w:rPr>
          <w:rFonts w:ascii="宋体" w:hAnsi="宋体" w:eastAsia="宋体" w:cs="宋体"/>
          <w:b/>
          <w:spacing w:val="-2"/>
          <w:sz w:val="32"/>
          <w:szCs w:val="32"/>
        </w:rPr>
      </w:pPr>
    </w:p>
    <w:p>
      <w:pPr>
        <w:widowControl/>
        <w:shd w:val="clear" w:color="auto" w:fill="FFFFFF"/>
        <w:spacing w:line="600" w:lineRule="exact"/>
        <w:ind w:firstLine="632" w:firstLineChars="200"/>
        <w:rPr>
          <w:rFonts w:ascii="宋体" w:hAnsi="宋体" w:eastAsia="宋体" w:cs="宋体"/>
          <w:b/>
          <w:spacing w:val="-2"/>
          <w:sz w:val="32"/>
          <w:szCs w:val="32"/>
        </w:rPr>
      </w:pPr>
      <w:r>
        <w:rPr>
          <w:rFonts w:hint="eastAsia" w:ascii="宋体" w:hAnsi="宋体" w:eastAsia="宋体" w:cs="宋体"/>
          <w:b/>
          <w:spacing w:val="-2"/>
          <w:sz w:val="32"/>
          <w:szCs w:val="32"/>
        </w:rPr>
        <w:t>五、部门整体支出绩效情况</w:t>
      </w:r>
    </w:p>
    <w:p>
      <w:pPr>
        <w:widowControl/>
        <w:shd w:val="clear" w:color="auto" w:fill="FFFFFF"/>
        <w:spacing w:line="600" w:lineRule="exact"/>
        <w:ind w:firstLine="640" w:firstLineChars="200"/>
        <w:rPr>
          <w:rFonts w:ascii="宋体" w:hAnsi="宋体" w:eastAsia="宋体" w:cs="宋体"/>
          <w:sz w:val="32"/>
          <w:szCs w:val="32"/>
        </w:rPr>
      </w:pPr>
      <w:r>
        <w:rPr>
          <w:rFonts w:hint="eastAsia" w:ascii="宋体" w:hAnsi="宋体" w:eastAsia="宋体" w:cs="宋体"/>
          <w:color w:val="000000"/>
          <w:sz w:val="32"/>
          <w:szCs w:val="32"/>
          <w:shd w:val="clear" w:color="auto" w:fill="FFFFFF"/>
        </w:rPr>
        <w:t>2021年，我局在上级部门的支持与坚强领导下，鹤城区全面或超额完成商贸流通行业考核任务，获全国首批“城市一刻钟便民生活圈”试点城市，德众汽贸成功上市，“数商兴农”先进县市区，国家骨干冷链基地和“港园”加快建设或推进，夯实了2022年稳中有进工作基础条件。</w:t>
      </w:r>
      <w:r>
        <w:rPr>
          <w:rFonts w:hint="eastAsia" w:ascii="宋体" w:hAnsi="宋体" w:eastAsia="宋体" w:cs="宋体"/>
          <w:sz w:val="32"/>
          <w:szCs w:val="32"/>
        </w:rPr>
        <w:t>自评分为96分。</w:t>
      </w:r>
    </w:p>
    <w:p>
      <w:pPr>
        <w:numPr>
          <w:ilvl w:val="0"/>
          <w:numId w:val="4"/>
        </w:numPr>
        <w:autoSpaceDE w:val="0"/>
        <w:spacing w:line="600" w:lineRule="exact"/>
        <w:ind w:firstLine="640" w:firstLineChars="200"/>
        <w:jc w:val="left"/>
        <w:rPr>
          <w:rFonts w:ascii="宋体" w:hAnsi="宋体" w:eastAsia="宋体" w:cs="宋体"/>
          <w:color w:val="000000"/>
          <w:sz w:val="32"/>
          <w:szCs w:val="32"/>
          <w:shd w:val="clear" w:color="auto" w:fill="FFFFFF"/>
        </w:rPr>
      </w:pPr>
      <w:r>
        <w:rPr>
          <w:rFonts w:hint="eastAsia" w:ascii="宋体" w:hAnsi="宋体" w:eastAsia="宋体" w:cs="宋体"/>
          <w:b/>
          <w:color w:val="000000"/>
          <w:sz w:val="32"/>
          <w:szCs w:val="32"/>
          <w:shd w:val="clear" w:color="auto" w:fill="FFFFFF"/>
        </w:rPr>
        <w:t>消费市场开创新局面。</w:t>
      </w:r>
      <w:r>
        <w:rPr>
          <w:rFonts w:hint="eastAsia" w:ascii="宋体" w:hAnsi="宋体" w:eastAsia="宋体" w:cs="宋体"/>
          <w:sz w:val="32"/>
          <w:szCs w:val="32"/>
        </w:rPr>
        <w:t>全年</w:t>
      </w:r>
      <w:r>
        <w:rPr>
          <w:rFonts w:hint="eastAsia" w:ascii="宋体" w:hAnsi="宋体" w:eastAsia="宋体" w:cs="宋体"/>
          <w:bCs/>
          <w:sz w:val="32"/>
          <w:szCs w:val="32"/>
          <w:shd w:val="clear" w:color="auto" w:fill="FFFFFF"/>
        </w:rPr>
        <w:t>实现社会消费品零售总额294.5亿元（总量全市第一、占比全市42%），增幅约10.5%。新增省级审核限上企业23家。</w:t>
      </w:r>
      <w:r>
        <w:rPr>
          <w:rFonts w:hint="eastAsia" w:ascii="宋体" w:hAnsi="宋体" w:eastAsia="宋体" w:cs="宋体"/>
          <w:color w:val="000000"/>
          <w:sz w:val="32"/>
          <w:szCs w:val="32"/>
          <w:shd w:val="clear" w:color="auto" w:fill="FFFFFF"/>
        </w:rPr>
        <w:t>德众汽贸成功上市实现商贸流通企业“上市破零”，怀仁大健康、惠农物流和翔铭新中石化等3家企业纳入省级上市后备资源库重点企业，我区初步建立“个转企、企上限、限入统、统上市”的市场主体培育新体制；开展商超促销、汽车展销等活动80余次，获“味道湖南”先进组织奖，汽车展销实现</w:t>
      </w:r>
      <w:r>
        <w:rPr>
          <w:rFonts w:hint="eastAsia" w:ascii="宋体" w:hAnsi="宋体" w:eastAsia="宋体" w:cs="宋体"/>
          <w:color w:val="000000"/>
          <w:kern w:val="0"/>
          <w:sz w:val="32"/>
          <w:szCs w:val="32"/>
          <w:shd w:val="clear" w:color="auto" w:fill="FFFFFF"/>
        </w:rPr>
        <w:t>销售额2.7亿元；协助万达成功申报第三批省级“绿色商场”；协助完成中心市场提质改造工作。</w:t>
      </w:r>
    </w:p>
    <w:p>
      <w:pPr>
        <w:numPr>
          <w:ilvl w:val="0"/>
          <w:numId w:val="4"/>
        </w:numPr>
        <w:autoSpaceDE w:val="0"/>
        <w:spacing w:line="600" w:lineRule="exact"/>
        <w:ind w:firstLine="640" w:firstLineChars="200"/>
        <w:jc w:val="left"/>
        <w:rPr>
          <w:rFonts w:ascii="宋体" w:hAnsi="宋体" w:eastAsia="宋体" w:cs="宋体"/>
          <w:bCs/>
          <w:color w:val="000000"/>
          <w:sz w:val="32"/>
          <w:szCs w:val="32"/>
          <w:shd w:val="clear" w:color="auto" w:fill="FFFFFF"/>
        </w:rPr>
      </w:pPr>
      <w:r>
        <w:rPr>
          <w:rFonts w:hint="eastAsia" w:ascii="宋体" w:hAnsi="宋体" w:eastAsia="宋体" w:cs="宋体"/>
          <w:b/>
          <w:color w:val="000000"/>
          <w:sz w:val="32"/>
          <w:szCs w:val="32"/>
          <w:shd w:val="clear" w:color="auto" w:fill="FFFFFF"/>
        </w:rPr>
        <w:t>招商引资创造新形势。</w:t>
      </w:r>
      <w:r>
        <w:rPr>
          <w:rFonts w:hint="eastAsia" w:ascii="宋体" w:hAnsi="宋体" w:eastAsia="宋体" w:cs="宋体"/>
          <w:sz w:val="32"/>
          <w:szCs w:val="32"/>
        </w:rPr>
        <w:t>今年，我局以突出招商实效为导向，健全招商考核机制，拟定了《2021年鹤城区招商引资工作绩效考核方案》，区级领导人人有招商任务，正科以上单位均有考核要求。</w:t>
      </w:r>
      <w:r>
        <w:rPr>
          <w:rFonts w:hint="eastAsia" w:ascii="宋体" w:hAnsi="宋体" w:eastAsia="宋体" w:cs="宋体"/>
          <w:color w:val="000000"/>
          <w:sz w:val="32"/>
          <w:szCs w:val="32"/>
          <w:shd w:val="clear" w:color="auto" w:fill="FFFFFF"/>
        </w:rPr>
        <w:t>全年来，区级领导亲自带队，外出招商10余次，</w:t>
      </w:r>
      <w:r>
        <w:rPr>
          <w:rFonts w:hint="eastAsia" w:ascii="宋体" w:hAnsi="宋体" w:eastAsia="宋体" w:cs="宋体"/>
          <w:sz w:val="32"/>
          <w:szCs w:val="32"/>
        </w:rPr>
        <w:t>引进重大产业项目9个，5G设备、光电子器件和绿色建筑等科技和绿色产业，成为招商主攻产业，正逐步改变我区招商过来长期依赖房地产业的新形势。</w:t>
      </w:r>
      <w:r>
        <w:rPr>
          <w:rFonts w:hint="eastAsia" w:ascii="宋体" w:hAnsi="宋体" w:eastAsia="宋体" w:cs="宋体"/>
          <w:color w:val="000000"/>
          <w:sz w:val="32"/>
          <w:szCs w:val="32"/>
          <w:shd w:val="clear" w:color="auto" w:fill="FFFFFF"/>
        </w:rPr>
        <w:t>截至2021年底，到位省外境内资金42.26亿元，完成区级年任务100%。</w:t>
      </w:r>
    </w:p>
    <w:p>
      <w:pPr>
        <w:numPr>
          <w:ilvl w:val="0"/>
          <w:numId w:val="4"/>
        </w:numPr>
        <w:autoSpaceDE w:val="0"/>
        <w:spacing w:line="600" w:lineRule="exact"/>
        <w:ind w:firstLine="640" w:firstLineChars="200"/>
        <w:jc w:val="left"/>
        <w:rPr>
          <w:rFonts w:ascii="宋体" w:hAnsi="宋体" w:eastAsia="宋体" w:cs="宋体"/>
          <w:bCs/>
          <w:color w:val="000000"/>
          <w:sz w:val="32"/>
          <w:szCs w:val="32"/>
          <w:shd w:val="clear" w:color="auto" w:fill="FFFFFF"/>
        </w:rPr>
      </w:pPr>
      <w:r>
        <w:rPr>
          <w:rFonts w:hint="eastAsia" w:ascii="宋体" w:hAnsi="宋体" w:eastAsia="宋体" w:cs="宋体"/>
          <w:b/>
          <w:color w:val="000000"/>
          <w:sz w:val="32"/>
          <w:szCs w:val="32"/>
          <w:shd w:val="clear" w:color="auto" w:fill="FFFFFF"/>
        </w:rPr>
        <w:t>外经贸易取得新突破。</w:t>
      </w:r>
      <w:r>
        <w:rPr>
          <w:rFonts w:hint="eastAsia" w:ascii="宋体" w:hAnsi="宋体" w:eastAsia="宋体" w:cs="宋体"/>
          <w:bCs/>
          <w:color w:val="000000"/>
          <w:sz w:val="32"/>
          <w:szCs w:val="32"/>
          <w:shd w:val="clear" w:color="auto" w:fill="FFFFFF"/>
        </w:rPr>
        <w:t>全年</w:t>
      </w:r>
      <w:r>
        <w:rPr>
          <w:rFonts w:hint="eastAsia" w:ascii="宋体" w:hAnsi="宋体" w:eastAsia="宋体" w:cs="宋体"/>
          <w:color w:val="000000"/>
          <w:sz w:val="32"/>
          <w:szCs w:val="32"/>
          <w:shd w:val="clear" w:color="auto" w:fill="FFFFFF"/>
        </w:rPr>
        <w:t>实现外贸进</w:t>
      </w:r>
      <w:r>
        <w:rPr>
          <w:rFonts w:hint="eastAsia" w:ascii="宋体" w:hAnsi="宋体" w:eastAsia="宋体" w:cs="宋体"/>
          <w:sz w:val="32"/>
          <w:szCs w:val="32"/>
          <w:shd w:val="clear" w:color="auto" w:fill="FFFFFF"/>
        </w:rPr>
        <w:t>出口</w:t>
      </w:r>
      <w:r>
        <w:rPr>
          <w:rFonts w:hint="eastAsia" w:ascii="宋体" w:hAnsi="宋体" w:eastAsia="宋体" w:cs="宋体"/>
          <w:sz w:val="32"/>
          <w:szCs w:val="32"/>
        </w:rPr>
        <w:t>5600</w:t>
      </w:r>
      <w:r>
        <w:rPr>
          <w:rFonts w:hint="eastAsia" w:ascii="宋体" w:hAnsi="宋体" w:eastAsia="宋体" w:cs="宋体"/>
          <w:bCs/>
          <w:sz w:val="32"/>
          <w:szCs w:val="32"/>
          <w:shd w:val="clear" w:color="auto" w:fill="FFFFFF"/>
        </w:rPr>
        <w:t>万</w:t>
      </w:r>
      <w:r>
        <w:rPr>
          <w:rFonts w:hint="eastAsia" w:ascii="宋体" w:hAnsi="宋体" w:eastAsia="宋体" w:cs="宋体"/>
          <w:bCs/>
          <w:color w:val="000000"/>
          <w:sz w:val="32"/>
          <w:szCs w:val="32"/>
          <w:shd w:val="clear" w:color="auto" w:fill="FFFFFF"/>
        </w:rPr>
        <w:t>元，完成区级年任务的100%。尤其是，区委主要领导上门招商的中嘉电子、德瑞户外家具公司和鸿源晟电子等重点企业，正入园或即将入园区工业集中区，预计新增外贸出口0.6亿美元以上。我区外贸出口总量、全市占比和产品结构等方面，“量质齐升”态势趋向明确。</w:t>
      </w:r>
    </w:p>
    <w:p>
      <w:pPr>
        <w:numPr>
          <w:ilvl w:val="0"/>
          <w:numId w:val="4"/>
        </w:numPr>
        <w:autoSpaceDE w:val="0"/>
        <w:spacing w:line="600" w:lineRule="exact"/>
        <w:ind w:firstLine="640" w:firstLineChars="200"/>
        <w:jc w:val="left"/>
        <w:rPr>
          <w:rFonts w:ascii="宋体" w:hAnsi="宋体" w:eastAsia="宋体" w:cs="宋体"/>
          <w:sz w:val="32"/>
          <w:szCs w:val="32"/>
        </w:rPr>
      </w:pPr>
      <w:r>
        <w:rPr>
          <w:rFonts w:hint="eastAsia" w:ascii="宋体" w:hAnsi="宋体" w:eastAsia="宋体" w:cs="宋体"/>
          <w:b/>
          <w:color w:val="000000"/>
          <w:sz w:val="32"/>
          <w:szCs w:val="32"/>
          <w:shd w:val="clear" w:color="auto" w:fill="FFFFFF"/>
        </w:rPr>
        <w:t>网购消费创建新格局。</w:t>
      </w:r>
      <w:r>
        <w:rPr>
          <w:rFonts w:hint="eastAsia" w:ascii="宋体" w:hAnsi="宋体" w:eastAsia="宋体" w:cs="宋体"/>
          <w:color w:val="000000"/>
          <w:sz w:val="32"/>
          <w:szCs w:val="32"/>
          <w:shd w:val="clear" w:color="auto" w:fill="FFFFFF"/>
        </w:rPr>
        <w:t>全年实现网络销售28.5亿元，完成年计划的100%。美团渠道下沉B2B、“数商兴农”消费帮扶、直播带货和“社团购”城区落地配等新业态加速渗透和覆盖，尤其是佳惠新零售年内实现网销近4亿元，带动促进传统商贸流通企业开辟新的营销增长极，正影响和改变传统商贸流通发展方向和格局。</w:t>
      </w:r>
    </w:p>
    <w:p>
      <w:pPr>
        <w:widowControl/>
        <w:shd w:val="clear" w:color="auto" w:fill="FFFFFF"/>
        <w:spacing w:line="600" w:lineRule="exact"/>
        <w:ind w:firstLine="632" w:firstLineChars="200"/>
        <w:rPr>
          <w:rFonts w:ascii="宋体" w:hAnsi="宋体" w:eastAsia="宋体" w:cs="宋体"/>
          <w:b/>
          <w:spacing w:val="-2"/>
          <w:sz w:val="32"/>
          <w:szCs w:val="32"/>
        </w:rPr>
      </w:pPr>
      <w:r>
        <w:rPr>
          <w:rFonts w:hint="eastAsia" w:ascii="宋体" w:hAnsi="宋体" w:eastAsia="宋体" w:cs="宋体"/>
          <w:b/>
          <w:spacing w:val="-2"/>
          <w:sz w:val="32"/>
          <w:szCs w:val="32"/>
        </w:rPr>
        <w:t>六、存在的主要问题</w:t>
      </w:r>
    </w:p>
    <w:p>
      <w:pPr>
        <w:pStyle w:val="2"/>
        <w:spacing w:line="600" w:lineRule="exact"/>
        <w:ind w:firstLine="640" w:firstLineChars="200"/>
        <w:rPr>
          <w:rFonts w:ascii="宋体" w:hAnsi="宋体" w:eastAsia="宋体" w:cs="宋体"/>
          <w:sz w:val="32"/>
          <w:szCs w:val="32"/>
        </w:rPr>
      </w:pPr>
      <w:r>
        <w:rPr>
          <w:rFonts w:hint="eastAsia" w:ascii="宋体" w:hAnsi="宋体" w:eastAsia="宋体" w:cs="宋体"/>
          <w:kern w:val="0"/>
          <w:sz w:val="32"/>
          <w:szCs w:val="32"/>
        </w:rPr>
        <w:t>预算控制率。预算控制率较高，主要原因是因年初预算严重不足，单位工作有本年追加预算。</w:t>
      </w:r>
    </w:p>
    <w:p>
      <w:pPr>
        <w:widowControl/>
        <w:shd w:val="clear" w:color="auto" w:fill="FFFFFF"/>
        <w:spacing w:line="600" w:lineRule="exact"/>
        <w:ind w:firstLine="632" w:firstLineChars="200"/>
        <w:rPr>
          <w:rFonts w:ascii="宋体" w:hAnsi="宋体" w:eastAsia="宋体" w:cs="宋体"/>
          <w:b/>
          <w:spacing w:val="-2"/>
          <w:sz w:val="32"/>
          <w:szCs w:val="32"/>
        </w:rPr>
      </w:pPr>
      <w:r>
        <w:rPr>
          <w:rFonts w:hint="eastAsia" w:ascii="宋体" w:hAnsi="宋体" w:eastAsia="宋体" w:cs="宋体"/>
          <w:b/>
          <w:spacing w:val="-2"/>
          <w:sz w:val="32"/>
          <w:szCs w:val="32"/>
        </w:rPr>
        <w:t>七、改进措施和有关建议</w:t>
      </w:r>
    </w:p>
    <w:p>
      <w:pPr>
        <w:pStyle w:val="2"/>
        <w:spacing w:line="600" w:lineRule="exact"/>
        <w:ind w:firstLine="632" w:firstLineChars="200"/>
        <w:rPr>
          <w:rFonts w:ascii="宋体" w:hAnsi="宋体" w:eastAsia="宋体" w:cs="宋体"/>
          <w:bCs/>
          <w:sz w:val="32"/>
          <w:szCs w:val="32"/>
        </w:rPr>
      </w:pPr>
      <w:r>
        <w:rPr>
          <w:rFonts w:hint="eastAsia" w:ascii="宋体" w:hAnsi="宋体" w:eastAsia="宋体" w:cs="宋体"/>
          <w:bCs/>
          <w:spacing w:val="-2"/>
          <w:sz w:val="32"/>
          <w:szCs w:val="32"/>
        </w:rPr>
        <w:t>严格执行区委、区政府相关规定，按照财政程序适时调整下年年初预算。</w:t>
      </w:r>
    </w:p>
    <w:p>
      <w:pPr>
        <w:spacing w:line="600" w:lineRule="exact"/>
        <w:ind w:firstLine="640" w:firstLineChars="200"/>
        <w:rPr>
          <w:rFonts w:ascii="宋体" w:hAnsi="宋体" w:eastAsia="宋体" w:cs="宋体"/>
          <w:sz w:val="32"/>
          <w:szCs w:val="32"/>
        </w:rPr>
      </w:pPr>
    </w:p>
    <w:p>
      <w:pPr>
        <w:pStyle w:val="2"/>
        <w:rPr>
          <w:rFonts w:ascii="宋体" w:hAnsi="宋体" w:eastAsia="宋体" w:cs="宋体"/>
          <w:sz w:val="32"/>
          <w:szCs w:val="32"/>
        </w:rPr>
      </w:pP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9C702B"/>
    <w:multiLevelType w:val="singleLevel"/>
    <w:tmpl w:val="029C702B"/>
    <w:lvl w:ilvl="0" w:tentative="0">
      <w:start w:val="1"/>
      <w:numFmt w:val="decimal"/>
      <w:suff w:val="nothing"/>
      <w:lvlText w:val="%1．"/>
      <w:lvlJc w:val="left"/>
      <w:rPr>
        <w:rFonts w:hint="default"/>
        <w:b/>
        <w:bCs/>
      </w:rPr>
    </w:lvl>
  </w:abstractNum>
  <w:abstractNum w:abstractNumId="1">
    <w:nsid w:val="22D2F9B6"/>
    <w:multiLevelType w:val="singleLevel"/>
    <w:tmpl w:val="22D2F9B6"/>
    <w:lvl w:ilvl="0" w:tentative="0">
      <w:start w:val="2"/>
      <w:numFmt w:val="chineseCounting"/>
      <w:suff w:val="nothing"/>
      <w:lvlText w:val="（%1）"/>
      <w:lvlJc w:val="left"/>
      <w:rPr>
        <w:rFonts w:hint="eastAsia"/>
      </w:rPr>
    </w:lvl>
  </w:abstractNum>
  <w:abstractNum w:abstractNumId="2">
    <w:nsid w:val="46AE3EA9"/>
    <w:multiLevelType w:val="singleLevel"/>
    <w:tmpl w:val="46AE3EA9"/>
    <w:lvl w:ilvl="0" w:tentative="0">
      <w:start w:val="2"/>
      <w:numFmt w:val="decimal"/>
      <w:suff w:val="nothing"/>
      <w:lvlText w:val="%1、"/>
      <w:lvlJc w:val="left"/>
    </w:lvl>
  </w:abstractNum>
  <w:abstractNum w:abstractNumId="3">
    <w:nsid w:val="70CF599A"/>
    <w:multiLevelType w:val="singleLevel"/>
    <w:tmpl w:val="70CF599A"/>
    <w:lvl w:ilvl="0" w:tentative="0">
      <w:start w:val="3"/>
      <w:numFmt w:val="decimal"/>
      <w:suff w:val="nothing"/>
      <w:lvlText w:val="（%1）"/>
      <w:lvlJc w:val="left"/>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Mjc3ZDVhOTM0NTczYTJiNzUyZTVkM2Y3OTA1OGQifQ=="/>
  </w:docVars>
  <w:rsids>
    <w:rsidRoot w:val="004506F9"/>
    <w:rsid w:val="0002229B"/>
    <w:rsid w:val="000273BD"/>
    <w:rsid w:val="000415B7"/>
    <w:rsid w:val="00041E3F"/>
    <w:rsid w:val="00051F48"/>
    <w:rsid w:val="00055DAA"/>
    <w:rsid w:val="00061F7B"/>
    <w:rsid w:val="000658A3"/>
    <w:rsid w:val="00074155"/>
    <w:rsid w:val="00081AF1"/>
    <w:rsid w:val="000873EF"/>
    <w:rsid w:val="000A3F69"/>
    <w:rsid w:val="00103957"/>
    <w:rsid w:val="00124A1F"/>
    <w:rsid w:val="001470CE"/>
    <w:rsid w:val="00152C6D"/>
    <w:rsid w:val="00160555"/>
    <w:rsid w:val="00162D39"/>
    <w:rsid w:val="001678BD"/>
    <w:rsid w:val="00182373"/>
    <w:rsid w:val="00182B50"/>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A0D0A"/>
    <w:rsid w:val="002E0A30"/>
    <w:rsid w:val="002F53BB"/>
    <w:rsid w:val="003130C4"/>
    <w:rsid w:val="00313B10"/>
    <w:rsid w:val="00316C4B"/>
    <w:rsid w:val="0032192B"/>
    <w:rsid w:val="00327FFA"/>
    <w:rsid w:val="003479BD"/>
    <w:rsid w:val="0037197D"/>
    <w:rsid w:val="003768D5"/>
    <w:rsid w:val="003C4197"/>
    <w:rsid w:val="003C47E6"/>
    <w:rsid w:val="003C4FC2"/>
    <w:rsid w:val="003E2331"/>
    <w:rsid w:val="003F09E1"/>
    <w:rsid w:val="00416E61"/>
    <w:rsid w:val="0042201E"/>
    <w:rsid w:val="0042790C"/>
    <w:rsid w:val="004506F9"/>
    <w:rsid w:val="004717A2"/>
    <w:rsid w:val="00473DF3"/>
    <w:rsid w:val="00487911"/>
    <w:rsid w:val="00491741"/>
    <w:rsid w:val="00497300"/>
    <w:rsid w:val="004B0CEE"/>
    <w:rsid w:val="004E71CA"/>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0317E"/>
    <w:rsid w:val="00611D0C"/>
    <w:rsid w:val="0062378F"/>
    <w:rsid w:val="00641842"/>
    <w:rsid w:val="00651EEC"/>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6627B"/>
    <w:rsid w:val="00767FBF"/>
    <w:rsid w:val="00787B42"/>
    <w:rsid w:val="007C4539"/>
    <w:rsid w:val="007F3657"/>
    <w:rsid w:val="00812ED5"/>
    <w:rsid w:val="008277D9"/>
    <w:rsid w:val="0084478C"/>
    <w:rsid w:val="0086638C"/>
    <w:rsid w:val="00896B37"/>
    <w:rsid w:val="008A3E8D"/>
    <w:rsid w:val="00922D4D"/>
    <w:rsid w:val="009237C4"/>
    <w:rsid w:val="00944C48"/>
    <w:rsid w:val="00950252"/>
    <w:rsid w:val="00967F5D"/>
    <w:rsid w:val="009A0F95"/>
    <w:rsid w:val="009B3ADF"/>
    <w:rsid w:val="009C3B52"/>
    <w:rsid w:val="009E6817"/>
    <w:rsid w:val="009E6E9A"/>
    <w:rsid w:val="00A01D2B"/>
    <w:rsid w:val="00A37EC9"/>
    <w:rsid w:val="00A42218"/>
    <w:rsid w:val="00A70249"/>
    <w:rsid w:val="00A70B02"/>
    <w:rsid w:val="00A71D9F"/>
    <w:rsid w:val="00A80222"/>
    <w:rsid w:val="00A92E9F"/>
    <w:rsid w:val="00B33BEA"/>
    <w:rsid w:val="00B42C25"/>
    <w:rsid w:val="00B43F86"/>
    <w:rsid w:val="00B57C9F"/>
    <w:rsid w:val="00B63572"/>
    <w:rsid w:val="00B845B3"/>
    <w:rsid w:val="00B85D8B"/>
    <w:rsid w:val="00BB4A40"/>
    <w:rsid w:val="00BD6C3E"/>
    <w:rsid w:val="00BE3674"/>
    <w:rsid w:val="00C10681"/>
    <w:rsid w:val="00C3049A"/>
    <w:rsid w:val="00C31B1E"/>
    <w:rsid w:val="00C77645"/>
    <w:rsid w:val="00CE04C3"/>
    <w:rsid w:val="00CE76A0"/>
    <w:rsid w:val="00CF0315"/>
    <w:rsid w:val="00D148C6"/>
    <w:rsid w:val="00D17A8A"/>
    <w:rsid w:val="00D204AD"/>
    <w:rsid w:val="00D205B4"/>
    <w:rsid w:val="00D415BA"/>
    <w:rsid w:val="00D63780"/>
    <w:rsid w:val="00D644EE"/>
    <w:rsid w:val="00D75489"/>
    <w:rsid w:val="00DD06FF"/>
    <w:rsid w:val="00DD3A35"/>
    <w:rsid w:val="00DD5FE9"/>
    <w:rsid w:val="00E00C7A"/>
    <w:rsid w:val="00E209CF"/>
    <w:rsid w:val="00E37D6C"/>
    <w:rsid w:val="00E443D2"/>
    <w:rsid w:val="00E55B68"/>
    <w:rsid w:val="00E67BE6"/>
    <w:rsid w:val="00E8683C"/>
    <w:rsid w:val="00EA2B72"/>
    <w:rsid w:val="00F74360"/>
    <w:rsid w:val="00FB462F"/>
    <w:rsid w:val="00FD2F95"/>
    <w:rsid w:val="00FE16FA"/>
    <w:rsid w:val="00FE328A"/>
    <w:rsid w:val="00FE6269"/>
    <w:rsid w:val="00FF5CD6"/>
    <w:rsid w:val="011B01DE"/>
    <w:rsid w:val="01260F49"/>
    <w:rsid w:val="01AD52AE"/>
    <w:rsid w:val="01ED496B"/>
    <w:rsid w:val="025E08D1"/>
    <w:rsid w:val="030C4B2C"/>
    <w:rsid w:val="03835EE3"/>
    <w:rsid w:val="03901EEF"/>
    <w:rsid w:val="04222305"/>
    <w:rsid w:val="044D66D2"/>
    <w:rsid w:val="045A79C2"/>
    <w:rsid w:val="047A29AD"/>
    <w:rsid w:val="054B377E"/>
    <w:rsid w:val="056E6396"/>
    <w:rsid w:val="069B38A9"/>
    <w:rsid w:val="0769166C"/>
    <w:rsid w:val="07772FD3"/>
    <w:rsid w:val="07D12468"/>
    <w:rsid w:val="07DD63BF"/>
    <w:rsid w:val="07EB7E01"/>
    <w:rsid w:val="08450C9D"/>
    <w:rsid w:val="090B632C"/>
    <w:rsid w:val="09203B32"/>
    <w:rsid w:val="096C4D81"/>
    <w:rsid w:val="097926B2"/>
    <w:rsid w:val="09B60A8B"/>
    <w:rsid w:val="09DA4F52"/>
    <w:rsid w:val="09F20DD2"/>
    <w:rsid w:val="0A0D1E5F"/>
    <w:rsid w:val="0A6249F2"/>
    <w:rsid w:val="0A837F4F"/>
    <w:rsid w:val="0AC664DB"/>
    <w:rsid w:val="0B040CEC"/>
    <w:rsid w:val="0BE43B99"/>
    <w:rsid w:val="0C0A2E5E"/>
    <w:rsid w:val="0D68590D"/>
    <w:rsid w:val="0DCF212B"/>
    <w:rsid w:val="0E021B00"/>
    <w:rsid w:val="0E056610"/>
    <w:rsid w:val="0E69401F"/>
    <w:rsid w:val="0E6E28D6"/>
    <w:rsid w:val="0ED04022"/>
    <w:rsid w:val="0EEE06E1"/>
    <w:rsid w:val="0F2F6C40"/>
    <w:rsid w:val="0FE722F4"/>
    <w:rsid w:val="0FEB573B"/>
    <w:rsid w:val="10084D7E"/>
    <w:rsid w:val="1054763A"/>
    <w:rsid w:val="105942C6"/>
    <w:rsid w:val="110E2309"/>
    <w:rsid w:val="11440760"/>
    <w:rsid w:val="11BC0718"/>
    <w:rsid w:val="12B60F14"/>
    <w:rsid w:val="13084B03"/>
    <w:rsid w:val="137E0134"/>
    <w:rsid w:val="13A061A4"/>
    <w:rsid w:val="13E57571"/>
    <w:rsid w:val="14314625"/>
    <w:rsid w:val="14453C8A"/>
    <w:rsid w:val="146E3A38"/>
    <w:rsid w:val="149E6E64"/>
    <w:rsid w:val="14A04898"/>
    <w:rsid w:val="14D15F65"/>
    <w:rsid w:val="14E96A6B"/>
    <w:rsid w:val="152F659A"/>
    <w:rsid w:val="15E847CE"/>
    <w:rsid w:val="164A419E"/>
    <w:rsid w:val="16A67446"/>
    <w:rsid w:val="16D864B0"/>
    <w:rsid w:val="17192BA2"/>
    <w:rsid w:val="176A5D4B"/>
    <w:rsid w:val="17ED0EA6"/>
    <w:rsid w:val="180250E0"/>
    <w:rsid w:val="187B3E19"/>
    <w:rsid w:val="18E41440"/>
    <w:rsid w:val="19670CDB"/>
    <w:rsid w:val="1998377A"/>
    <w:rsid w:val="1A02596B"/>
    <w:rsid w:val="1A9D06B6"/>
    <w:rsid w:val="1AB83652"/>
    <w:rsid w:val="1BA063FC"/>
    <w:rsid w:val="1C275EF9"/>
    <w:rsid w:val="1C383BAE"/>
    <w:rsid w:val="1C71758E"/>
    <w:rsid w:val="1CCB49B6"/>
    <w:rsid w:val="1D0551EE"/>
    <w:rsid w:val="1D3C28F1"/>
    <w:rsid w:val="1D7A4D6E"/>
    <w:rsid w:val="1DD049BF"/>
    <w:rsid w:val="1EBF47E6"/>
    <w:rsid w:val="1EF6206C"/>
    <w:rsid w:val="1F20736A"/>
    <w:rsid w:val="1F6663F0"/>
    <w:rsid w:val="1FA4291C"/>
    <w:rsid w:val="2057734B"/>
    <w:rsid w:val="20A51F95"/>
    <w:rsid w:val="20D675FA"/>
    <w:rsid w:val="20D96455"/>
    <w:rsid w:val="21240C1B"/>
    <w:rsid w:val="215E22A9"/>
    <w:rsid w:val="216805F0"/>
    <w:rsid w:val="216E67BD"/>
    <w:rsid w:val="217A763F"/>
    <w:rsid w:val="218071E4"/>
    <w:rsid w:val="219E18C6"/>
    <w:rsid w:val="21B71E0F"/>
    <w:rsid w:val="21E0222A"/>
    <w:rsid w:val="220E6FB6"/>
    <w:rsid w:val="225C6FE6"/>
    <w:rsid w:val="22694DCA"/>
    <w:rsid w:val="22906062"/>
    <w:rsid w:val="22DC7F81"/>
    <w:rsid w:val="2341335D"/>
    <w:rsid w:val="234574E9"/>
    <w:rsid w:val="239C5208"/>
    <w:rsid w:val="23CD2014"/>
    <w:rsid w:val="23F76F3D"/>
    <w:rsid w:val="2415624E"/>
    <w:rsid w:val="24542D7E"/>
    <w:rsid w:val="249F0F91"/>
    <w:rsid w:val="25002E3B"/>
    <w:rsid w:val="256B6786"/>
    <w:rsid w:val="260769C8"/>
    <w:rsid w:val="2683112D"/>
    <w:rsid w:val="27080DA6"/>
    <w:rsid w:val="27AB3AA9"/>
    <w:rsid w:val="286D0CFC"/>
    <w:rsid w:val="289F1C24"/>
    <w:rsid w:val="28B539CC"/>
    <w:rsid w:val="29082727"/>
    <w:rsid w:val="293F2371"/>
    <w:rsid w:val="29485AF4"/>
    <w:rsid w:val="29494106"/>
    <w:rsid w:val="2954319A"/>
    <w:rsid w:val="299906C5"/>
    <w:rsid w:val="2B437AD8"/>
    <w:rsid w:val="2B613526"/>
    <w:rsid w:val="2BBA2B3D"/>
    <w:rsid w:val="2C01245C"/>
    <w:rsid w:val="2C36168E"/>
    <w:rsid w:val="2C8B30D8"/>
    <w:rsid w:val="2D2A7CFC"/>
    <w:rsid w:val="2D311685"/>
    <w:rsid w:val="2D374C25"/>
    <w:rsid w:val="2D860084"/>
    <w:rsid w:val="2ECF7DCC"/>
    <w:rsid w:val="2F526287"/>
    <w:rsid w:val="2F9D187D"/>
    <w:rsid w:val="2FA104BB"/>
    <w:rsid w:val="304B41B1"/>
    <w:rsid w:val="30916B14"/>
    <w:rsid w:val="30B51A7F"/>
    <w:rsid w:val="311271FC"/>
    <w:rsid w:val="31542C92"/>
    <w:rsid w:val="31790CC2"/>
    <w:rsid w:val="3289798B"/>
    <w:rsid w:val="32CA471F"/>
    <w:rsid w:val="339F74B1"/>
    <w:rsid w:val="33C74B0D"/>
    <w:rsid w:val="33E0599F"/>
    <w:rsid w:val="33F94DF4"/>
    <w:rsid w:val="35263E07"/>
    <w:rsid w:val="35F24E87"/>
    <w:rsid w:val="36161AEC"/>
    <w:rsid w:val="36267D50"/>
    <w:rsid w:val="364F7091"/>
    <w:rsid w:val="365019B4"/>
    <w:rsid w:val="36AA1DDD"/>
    <w:rsid w:val="36AD6CB1"/>
    <w:rsid w:val="36C22FE0"/>
    <w:rsid w:val="37051EA8"/>
    <w:rsid w:val="37446024"/>
    <w:rsid w:val="3750120C"/>
    <w:rsid w:val="377528B2"/>
    <w:rsid w:val="37802E01"/>
    <w:rsid w:val="38083897"/>
    <w:rsid w:val="38C9790C"/>
    <w:rsid w:val="396841CB"/>
    <w:rsid w:val="3A471782"/>
    <w:rsid w:val="3ACB6AA1"/>
    <w:rsid w:val="3D26165F"/>
    <w:rsid w:val="3DE43ED5"/>
    <w:rsid w:val="3E703A23"/>
    <w:rsid w:val="3E843262"/>
    <w:rsid w:val="3E8650B0"/>
    <w:rsid w:val="3E8E3CB8"/>
    <w:rsid w:val="3EF17433"/>
    <w:rsid w:val="3F1F5EB9"/>
    <w:rsid w:val="401C1EAF"/>
    <w:rsid w:val="40472F6C"/>
    <w:rsid w:val="40597A63"/>
    <w:rsid w:val="409055A6"/>
    <w:rsid w:val="40CA00B4"/>
    <w:rsid w:val="40CB172D"/>
    <w:rsid w:val="410A378A"/>
    <w:rsid w:val="414B71E4"/>
    <w:rsid w:val="41FB5B9B"/>
    <w:rsid w:val="42070A83"/>
    <w:rsid w:val="422D14CE"/>
    <w:rsid w:val="429A2035"/>
    <w:rsid w:val="42B26FD8"/>
    <w:rsid w:val="42E74552"/>
    <w:rsid w:val="432E6E94"/>
    <w:rsid w:val="4386796C"/>
    <w:rsid w:val="43D02199"/>
    <w:rsid w:val="43ED06AC"/>
    <w:rsid w:val="44022A9C"/>
    <w:rsid w:val="45000DB0"/>
    <w:rsid w:val="46A35965"/>
    <w:rsid w:val="46AB518B"/>
    <w:rsid w:val="46C436A0"/>
    <w:rsid w:val="46F47BB7"/>
    <w:rsid w:val="47213FBF"/>
    <w:rsid w:val="476D4591"/>
    <w:rsid w:val="47C60C8E"/>
    <w:rsid w:val="47D34362"/>
    <w:rsid w:val="47EA502E"/>
    <w:rsid w:val="482026CF"/>
    <w:rsid w:val="484F4821"/>
    <w:rsid w:val="48DF6688"/>
    <w:rsid w:val="4963750C"/>
    <w:rsid w:val="49A75D5F"/>
    <w:rsid w:val="49DC7191"/>
    <w:rsid w:val="49F1574D"/>
    <w:rsid w:val="4AD103BF"/>
    <w:rsid w:val="4B3D2880"/>
    <w:rsid w:val="4B797F5E"/>
    <w:rsid w:val="4B9C1D8F"/>
    <w:rsid w:val="4BDE0CDE"/>
    <w:rsid w:val="4BF07E41"/>
    <w:rsid w:val="4C407B0E"/>
    <w:rsid w:val="4C410FE2"/>
    <w:rsid w:val="4CE615DC"/>
    <w:rsid w:val="4DCC7FD7"/>
    <w:rsid w:val="4ED31D46"/>
    <w:rsid w:val="4FCA7758"/>
    <w:rsid w:val="50F252C8"/>
    <w:rsid w:val="511169E1"/>
    <w:rsid w:val="51512A8D"/>
    <w:rsid w:val="51B809C0"/>
    <w:rsid w:val="51F77A15"/>
    <w:rsid w:val="52000A1F"/>
    <w:rsid w:val="527A0857"/>
    <w:rsid w:val="52A42044"/>
    <w:rsid w:val="52C00F29"/>
    <w:rsid w:val="530A18B1"/>
    <w:rsid w:val="540E0D1F"/>
    <w:rsid w:val="546A561D"/>
    <w:rsid w:val="54914831"/>
    <w:rsid w:val="554D3A00"/>
    <w:rsid w:val="557A39A7"/>
    <w:rsid w:val="55A709C2"/>
    <w:rsid w:val="55CD2B5D"/>
    <w:rsid w:val="56026368"/>
    <w:rsid w:val="561D4FF5"/>
    <w:rsid w:val="56313C48"/>
    <w:rsid w:val="56542B4B"/>
    <w:rsid w:val="5690386D"/>
    <w:rsid w:val="570E068D"/>
    <w:rsid w:val="576132A6"/>
    <w:rsid w:val="578B02A0"/>
    <w:rsid w:val="579F72F0"/>
    <w:rsid w:val="57F72812"/>
    <w:rsid w:val="581A1A8C"/>
    <w:rsid w:val="58555962"/>
    <w:rsid w:val="587112AE"/>
    <w:rsid w:val="58D74D56"/>
    <w:rsid w:val="58E2190A"/>
    <w:rsid w:val="5944028C"/>
    <w:rsid w:val="59C13484"/>
    <w:rsid w:val="5A262350"/>
    <w:rsid w:val="5A2D107C"/>
    <w:rsid w:val="5A353BD0"/>
    <w:rsid w:val="5B191D35"/>
    <w:rsid w:val="5C334727"/>
    <w:rsid w:val="5C7F63B5"/>
    <w:rsid w:val="5D327D89"/>
    <w:rsid w:val="5D6C0E3C"/>
    <w:rsid w:val="5DA53172"/>
    <w:rsid w:val="5DD037A0"/>
    <w:rsid w:val="5DEF7841"/>
    <w:rsid w:val="5DFB292C"/>
    <w:rsid w:val="5E331E0F"/>
    <w:rsid w:val="5ED1245E"/>
    <w:rsid w:val="5F817AC7"/>
    <w:rsid w:val="5F990328"/>
    <w:rsid w:val="5FB072BC"/>
    <w:rsid w:val="5FD17C3B"/>
    <w:rsid w:val="60270E8F"/>
    <w:rsid w:val="60AA4559"/>
    <w:rsid w:val="621E50F4"/>
    <w:rsid w:val="621F5037"/>
    <w:rsid w:val="62716542"/>
    <w:rsid w:val="62BD5E1A"/>
    <w:rsid w:val="630B1508"/>
    <w:rsid w:val="63757DE9"/>
    <w:rsid w:val="637F31EB"/>
    <w:rsid w:val="63F720E6"/>
    <w:rsid w:val="640C0EB8"/>
    <w:rsid w:val="64EE0575"/>
    <w:rsid w:val="65077209"/>
    <w:rsid w:val="651B33C5"/>
    <w:rsid w:val="65407F3A"/>
    <w:rsid w:val="65A07D15"/>
    <w:rsid w:val="65BD63F3"/>
    <w:rsid w:val="65D33FCC"/>
    <w:rsid w:val="666B4603"/>
    <w:rsid w:val="66892E15"/>
    <w:rsid w:val="672B0FD6"/>
    <w:rsid w:val="67490EEF"/>
    <w:rsid w:val="67693C43"/>
    <w:rsid w:val="67EB4C37"/>
    <w:rsid w:val="686153E9"/>
    <w:rsid w:val="687B369E"/>
    <w:rsid w:val="68A72085"/>
    <w:rsid w:val="6901753F"/>
    <w:rsid w:val="690A4F5A"/>
    <w:rsid w:val="69322B90"/>
    <w:rsid w:val="69436AE2"/>
    <w:rsid w:val="698E2D07"/>
    <w:rsid w:val="69CA509B"/>
    <w:rsid w:val="6A0A2C3C"/>
    <w:rsid w:val="6BAC0047"/>
    <w:rsid w:val="6C294ACC"/>
    <w:rsid w:val="6C5D788E"/>
    <w:rsid w:val="6C60585A"/>
    <w:rsid w:val="6CB52656"/>
    <w:rsid w:val="6D781E34"/>
    <w:rsid w:val="6D8D45A6"/>
    <w:rsid w:val="6DBF6E1B"/>
    <w:rsid w:val="6E2B2311"/>
    <w:rsid w:val="6E3070AB"/>
    <w:rsid w:val="6E7B1DCF"/>
    <w:rsid w:val="6EAA3278"/>
    <w:rsid w:val="6EC11C67"/>
    <w:rsid w:val="6EC303C1"/>
    <w:rsid w:val="6ED37F78"/>
    <w:rsid w:val="6F0065EE"/>
    <w:rsid w:val="6F1F21E1"/>
    <w:rsid w:val="6F23638D"/>
    <w:rsid w:val="6F3612DC"/>
    <w:rsid w:val="6F991766"/>
    <w:rsid w:val="6FF3231E"/>
    <w:rsid w:val="700C2860"/>
    <w:rsid w:val="701D5F20"/>
    <w:rsid w:val="70DB7AB2"/>
    <w:rsid w:val="70FC74C5"/>
    <w:rsid w:val="717878A4"/>
    <w:rsid w:val="71AA0D4D"/>
    <w:rsid w:val="721C4D7D"/>
    <w:rsid w:val="7226584E"/>
    <w:rsid w:val="725D32C3"/>
    <w:rsid w:val="726A3666"/>
    <w:rsid w:val="73203AD8"/>
    <w:rsid w:val="74C45ADB"/>
    <w:rsid w:val="74F10A42"/>
    <w:rsid w:val="74FC0C2F"/>
    <w:rsid w:val="752F4795"/>
    <w:rsid w:val="75347832"/>
    <w:rsid w:val="761A27B6"/>
    <w:rsid w:val="762A2590"/>
    <w:rsid w:val="765510A4"/>
    <w:rsid w:val="767D1B6C"/>
    <w:rsid w:val="76D301F0"/>
    <w:rsid w:val="77013755"/>
    <w:rsid w:val="77056310"/>
    <w:rsid w:val="77223675"/>
    <w:rsid w:val="77365F9F"/>
    <w:rsid w:val="77AC6535"/>
    <w:rsid w:val="77BB617E"/>
    <w:rsid w:val="77C630E7"/>
    <w:rsid w:val="780A7171"/>
    <w:rsid w:val="79601121"/>
    <w:rsid w:val="79674A48"/>
    <w:rsid w:val="79B0175F"/>
    <w:rsid w:val="7B043FEC"/>
    <w:rsid w:val="7B081062"/>
    <w:rsid w:val="7BA52874"/>
    <w:rsid w:val="7BEE0CC3"/>
    <w:rsid w:val="7C476BF5"/>
    <w:rsid w:val="7C5A01EF"/>
    <w:rsid w:val="7C6F4623"/>
    <w:rsid w:val="7CC93469"/>
    <w:rsid w:val="7CFE0DF3"/>
    <w:rsid w:val="7D1856D4"/>
    <w:rsid w:val="7D2C5D7C"/>
    <w:rsid w:val="7D6C0A57"/>
    <w:rsid w:val="7D7236F7"/>
    <w:rsid w:val="7E0E1AF9"/>
    <w:rsid w:val="7E1D46FE"/>
    <w:rsid w:val="7E454707"/>
    <w:rsid w:val="7EE36F5C"/>
    <w:rsid w:val="7F1F234C"/>
    <w:rsid w:val="7F58069D"/>
    <w:rsid w:val="7FCA6DE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_Style 1"/>
    <w:basedOn w:val="1"/>
    <w:qFormat/>
    <w:uiPriority w:val="99"/>
    <w:pPr>
      <w:spacing w:line="481" w:lineRule="atLeast"/>
      <w:ind w:firstLine="623"/>
      <w:textAlignment w:val="baseline"/>
    </w:pPr>
    <w:rPr>
      <w:color w:val="000000"/>
      <w:sz w:val="31"/>
      <w:szCs w:val="31"/>
    </w:rPr>
  </w:style>
  <w:style w:type="paragraph" w:styleId="3">
    <w:name w:val="annotation text"/>
    <w:basedOn w:val="1"/>
    <w:semiHidden/>
    <w:unhideWhenUsed/>
    <w:qFormat/>
    <w:uiPriority w:val="99"/>
    <w:pPr>
      <w:jc w:val="left"/>
    </w:pPr>
  </w:style>
  <w:style w:type="paragraph" w:styleId="4">
    <w:name w:val="Balloon Text"/>
    <w:basedOn w:val="1"/>
    <w:link w:val="14"/>
    <w:semiHidden/>
    <w:unhideWhenUsed/>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jc w:val="left"/>
    </w:pPr>
    <w:rPr>
      <w:rFonts w:cs="Times New Roman"/>
      <w:kern w:val="0"/>
      <w:sz w:val="24"/>
    </w:rPr>
  </w:style>
  <w:style w:type="character" w:customStyle="1" w:styleId="10">
    <w:name w:val="页眉 Char"/>
    <w:basedOn w:val="9"/>
    <w:link w:val="6"/>
    <w:qFormat/>
    <w:uiPriority w:val="99"/>
    <w:rPr>
      <w:sz w:val="18"/>
      <w:szCs w:val="18"/>
    </w:rPr>
  </w:style>
  <w:style w:type="character" w:customStyle="1" w:styleId="11">
    <w:name w:val="页脚 Char"/>
    <w:basedOn w:val="9"/>
    <w:link w:val="5"/>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9"/>
    <w:link w:val="4"/>
    <w:semiHidden/>
    <w:qFormat/>
    <w:uiPriority w:val="99"/>
    <w:rPr>
      <w:sz w:val="18"/>
      <w:szCs w:val="18"/>
    </w:rPr>
  </w:style>
  <w:style w:type="paragraph" w:customStyle="1" w:styleId="15">
    <w:name w:val="无间隔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9949</Words>
  <Characters>10735</Characters>
  <Lines>78</Lines>
  <Paragraphs>22</Paragraphs>
  <TotalTime>0</TotalTime>
  <ScaleCrop>false</ScaleCrop>
  <LinksUpToDate>false</LinksUpToDate>
  <CharactersWithSpaces>10760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2022-09-21T07:12:00Z</dcterms:created>
  <dc:creator>李航 null</dc:creator>
  <cp:lastModifiedBy>养鱼的猫</cp:lastModifiedBy>
  <cp:lastPrinted>2022-07-27T12:55:00Z</cp:lastPrinted>
  <dcterms:modified xsi:type="dcterms:W3CDTF">2023-09-27T19:13:58Z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42068254E4EB43649544C2E3791BB0D3_13</vt:lpwstr>
  </property>
</Properties>
</file>