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2021年度</w:t>
      </w:r>
    </w:p>
    <w:p>
      <w:pPr>
        <w:pStyle w:val="11"/>
        <w:jc w:val="center"/>
        <w:rPr>
          <w:sz w:val="84"/>
          <w:szCs w:val="84"/>
        </w:rPr>
      </w:pPr>
      <w:r>
        <w:rPr>
          <w:rFonts w:hint="eastAsia"/>
          <w:sz w:val="84"/>
          <w:szCs w:val="84"/>
        </w:rPr>
        <w:t>怀化市鹤城区芙蓉学校部门决算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jc w:val="both"/>
        <w:rPr>
          <w:sz w:val="32"/>
          <w:szCs w:val="32"/>
        </w:rPr>
      </w:pPr>
    </w:p>
    <w:p>
      <w:pPr>
        <w:pStyle w:val="11"/>
        <w:jc w:val="center"/>
        <w:rPr>
          <w:sz w:val="32"/>
          <w:szCs w:val="32"/>
        </w:rPr>
      </w:pPr>
    </w:p>
    <w:p>
      <w:pPr>
        <w:pStyle w:val="11"/>
        <w:keepNext w:val="0"/>
        <w:keepLines w:val="0"/>
        <w:pageBreakBefore w:val="0"/>
        <w:widowControl w:val="0"/>
        <w:kinsoku/>
        <w:wordWrap/>
        <w:overflowPunct/>
        <w:topLinePunct w:val="0"/>
        <w:bidi w:val="0"/>
        <w:snapToGrid/>
        <w:spacing w:line="120" w:lineRule="auto"/>
        <w:jc w:val="center"/>
        <w:textAlignment w:val="auto"/>
        <w:rPr>
          <w:b/>
          <w:sz w:val="36"/>
          <w:szCs w:val="28"/>
        </w:rPr>
      </w:pPr>
      <w:r>
        <w:rPr>
          <w:rFonts w:hint="eastAsia"/>
          <w:b/>
          <w:sz w:val="36"/>
          <w:szCs w:val="28"/>
        </w:rPr>
        <w:t>目录</w:t>
      </w:r>
    </w:p>
    <w:p>
      <w:pPr>
        <w:pStyle w:val="11"/>
        <w:keepNext w:val="0"/>
        <w:keepLines w:val="0"/>
        <w:pageBreakBefore w:val="0"/>
        <w:widowControl w:val="0"/>
        <w:kinsoku/>
        <w:wordWrap/>
        <w:overflowPunct/>
        <w:topLinePunct w:val="0"/>
        <w:bidi w:val="0"/>
        <w:snapToGrid/>
        <w:spacing w:line="440" w:lineRule="exact"/>
        <w:textAlignment w:val="auto"/>
        <w:rPr>
          <w:rFonts w:ascii="仿宋_GB2312" w:hAnsi="仿宋_GB2312" w:cs="仿宋_GB2312"/>
          <w:b/>
          <w:sz w:val="28"/>
          <w:szCs w:val="28"/>
        </w:rPr>
      </w:pPr>
      <w:r>
        <w:rPr>
          <w:rFonts w:hint="eastAsia"/>
          <w:b/>
          <w:sz w:val="28"/>
          <w:szCs w:val="28"/>
        </w:rPr>
        <w:t>第一部分 怀化市鹤城区芙蓉学校</w:t>
      </w:r>
      <w:r>
        <w:rPr>
          <w:rFonts w:hint="eastAsia"/>
          <w:b/>
          <w:sz w:val="28"/>
          <w:szCs w:val="28"/>
          <w:lang w:val="en-US" w:eastAsia="zh-CN"/>
        </w:rPr>
        <w:t>单位</w:t>
      </w:r>
      <w:r>
        <w:rPr>
          <w:rFonts w:hint="eastAsia"/>
          <w:b/>
          <w:sz w:val="28"/>
          <w:szCs w:val="28"/>
        </w:rPr>
        <w:t>概况</w:t>
      </w:r>
    </w:p>
    <w:p>
      <w:pPr>
        <w:pStyle w:val="11"/>
        <w:keepNext w:val="0"/>
        <w:keepLines w:val="0"/>
        <w:pageBreakBefore w:val="0"/>
        <w:widowControl w:val="0"/>
        <w:kinsoku/>
        <w:wordWrap/>
        <w:overflowPunct/>
        <w:topLinePunct w:val="0"/>
        <w:bidi w:val="0"/>
        <w:snapToGrid/>
        <w:spacing w:line="44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keepNext w:val="0"/>
        <w:keepLines w:val="0"/>
        <w:pageBreakBefore w:val="0"/>
        <w:widowControl w:val="0"/>
        <w:kinsoku/>
        <w:wordWrap/>
        <w:overflowPunct/>
        <w:topLinePunct w:val="0"/>
        <w:bidi w:val="0"/>
        <w:snapToGrid/>
        <w:spacing w:line="44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keepNext w:val="0"/>
        <w:keepLines w:val="0"/>
        <w:pageBreakBefore w:val="0"/>
        <w:widowControl w:val="0"/>
        <w:kinsoku/>
        <w:wordWrap/>
        <w:overflowPunct/>
        <w:topLinePunct w:val="0"/>
        <w:bidi w:val="0"/>
        <w:snapToGrid/>
        <w:spacing w:line="440" w:lineRule="exact"/>
        <w:textAlignment w:val="auto"/>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1"/>
        <w:keepNext w:val="0"/>
        <w:keepLines w:val="0"/>
        <w:pageBreakBefore w:val="0"/>
        <w:widowControl w:val="0"/>
        <w:kinsoku/>
        <w:wordWrap/>
        <w:overflowPunct/>
        <w:topLinePunct w:val="0"/>
        <w:bidi w:val="0"/>
        <w:snapToGrid/>
        <w:spacing w:line="44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keepNext w:val="0"/>
        <w:keepLines w:val="0"/>
        <w:pageBreakBefore w:val="0"/>
        <w:widowControl w:val="0"/>
        <w:kinsoku/>
        <w:wordWrap/>
        <w:overflowPunct/>
        <w:topLinePunct w:val="0"/>
        <w:bidi w:val="0"/>
        <w:snapToGrid/>
        <w:spacing w:line="44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keepNext w:val="0"/>
        <w:keepLines w:val="0"/>
        <w:pageBreakBefore w:val="0"/>
        <w:widowControl w:val="0"/>
        <w:kinsoku/>
        <w:wordWrap/>
        <w:overflowPunct/>
        <w:topLinePunct w:val="0"/>
        <w:bidi w:val="0"/>
        <w:snapToGrid/>
        <w:spacing w:line="44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keepNext w:val="0"/>
        <w:keepLines w:val="0"/>
        <w:pageBreakBefore w:val="0"/>
        <w:widowControl w:val="0"/>
        <w:kinsoku/>
        <w:wordWrap/>
        <w:overflowPunct/>
        <w:topLinePunct w:val="0"/>
        <w:bidi w:val="0"/>
        <w:snapToGrid/>
        <w:spacing w:line="44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keepNext w:val="0"/>
        <w:keepLines w:val="0"/>
        <w:pageBreakBefore w:val="0"/>
        <w:widowControl w:val="0"/>
        <w:kinsoku/>
        <w:wordWrap/>
        <w:overflowPunct/>
        <w:topLinePunct w:val="0"/>
        <w:bidi w:val="0"/>
        <w:snapToGrid/>
        <w:spacing w:line="44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keepNext w:val="0"/>
        <w:keepLines w:val="0"/>
        <w:pageBreakBefore w:val="0"/>
        <w:widowControl w:val="0"/>
        <w:kinsoku/>
        <w:wordWrap/>
        <w:overflowPunct/>
        <w:topLinePunct w:val="0"/>
        <w:bidi w:val="0"/>
        <w:snapToGrid/>
        <w:spacing w:line="44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keepNext w:val="0"/>
        <w:keepLines w:val="0"/>
        <w:pageBreakBefore w:val="0"/>
        <w:widowControl w:val="0"/>
        <w:kinsoku/>
        <w:wordWrap/>
        <w:overflowPunct/>
        <w:topLinePunct w:val="0"/>
        <w:bidi w:val="0"/>
        <w:snapToGrid/>
        <w:spacing w:line="44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keepNext w:val="0"/>
        <w:keepLines w:val="0"/>
        <w:pageBreakBefore w:val="0"/>
        <w:widowControl w:val="0"/>
        <w:kinsoku/>
        <w:wordWrap/>
        <w:overflowPunct/>
        <w:topLinePunct w:val="0"/>
        <w:bidi w:val="0"/>
        <w:snapToGrid/>
        <w:spacing w:line="44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keepNext w:val="0"/>
        <w:keepLines w:val="0"/>
        <w:pageBreakBefore w:val="0"/>
        <w:widowControl w:val="0"/>
        <w:kinsoku/>
        <w:wordWrap/>
        <w:overflowPunct/>
        <w:topLinePunct w:val="0"/>
        <w:bidi w:val="0"/>
        <w:snapToGrid/>
        <w:spacing w:line="440" w:lineRule="exact"/>
        <w:ind w:firstLine="700" w:firstLineChars="250"/>
        <w:textAlignment w:val="auto"/>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keepNext w:val="0"/>
        <w:keepLines w:val="0"/>
        <w:pageBreakBefore w:val="0"/>
        <w:widowControl w:val="0"/>
        <w:kinsoku/>
        <w:wordWrap/>
        <w:overflowPunct/>
        <w:topLinePunct w:val="0"/>
        <w:bidi w:val="0"/>
        <w:snapToGrid/>
        <w:spacing w:line="440" w:lineRule="exact"/>
        <w:textAlignment w:val="auto"/>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1"/>
        <w:keepNext w:val="0"/>
        <w:keepLines w:val="0"/>
        <w:pageBreakBefore w:val="0"/>
        <w:widowControl w:val="0"/>
        <w:kinsoku/>
        <w:wordWrap/>
        <w:overflowPunct/>
        <w:topLinePunct w:val="0"/>
        <w:bidi w:val="0"/>
        <w:snapToGrid/>
        <w:spacing w:line="44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keepNext w:val="0"/>
        <w:keepLines w:val="0"/>
        <w:pageBreakBefore w:val="0"/>
        <w:widowControl w:val="0"/>
        <w:kinsoku/>
        <w:wordWrap/>
        <w:overflowPunct/>
        <w:topLinePunct w:val="0"/>
        <w:bidi w:val="0"/>
        <w:snapToGrid/>
        <w:spacing w:line="440" w:lineRule="exact"/>
        <w:ind w:firstLine="700" w:firstLineChars="250"/>
        <w:jc w:val="left"/>
        <w:textAlignment w:val="auto"/>
        <w:rPr>
          <w:rFonts w:ascii="仿宋_GB2312" w:hAnsi="仿宋_GB2312" w:cs="仿宋_GB2312"/>
          <w:sz w:val="28"/>
          <w:szCs w:val="28"/>
        </w:rPr>
      </w:pPr>
      <w:r>
        <w:rPr>
          <w:rFonts w:ascii="仿宋_GB2312" w:hAnsi="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4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4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4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4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4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keepNext w:val="0"/>
        <w:keepLines w:val="0"/>
        <w:pageBreakBefore w:val="0"/>
        <w:widowControl w:val="0"/>
        <w:kinsoku/>
        <w:wordWrap/>
        <w:overflowPunct/>
        <w:topLinePunct w:val="0"/>
        <w:autoSpaceDE w:val="0"/>
        <w:autoSpaceDN w:val="0"/>
        <w:bidi w:val="0"/>
        <w:adjustRightInd w:val="0"/>
        <w:snapToGrid/>
        <w:spacing w:line="44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40" w:lineRule="exact"/>
        <w:ind w:firstLine="700" w:firstLineChars="250"/>
        <w:jc w:val="left"/>
        <w:textAlignment w:val="auto"/>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keepNext w:val="0"/>
        <w:keepLines w:val="0"/>
        <w:pageBreakBefore w:val="0"/>
        <w:widowControl w:val="0"/>
        <w:kinsoku/>
        <w:wordWrap/>
        <w:overflowPunct/>
        <w:topLinePunct w:val="0"/>
        <w:autoSpaceDE w:val="0"/>
        <w:autoSpaceDN w:val="0"/>
        <w:bidi w:val="0"/>
        <w:adjustRightInd w:val="0"/>
        <w:snapToGrid/>
        <w:spacing w:line="44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keepNext w:val="0"/>
        <w:keepLines w:val="0"/>
        <w:pageBreakBefore w:val="0"/>
        <w:widowControl w:val="0"/>
        <w:kinsoku/>
        <w:wordWrap/>
        <w:overflowPunct/>
        <w:topLinePunct w:val="0"/>
        <w:autoSpaceDE w:val="0"/>
        <w:autoSpaceDN w:val="0"/>
        <w:bidi w:val="0"/>
        <w:adjustRightInd w:val="0"/>
        <w:snapToGrid/>
        <w:spacing w:line="44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4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1"/>
        <w:keepNext w:val="0"/>
        <w:keepLines w:val="0"/>
        <w:pageBreakBefore w:val="0"/>
        <w:widowControl w:val="0"/>
        <w:kinsoku/>
        <w:wordWrap/>
        <w:overflowPunct/>
        <w:topLinePunct w:val="0"/>
        <w:bidi w:val="0"/>
        <w:snapToGrid/>
        <w:spacing w:line="440" w:lineRule="exact"/>
        <w:ind w:firstLine="700" w:firstLineChars="250"/>
        <w:textAlignment w:val="auto"/>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keepNext w:val="0"/>
        <w:keepLines w:val="0"/>
        <w:pageBreakBefore w:val="0"/>
        <w:widowControl w:val="0"/>
        <w:kinsoku/>
        <w:wordWrap/>
        <w:overflowPunct/>
        <w:topLinePunct w:val="0"/>
        <w:bidi w:val="0"/>
        <w:snapToGrid/>
        <w:spacing w:line="440" w:lineRule="exact"/>
        <w:ind w:firstLine="700" w:firstLineChars="250"/>
        <w:textAlignment w:val="auto"/>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keepNext w:val="0"/>
        <w:keepLines w:val="0"/>
        <w:pageBreakBefore w:val="0"/>
        <w:widowControl w:val="0"/>
        <w:kinsoku/>
        <w:wordWrap/>
        <w:overflowPunct/>
        <w:topLinePunct w:val="0"/>
        <w:autoSpaceDE w:val="0"/>
        <w:autoSpaceDN w:val="0"/>
        <w:bidi w:val="0"/>
        <w:adjustRightInd w:val="0"/>
        <w:snapToGrid/>
        <w:spacing w:line="440" w:lineRule="exact"/>
        <w:ind w:firstLine="135" w:firstLineChars="48"/>
        <w:jc w:val="left"/>
        <w:textAlignment w:val="auto"/>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keepNext w:val="0"/>
        <w:keepLines w:val="0"/>
        <w:pageBreakBefore w:val="0"/>
        <w:widowControl w:val="0"/>
        <w:kinsoku/>
        <w:wordWrap/>
        <w:overflowPunct/>
        <w:topLinePunct w:val="0"/>
        <w:autoSpaceDE w:val="0"/>
        <w:autoSpaceDN w:val="0"/>
        <w:bidi w:val="0"/>
        <w:adjustRightInd w:val="0"/>
        <w:snapToGrid/>
        <w:spacing w:line="440" w:lineRule="exact"/>
        <w:ind w:firstLine="135" w:firstLineChars="48"/>
        <w:jc w:val="left"/>
        <w:textAlignment w:val="auto"/>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rPr>
          <w:sz w:val="72"/>
          <w:szCs w:val="72"/>
        </w:rPr>
      </w:pPr>
      <w:r>
        <w:rPr>
          <w:sz w:val="72"/>
          <w:szCs w:val="72"/>
        </w:rPr>
        <w:br w:type="page"/>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rFonts w:hint="eastAsia"/>
          <w:sz w:val="84"/>
          <w:szCs w:val="84"/>
        </w:rPr>
        <w:t>第一部分</w:t>
      </w:r>
    </w:p>
    <w:p>
      <w:pPr>
        <w:pStyle w:val="11"/>
        <w:jc w:val="center"/>
        <w:rPr>
          <w:sz w:val="84"/>
          <w:szCs w:val="84"/>
        </w:rPr>
      </w:pPr>
      <w:r>
        <w:rPr>
          <w:rFonts w:hint="eastAsia"/>
          <w:sz w:val="84"/>
          <w:szCs w:val="84"/>
        </w:rPr>
        <w:t>怀化市鹤城区芙蓉学校</w:t>
      </w:r>
      <w:r>
        <w:rPr>
          <w:rFonts w:hint="eastAsia"/>
          <w:sz w:val="84"/>
          <w:szCs w:val="84"/>
          <w:lang w:val="en-US" w:eastAsia="zh-CN"/>
        </w:rPr>
        <w:t>单位</w:t>
      </w: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pStyle w:val="12"/>
        <w:ind w:left="0" w:leftChars="0" w:firstLine="0" w:firstLineChars="0"/>
        <w:jc w:val="left"/>
        <w:rPr>
          <w:rFonts w:ascii="黑体" w:hAnsi="黑体" w:eastAsia="黑体"/>
          <w:sz w:val="32"/>
          <w:szCs w:val="32"/>
        </w:rPr>
      </w:pPr>
    </w:p>
    <w:p>
      <w:pPr>
        <w:pStyle w:val="12"/>
        <w:ind w:left="0" w:leftChars="0" w:firstLine="0" w:firstLineChars="0"/>
        <w:jc w:val="left"/>
        <w:rPr>
          <w:rFonts w:ascii="黑体" w:hAnsi="黑体" w:eastAsia="黑体"/>
          <w:sz w:val="32"/>
          <w:szCs w:val="32"/>
        </w:rPr>
      </w:pPr>
    </w:p>
    <w:p>
      <w:pPr>
        <w:pStyle w:val="12"/>
        <w:ind w:left="0" w:leftChars="0" w:firstLine="0" w:firstLineChars="0"/>
        <w:jc w:val="left"/>
        <w:rPr>
          <w:rFonts w:ascii="黑体" w:hAnsi="黑体" w:eastAsia="黑体"/>
          <w:sz w:val="32"/>
          <w:szCs w:val="32"/>
        </w:rPr>
      </w:pPr>
    </w:p>
    <w:p>
      <w:pPr>
        <w:pStyle w:val="12"/>
        <w:ind w:left="0" w:leftChars="0" w:firstLine="0" w:firstLineChars="0"/>
        <w:jc w:val="left"/>
        <w:rPr>
          <w:rFonts w:ascii="黑体" w:hAnsi="黑体" w:eastAsia="黑体"/>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numPr>
          <w:ilvl w:val="0"/>
          <w:numId w:val="2"/>
        </w:numPr>
        <w:spacing w:line="600" w:lineRule="exact"/>
        <w:ind w:left="0" w:leftChars="0" w:firstLine="420" w:firstLineChars="0"/>
        <w:rPr>
          <w:rFonts w:hint="eastAsia" w:ascii="宋体" w:hAnsi="宋体" w:eastAsia="宋体" w:cs="宋体"/>
          <w:sz w:val="32"/>
          <w:szCs w:val="32"/>
          <w:lang w:eastAsia="zh-CN"/>
        </w:rPr>
      </w:pPr>
      <w:r>
        <w:rPr>
          <w:rFonts w:hint="eastAsia" w:ascii="宋体" w:hAnsi="宋体" w:eastAsia="宋体" w:cs="宋体"/>
          <w:sz w:val="32"/>
          <w:szCs w:val="32"/>
        </w:rPr>
        <w:t>怀化市鹤城区芙蓉学校是全额拨款的事业单位。内设9个职能处室：校长室、书记室、副校长室、教导处、教研室、总务处、办公室、工会、德育处</w:t>
      </w:r>
      <w:r>
        <w:rPr>
          <w:rFonts w:hint="eastAsia" w:ascii="宋体" w:hAnsi="宋体" w:eastAsia="宋体" w:cs="宋体"/>
          <w:sz w:val="32"/>
          <w:szCs w:val="32"/>
          <w:lang w:eastAsia="zh-CN"/>
        </w:rPr>
        <w:t>；</w:t>
      </w:r>
    </w:p>
    <w:p>
      <w:pPr>
        <w:numPr>
          <w:ilvl w:val="0"/>
          <w:numId w:val="2"/>
        </w:numPr>
        <w:spacing w:line="600" w:lineRule="exact"/>
        <w:ind w:left="0" w:leftChars="0" w:firstLine="420" w:firstLineChars="0"/>
        <w:rPr>
          <w:rFonts w:hint="eastAsia" w:ascii="宋体" w:hAnsi="宋体" w:eastAsia="宋体" w:cs="宋体"/>
          <w:sz w:val="32"/>
          <w:szCs w:val="32"/>
          <w:lang w:eastAsia="zh-CN"/>
        </w:rPr>
      </w:pPr>
      <w:r>
        <w:rPr>
          <w:rFonts w:hint="eastAsia" w:ascii="宋体" w:hAnsi="宋体" w:eastAsia="宋体" w:cs="宋体"/>
          <w:sz w:val="32"/>
          <w:szCs w:val="32"/>
        </w:rPr>
        <w:t>主要工作职责：全面贯彻党的教育方针，落实九年义务教育各项政策，保障学生受教育的各项权利，维护教师职工各项权益</w:t>
      </w:r>
      <w:r>
        <w:rPr>
          <w:rFonts w:hint="eastAsia" w:ascii="宋体" w:hAnsi="宋体" w:eastAsia="宋体" w:cs="宋体"/>
          <w:sz w:val="32"/>
          <w:szCs w:val="32"/>
          <w:lang w:eastAsia="zh-CN"/>
        </w:rPr>
        <w:t>；</w:t>
      </w:r>
    </w:p>
    <w:p>
      <w:pPr>
        <w:numPr>
          <w:ilvl w:val="0"/>
          <w:numId w:val="2"/>
        </w:numPr>
        <w:spacing w:line="600" w:lineRule="exact"/>
        <w:ind w:left="0" w:leftChars="0" w:firstLine="420" w:firstLineChars="0"/>
        <w:rPr>
          <w:rFonts w:hint="eastAsia" w:ascii="宋体" w:hAnsi="宋体" w:eastAsia="宋体" w:cs="宋体"/>
          <w:sz w:val="32"/>
          <w:szCs w:val="32"/>
        </w:rPr>
      </w:pPr>
      <w:r>
        <w:rPr>
          <w:rFonts w:hint="eastAsia" w:ascii="宋体" w:hAnsi="宋体" w:eastAsia="宋体" w:cs="宋体"/>
          <w:sz w:val="32"/>
          <w:szCs w:val="32"/>
        </w:rPr>
        <w:t>编制人员情况:现实有在职人员25人（其中全额拨款25人，自收自支0人）。</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一）内设机构设置。鹤城区芙蓉学校内设机构包括：校长室、书记室、教务处、教导处、总务处、办公室、工会、德育处、财务室，共计9个只能处室。怀化市鹤城区芙蓉学属于全额拨款事业单位，从事小学教育教学工作，现有教职工26人，临聘教师11人。</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（二）决算单位构成。本部门决算为汇总决算，纳入编制范围的决算单位包括：怀化市鹤城区芙蓉学校本级。</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怀化市鹤城区芙蓉学校只有本级，没有下属二级机构，因此本部门决算仅含本级决算。</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jc w:val="center"/>
        <w:rPr>
          <w:sz w:val="84"/>
          <w:szCs w:val="84"/>
        </w:rPr>
      </w:pPr>
      <w:r>
        <w:rPr>
          <w:rFonts w:hint="eastAsia"/>
          <w:sz w:val="84"/>
          <w:szCs w:val="84"/>
        </w:rPr>
        <w:t>第二部分</w:t>
      </w:r>
    </w:p>
    <w:p>
      <w:pPr>
        <w:pStyle w:val="11"/>
        <w:jc w:val="center"/>
        <w:rPr>
          <w:sz w:val="84"/>
          <w:szCs w:val="84"/>
        </w:rPr>
      </w:pPr>
      <w:r>
        <w:rPr>
          <w:rFonts w:hint="eastAsia"/>
          <w:sz w:val="84"/>
          <w:szCs w:val="84"/>
        </w:rPr>
        <w:t>部门决算表</w:t>
      </w:r>
    </w:p>
    <w:p>
      <w:pPr>
        <w:pStyle w:val="11"/>
        <w:jc w:val="center"/>
        <w:rPr>
          <w:rFonts w:asciiTheme="minorEastAsia" w:hAnsiTheme="minorEastAsia"/>
          <w:sz w:val="32"/>
          <w:szCs w:val="32"/>
        </w:rPr>
        <w:sectPr>
          <w:pgSz w:w="11906" w:h="16838"/>
          <w:pgMar w:top="1440" w:right="1080" w:bottom="1440" w:left="1080" w:header="851" w:footer="992" w:gutter="0"/>
          <w:cols w:space="425" w:num="1"/>
          <w:docGrid w:type="lines" w:linePitch="312" w:charSpace="0"/>
        </w:sectPr>
      </w:pPr>
      <w:r>
        <w:rPr>
          <w:rFonts w:hint="eastAsia"/>
          <w:sz w:val="84"/>
          <w:szCs w:val="84"/>
        </w:rPr>
        <w:t>（表格见附件）</w:t>
      </w:r>
    </w:p>
    <w:p>
      <w:pPr>
        <w:pStyle w:val="11"/>
        <w:rPr>
          <w:sz w:val="72"/>
          <w:szCs w:val="72"/>
        </w:rPr>
      </w:pPr>
    </w:p>
    <w:p>
      <w:pPr>
        <w:pStyle w:val="11"/>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84"/>
          <w:szCs w:val="84"/>
        </w:rPr>
      </w:pPr>
      <w:r>
        <w:rPr>
          <w:rFonts w:hint="eastAsia"/>
          <w:sz w:val="84"/>
          <w:szCs w:val="84"/>
        </w:rPr>
        <w:t>第三部分</w:t>
      </w:r>
    </w:p>
    <w:p>
      <w:pPr>
        <w:pStyle w:val="11"/>
        <w:jc w:val="center"/>
        <w:rPr>
          <w:sz w:val="84"/>
          <w:szCs w:val="84"/>
        </w:rPr>
      </w:pPr>
    </w:p>
    <w:p>
      <w:pPr>
        <w:pStyle w:val="11"/>
        <w:jc w:val="center"/>
        <w:rPr>
          <w:sz w:val="84"/>
          <w:szCs w:val="84"/>
        </w:rPr>
      </w:pPr>
      <w:r>
        <w:rPr>
          <w:rFonts w:hint="eastAsia"/>
          <w:sz w:val="84"/>
          <w:szCs w:val="84"/>
        </w:rPr>
        <w:t>2021年度部门决算情况说明</w:t>
      </w:r>
    </w:p>
    <w:p>
      <w:pPr>
        <w:widowControl/>
        <w:jc w:val="left"/>
        <w:rPr>
          <w:rFonts w:asciiTheme="minorEastAsia" w:hAnsiTheme="minorEastAsia"/>
          <w:sz w:val="32"/>
          <w:szCs w:val="32"/>
        </w:rPr>
      </w:pPr>
      <w:r>
        <w:rPr>
          <w:sz w:val="70"/>
          <w:szCs w:val="70"/>
        </w:rPr>
        <w:br w:type="page"/>
      </w:r>
    </w:p>
    <w:p>
      <w:pPr>
        <w:pStyle w:val="11"/>
        <w:rPr>
          <w:rFonts w:hAnsi="黑体"/>
          <w:b/>
          <w:sz w:val="32"/>
          <w:szCs w:val="32"/>
        </w:rPr>
      </w:pPr>
      <w:r>
        <w:rPr>
          <w:rFonts w:hint="eastAsia" w:hAnsi="黑体"/>
          <w:b/>
          <w:sz w:val="32"/>
          <w:szCs w:val="32"/>
        </w:rPr>
        <w:t>一、收入支出决算总体情况说明</w:t>
      </w:r>
    </w:p>
    <w:p>
      <w:pPr>
        <w:pStyle w:val="11"/>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2021年度收入</w:t>
      </w:r>
      <w:r>
        <w:rPr>
          <w:rFonts w:hint="eastAsia" w:asciiTheme="minorEastAsia" w:hAnsiTheme="minorEastAsia" w:eastAsiaTheme="minorEastAsia"/>
          <w:color w:val="auto"/>
          <w:sz w:val="32"/>
          <w:szCs w:val="32"/>
          <w:lang w:val="en-US" w:eastAsia="zh-CN"/>
        </w:rPr>
        <w:t>总</w:t>
      </w:r>
      <w:r>
        <w:rPr>
          <w:rFonts w:hint="eastAsia" w:asciiTheme="minorEastAsia" w:hAnsiTheme="minorEastAsia" w:eastAsiaTheme="minorEastAsia"/>
          <w:color w:val="auto"/>
          <w:sz w:val="32"/>
          <w:szCs w:val="32"/>
        </w:rPr>
        <w:t>计620.25万元。与上年相比，增加620.25万元，增长100%，主要是因为怀化市鹤城区芙蓉学校与2020年10月建成，2020年度未设置收入支出决算总表。</w:t>
      </w:r>
    </w:p>
    <w:p>
      <w:pPr>
        <w:pStyle w:val="11"/>
        <w:ind w:firstLine="640" w:firstLineChars="200"/>
        <w:rPr>
          <w:rFonts w:asciiTheme="minorEastAsia" w:hAnsiTheme="minorEastAsia" w:eastAsiaTheme="minorEastAsia"/>
          <w:color w:val="0070C0"/>
          <w:sz w:val="32"/>
          <w:szCs w:val="32"/>
        </w:rPr>
      </w:pPr>
      <w:r>
        <w:rPr>
          <w:rFonts w:hint="eastAsia" w:asciiTheme="minorEastAsia" w:hAnsiTheme="minorEastAsia" w:eastAsiaTheme="minorEastAsia"/>
          <w:color w:val="auto"/>
          <w:sz w:val="32"/>
          <w:szCs w:val="32"/>
        </w:rPr>
        <w:t>2021年度支出</w:t>
      </w:r>
      <w:r>
        <w:rPr>
          <w:rFonts w:hint="eastAsia" w:asciiTheme="minorEastAsia" w:hAnsiTheme="minorEastAsia" w:eastAsiaTheme="minorEastAsia"/>
          <w:color w:val="auto"/>
          <w:sz w:val="32"/>
          <w:szCs w:val="32"/>
          <w:lang w:val="en-US" w:eastAsia="zh-CN"/>
        </w:rPr>
        <w:t>总</w:t>
      </w:r>
      <w:r>
        <w:rPr>
          <w:rFonts w:hint="eastAsia" w:asciiTheme="minorEastAsia" w:hAnsiTheme="minorEastAsia" w:eastAsiaTheme="minorEastAsia"/>
          <w:color w:val="auto"/>
          <w:sz w:val="32"/>
          <w:szCs w:val="32"/>
        </w:rPr>
        <w:t>计620.25万元。与上年相比，增加620.25万元，增长100%，主要是因为怀化市鹤城区芙蓉学校与2020年10月建成，2020年度未设置收入支出决算总表。</w:t>
      </w:r>
    </w:p>
    <w:p>
      <w:pPr>
        <w:pStyle w:val="11"/>
        <w:rPr>
          <w:rFonts w:hAnsi="黑体"/>
          <w:b/>
          <w:sz w:val="32"/>
          <w:szCs w:val="32"/>
        </w:rPr>
      </w:pPr>
      <w:r>
        <w:rPr>
          <w:rFonts w:hint="eastAsia" w:hAnsi="黑体"/>
          <w:b/>
          <w:sz w:val="32"/>
          <w:szCs w:val="32"/>
        </w:rPr>
        <w:t>二、收入决算情况说明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2021年度收入合计620.25万元，其中：财政拨款收入578.08万元，占93.20%；上级补助收入0万元，占0%；事业收入0万元，占0%；经营收入0万元，占0%；附属单位上缴收入0万元，占0%；其他收入42.17万元，占6.80%。</w:t>
      </w:r>
    </w:p>
    <w:p>
      <w:pPr>
        <w:pStyle w:val="11"/>
        <w:rPr>
          <w:rFonts w:hAnsi="黑体"/>
          <w:b/>
          <w:sz w:val="32"/>
          <w:szCs w:val="32"/>
        </w:rPr>
      </w:pPr>
      <w:r>
        <w:rPr>
          <w:rFonts w:hint="eastAsia" w:hAnsi="黑体"/>
          <w:b/>
          <w:sz w:val="32"/>
          <w:szCs w:val="32"/>
        </w:rPr>
        <w:t>三、支出决算情况说明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2021年度支出合计620.25万元，其中：基本支出209.81万元，占33.82%；项目支出410.45万元，占66.18%；上缴上级支出0万元，占0%；经营支出0万元，占0%；对附属单位补助支出0万元，占0%。</w:t>
      </w:r>
    </w:p>
    <w:p>
      <w:pPr>
        <w:pStyle w:val="11"/>
        <w:rPr>
          <w:rFonts w:hAnsi="黑体"/>
          <w:b/>
          <w:sz w:val="32"/>
          <w:szCs w:val="32"/>
        </w:rPr>
      </w:pPr>
      <w:r>
        <w:rPr>
          <w:rFonts w:hint="eastAsia" w:hAnsi="黑体"/>
          <w:b/>
          <w:sz w:val="32"/>
          <w:szCs w:val="32"/>
        </w:rPr>
        <w:t>四、财政拨款收入支出决算总体情况说明</w:t>
      </w:r>
    </w:p>
    <w:p>
      <w:pPr>
        <w:pStyle w:val="11"/>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2021年度财政拨款收入</w:t>
      </w:r>
      <w:r>
        <w:rPr>
          <w:rFonts w:hint="eastAsia" w:asciiTheme="minorEastAsia" w:hAnsiTheme="minorEastAsia" w:eastAsiaTheme="minorEastAsia"/>
          <w:color w:val="auto"/>
          <w:sz w:val="32"/>
          <w:szCs w:val="32"/>
          <w:lang w:val="en-US" w:eastAsia="zh-CN"/>
        </w:rPr>
        <w:t>总</w:t>
      </w:r>
      <w:r>
        <w:rPr>
          <w:rFonts w:hint="eastAsia" w:asciiTheme="minorEastAsia" w:hAnsiTheme="minorEastAsia" w:eastAsiaTheme="minorEastAsia"/>
          <w:color w:val="auto"/>
          <w:sz w:val="32"/>
          <w:szCs w:val="32"/>
        </w:rPr>
        <w:t>计578.08万元。与上年相比，增加578.08万元，增长100%，主要是因为怀化市鹤城区芙蓉学校与2020年10月建成，2020年度未设置财政拨款收入支出决算表。</w:t>
      </w:r>
    </w:p>
    <w:p>
      <w:pPr>
        <w:pStyle w:val="11"/>
        <w:ind w:firstLine="640" w:firstLineChars="200"/>
        <w:rPr>
          <w:rFonts w:hAnsi="黑体"/>
          <w:b/>
          <w:sz w:val="32"/>
          <w:szCs w:val="32"/>
        </w:rPr>
      </w:pPr>
      <w:r>
        <w:rPr>
          <w:rFonts w:hint="eastAsia" w:asciiTheme="minorEastAsia" w:hAnsiTheme="minorEastAsia" w:eastAsiaTheme="minorEastAsia"/>
          <w:color w:val="auto"/>
          <w:sz w:val="32"/>
          <w:szCs w:val="32"/>
        </w:rPr>
        <w:t>2021年度财政拨款支出</w:t>
      </w:r>
      <w:r>
        <w:rPr>
          <w:rFonts w:hint="eastAsia" w:asciiTheme="minorEastAsia" w:hAnsiTheme="minorEastAsia" w:eastAsiaTheme="minorEastAsia"/>
          <w:color w:val="auto"/>
          <w:sz w:val="32"/>
          <w:szCs w:val="32"/>
          <w:lang w:val="en-US" w:eastAsia="zh-CN"/>
        </w:rPr>
        <w:t>总</w:t>
      </w:r>
      <w:r>
        <w:rPr>
          <w:rFonts w:hint="eastAsia" w:asciiTheme="minorEastAsia" w:hAnsiTheme="minorEastAsia" w:eastAsiaTheme="minorEastAsia"/>
          <w:color w:val="auto"/>
          <w:sz w:val="32"/>
          <w:szCs w:val="32"/>
        </w:rPr>
        <w:t>计578.08万元。其中：教育支出562.69万元，占97.34%；社会保障和就业支出10.29万元，占1.78%；卫生健康支出5.11万元，占0.88%。与上年相比，增加578.08万元，增长100%，主要是因为怀化市鹤城区芙蓉学校与2020年10月建成，2020年度未设置财政拨款收入支出决算表。</w:t>
      </w:r>
    </w:p>
    <w:p>
      <w:pPr>
        <w:pStyle w:val="11"/>
        <w:rPr>
          <w:rFonts w:hAnsi="黑体"/>
          <w:b/>
          <w:sz w:val="32"/>
          <w:szCs w:val="32"/>
        </w:rPr>
      </w:pPr>
      <w:r>
        <w:rPr>
          <w:rFonts w:hint="eastAsia" w:hAnsi="黑体"/>
          <w:b/>
          <w:sz w:val="32"/>
          <w:szCs w:val="32"/>
        </w:rPr>
        <w:t>五、一般公共预算财政拨款支出决算情况说明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财政拨款支出578.08万元，占本年支出合计的100%。其中：基本支出167.63万元，占28.99%；项目支出410.45万元，占71.01%。与上年相比，增加578.08万元，增长100%，主要是因为怀化市鹤城区芙蓉学校与2020年10月建成，2020年度未设置一般公共预算财政支出决算。</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2021年度财政拨款支出578.08万元，主要用于以下方面：教育（类）支出562.69万元，占97.33%；社会保障和就业（类）支出10.29万元，占1.78%；卫生健康支出5.11万元，占0.88%。</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2021年度财政拨款支出年初预算数为237.69万元，支出决算数为578.08万元，完成年初预算的243.20%，其中：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w:t>
      </w:r>
      <w:r>
        <w:rPr>
          <w:rFonts w:hint="eastAsia" w:asciiTheme="minorEastAsia" w:hAnsiTheme="minorEastAsia" w:eastAsiaTheme="minorEastAsia"/>
          <w:color w:val="000000" w:themeColor="text1"/>
          <w:sz w:val="32"/>
          <w:szCs w:val="32"/>
        </w:rPr>
        <w:t>教育支出（类）普通教育（款）小学教育（项）</w:t>
      </w:r>
      <w:r>
        <w:rPr>
          <w:rFonts w:hint="eastAsia" w:asciiTheme="minorEastAsia" w:hAnsiTheme="minorEastAsia" w:eastAsiaTheme="minorEastAsia"/>
          <w:sz w:val="32"/>
          <w:szCs w:val="32"/>
        </w:rPr>
        <w:t>。</w:t>
      </w:r>
    </w:p>
    <w:p>
      <w:pPr>
        <w:pStyle w:val="11"/>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年初预算为152.28万元，支出决算为152.24万元，完成年初预算的99.97%，决算数小于年初预算数的主要原因是：</w:t>
      </w:r>
      <w:r>
        <w:rPr>
          <w:rFonts w:hint="eastAsia" w:asciiTheme="minorEastAsia" w:hAnsiTheme="minorEastAsia" w:eastAsiaTheme="minorEastAsia"/>
          <w:color w:val="000000" w:themeColor="text1"/>
          <w:sz w:val="32"/>
          <w:szCs w:val="32"/>
        </w:rPr>
        <w:t>本单位</w:t>
      </w:r>
      <w:r>
        <w:rPr>
          <w:rFonts w:hint="eastAsia" w:asciiTheme="minorEastAsia" w:hAnsiTheme="minorEastAsia" w:eastAsiaTheme="minorEastAsia"/>
          <w:color w:val="000000" w:themeColor="text1"/>
          <w:sz w:val="32"/>
          <w:szCs w:val="32"/>
          <w:lang w:val="en-US" w:eastAsia="zh-CN"/>
        </w:rPr>
        <w:t>厉</w:t>
      </w:r>
      <w:r>
        <w:rPr>
          <w:rFonts w:hint="eastAsia" w:asciiTheme="minorEastAsia" w:hAnsiTheme="minorEastAsia" w:eastAsiaTheme="minorEastAsia"/>
          <w:color w:val="000000" w:themeColor="text1"/>
          <w:sz w:val="32"/>
          <w:szCs w:val="32"/>
        </w:rPr>
        <w:t>行勤俭节约</w:t>
      </w:r>
      <w:r>
        <w:rPr>
          <w:rFonts w:hint="eastAsia" w:asciiTheme="minorEastAsia" w:hAnsiTheme="minorEastAsia" w:eastAsiaTheme="minorEastAsia"/>
          <w:color w:val="auto"/>
          <w:sz w:val="32"/>
          <w:szCs w:val="32"/>
        </w:rPr>
        <w:t>。</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w:t>
      </w:r>
      <w:r>
        <w:rPr>
          <w:rFonts w:asciiTheme="minorEastAsia" w:hAnsiTheme="minorEastAsia" w:eastAsiaTheme="minorEastAsia"/>
          <w:color w:val="000000" w:themeColor="text1"/>
          <w:sz w:val="32"/>
          <w:szCs w:val="32"/>
        </w:rPr>
        <w:t>教育支出</w:t>
      </w:r>
      <w:r>
        <w:rPr>
          <w:rFonts w:hint="eastAsia" w:asciiTheme="minorEastAsia" w:hAnsiTheme="minorEastAsia" w:eastAsiaTheme="minorEastAsia"/>
          <w:color w:val="000000" w:themeColor="text1"/>
          <w:sz w:val="32"/>
          <w:szCs w:val="32"/>
        </w:rPr>
        <w:t>（类）普通教育（款）其他普通教育支出（项）</w:t>
      </w:r>
      <w:r>
        <w:rPr>
          <w:rFonts w:hint="eastAsia" w:asciiTheme="minorEastAsia" w:hAnsiTheme="minorEastAsia" w:eastAsiaTheme="minorEastAsia"/>
          <w:sz w:val="32"/>
          <w:szCs w:val="32"/>
        </w:rPr>
        <w:t>。</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年初预算为1.67万元，支出决算为410.45万元，完成年初预算的245.78%，决算数大于年初预算数的主要原因是：</w:t>
      </w:r>
      <w:r>
        <w:rPr>
          <w:rFonts w:hint="eastAsia" w:asciiTheme="minorEastAsia" w:hAnsiTheme="minorEastAsia" w:eastAsiaTheme="minorEastAsia"/>
          <w:color w:val="000000" w:themeColor="text1"/>
          <w:sz w:val="32"/>
          <w:szCs w:val="32"/>
        </w:rPr>
        <w:t>年初预算未报，中途追加预算，其</w:t>
      </w:r>
      <w:r>
        <w:rPr>
          <w:rFonts w:hint="eastAsia" w:asciiTheme="minorEastAsia" w:hAnsiTheme="minorEastAsia" w:eastAsiaTheme="minorEastAsia"/>
          <w:sz w:val="32"/>
          <w:szCs w:val="32"/>
        </w:rPr>
        <w:t>他普通教育支出大部分用于学校项目支出。</w:t>
      </w:r>
    </w:p>
    <w:p>
      <w:pPr>
        <w:pStyle w:val="11"/>
        <w:numPr>
          <w:ilvl w:val="0"/>
          <w:numId w:val="3"/>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社会保障和就业支出（类）行政失业单位养老支出（款）机关事业单位基本养老保险缴费支出（项）。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年初预算为12.26万元，支出决算为10.29万元，完成年初预算的83.93%，决算数小于年初预算数的主要原因是：学校带编教师全部是区内调动，其机关单位基本养老保险由原单位支出。</w:t>
      </w:r>
    </w:p>
    <w:p>
      <w:pPr>
        <w:pStyle w:val="11"/>
        <w:numPr>
          <w:ilvl w:val="0"/>
          <w:numId w:val="3"/>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卫生健康支出（类）行政事业单位医疗（款）事业单位医疗（项）。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年初预算为0万元，支出决算为5.11万元，由于预算数为0，无法计算百分比，决算数大于年初预算数的主要原因是：</w:t>
      </w:r>
      <w:r>
        <w:rPr>
          <w:rFonts w:hint="eastAsia" w:asciiTheme="minorEastAsia" w:hAnsiTheme="minorEastAsia" w:eastAsiaTheme="minorEastAsia"/>
          <w:color w:val="000000" w:themeColor="text1"/>
          <w:sz w:val="32"/>
          <w:szCs w:val="32"/>
        </w:rPr>
        <w:t>年初预算未报，中途追加预算</w:t>
      </w:r>
      <w:r>
        <w:rPr>
          <w:rFonts w:hint="eastAsia" w:asciiTheme="minorEastAsia" w:hAnsiTheme="minorEastAsia" w:eastAsiaTheme="minorEastAsia"/>
          <w:sz w:val="32"/>
          <w:szCs w:val="32"/>
        </w:rPr>
        <w:t>。</w:t>
      </w:r>
    </w:p>
    <w:p>
      <w:pPr>
        <w:pStyle w:val="11"/>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167.64万元，其中：人员经费144.57万元，占基本支出的86.23%,主要包括基本工资、津贴补贴、奖金、伙食补助费、绩效工资、机关事业单位基本养老保险缴费、职工基本医疗保险缴费、其他社会保障缴费、其他工资福利支出、医疗费补助、助学金；公用经费23.07万元，占基本支出的13.77%，主要包括办公费、咨询费、水费、电费、物业管理费、差率费、培训费、专用材料费、劳务费、工会经费、其他交通经费、其他商品和服务支出、办公设备购置、专用设备购置。</w:t>
      </w:r>
    </w:p>
    <w:p>
      <w:pPr>
        <w:pStyle w:val="11"/>
        <w:rPr>
          <w:rFonts w:hAnsi="黑体"/>
          <w:b/>
          <w:sz w:val="32"/>
          <w:szCs w:val="32"/>
        </w:rPr>
      </w:pPr>
      <w:r>
        <w:rPr>
          <w:rFonts w:hint="eastAsia" w:hAnsi="黑体"/>
          <w:b/>
          <w:sz w:val="32"/>
          <w:szCs w:val="32"/>
        </w:rPr>
        <w:t>七、一般公共预算财政拨款“三公”经费支出决算情况说明</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2021年度“三公”经费财政拨款支出预算为0万元，支出决算为0万元，由于预算数为0，无法计算百分比，其中：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因公出国（境）费支出预算为0万元，支出决算为0万元，由于预算数为0，无法计算百分比，</w:t>
      </w:r>
      <w:r>
        <w:rPr>
          <w:rFonts w:hint="eastAsia" w:asciiTheme="minorEastAsia" w:hAnsiTheme="minorEastAsia" w:eastAsiaTheme="minorEastAsia"/>
          <w:color w:val="000000" w:themeColor="text1"/>
          <w:sz w:val="32"/>
          <w:szCs w:val="32"/>
        </w:rPr>
        <w:t>决算数与年初预算数持平</w:t>
      </w:r>
      <w:r>
        <w:rPr>
          <w:rFonts w:hint="eastAsia" w:asciiTheme="minorEastAsia" w:hAnsiTheme="minorEastAsia" w:eastAsiaTheme="minorEastAsia"/>
          <w:sz w:val="32"/>
          <w:szCs w:val="32"/>
        </w:rPr>
        <w:t>。</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公务接待费支出预算为0万元，支出决算为0万元，由于预算数为0，无法计算百分比，</w:t>
      </w:r>
      <w:r>
        <w:rPr>
          <w:rFonts w:hint="eastAsia" w:asciiTheme="minorEastAsia" w:hAnsiTheme="minorEastAsia" w:eastAsiaTheme="minorEastAsia"/>
          <w:color w:val="000000" w:themeColor="text1"/>
          <w:sz w:val="32"/>
          <w:szCs w:val="32"/>
        </w:rPr>
        <w:t>决算数与年初预算数持平</w:t>
      </w:r>
      <w:r>
        <w:rPr>
          <w:rFonts w:hint="eastAsia" w:asciiTheme="minorEastAsia" w:hAnsiTheme="minorEastAsia" w:eastAsiaTheme="minorEastAsia"/>
          <w:sz w:val="32"/>
          <w:szCs w:val="32"/>
        </w:rPr>
        <w:t>。</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公务用车购置费支出预算为0万元，支出决算为0万元，由于预算数为0，无法计算百分比，</w:t>
      </w:r>
      <w:r>
        <w:rPr>
          <w:rFonts w:hint="eastAsia" w:asciiTheme="minorEastAsia" w:hAnsiTheme="minorEastAsia" w:eastAsiaTheme="minorEastAsia"/>
          <w:color w:val="000000" w:themeColor="text1"/>
          <w:sz w:val="32"/>
          <w:szCs w:val="32"/>
        </w:rPr>
        <w:t>决算数与年初预算数持平</w:t>
      </w:r>
      <w:r>
        <w:rPr>
          <w:rFonts w:hint="eastAsia" w:asciiTheme="minorEastAsia" w:hAnsiTheme="minorEastAsia" w:eastAsiaTheme="minorEastAsia"/>
          <w:sz w:val="32"/>
          <w:szCs w:val="32"/>
        </w:rPr>
        <w:t>。</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公务用车运行维护费支出预算为0万元，支出决算为0万元，由于预算数为0，无法计算百分比，</w:t>
      </w:r>
      <w:r>
        <w:rPr>
          <w:rFonts w:hint="eastAsia" w:asciiTheme="minorEastAsia" w:hAnsiTheme="minorEastAsia" w:eastAsiaTheme="minorEastAsia"/>
          <w:color w:val="000000" w:themeColor="text1"/>
          <w:sz w:val="32"/>
          <w:szCs w:val="32"/>
        </w:rPr>
        <w:t>决算数与年初预算数持平</w:t>
      </w:r>
      <w:r>
        <w:rPr>
          <w:rFonts w:hint="eastAsia" w:asciiTheme="minorEastAsia" w:hAnsiTheme="minorEastAsia" w:eastAsiaTheme="minorEastAsia"/>
          <w:sz w:val="32"/>
          <w:szCs w:val="32"/>
        </w:rPr>
        <w:t>。</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2021年度“三公”经费财政拨款支出决算中，公务接待费支出决算0万元，占0%,因公出国（境）费支出决算0万元，占0%,公务用车购置费及运行维护费支出决算0万元，占0%。其中：</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1、因公出国（境）费支出决算为0万元，全年安排因公出国（境）团组0个，累计0人次,无开支内容。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2、公务接待费支出决算为0万元，全年共接待来访团组0个、来宾0人次，主要是无公务接待支出。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3、公务用车购置费及运行维护费支出决算为0万元，其中：公务用车购置费0万元，怀化市鹤城区芙蓉学校更新公务用车0辆</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公务用车运行维护费0万元，主要是原因无公务用车，截止2021年12月31日，我单位开支财政拨款的公务用车保有量为0辆。</w:t>
      </w:r>
    </w:p>
    <w:p>
      <w:pPr>
        <w:pStyle w:val="11"/>
        <w:rPr>
          <w:rFonts w:hAnsi="黑体"/>
          <w:b/>
          <w:sz w:val="32"/>
          <w:szCs w:val="32"/>
        </w:rPr>
      </w:pPr>
      <w:r>
        <w:rPr>
          <w:rFonts w:hint="eastAsia" w:hAnsi="黑体"/>
          <w:b/>
          <w:sz w:val="32"/>
          <w:szCs w:val="32"/>
        </w:rPr>
        <w:t>八、政府性基金预算收入支出决算情况</w:t>
      </w:r>
    </w:p>
    <w:p>
      <w:pPr>
        <w:pStyle w:val="11"/>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2021年度政府性基金预算财政拨款收入0万元；年初结转和结余0万元；支出0万元，其中基本支出0万元，项目支出0万元；年末结转和结余0万元。</w:t>
      </w:r>
      <w:r>
        <w:rPr>
          <w:rFonts w:hint="eastAsia" w:asciiTheme="minorEastAsia" w:hAnsiTheme="minorEastAsia" w:eastAsiaTheme="minorEastAsia"/>
          <w:color w:val="000000" w:themeColor="text1"/>
          <w:sz w:val="32"/>
          <w:szCs w:val="32"/>
        </w:rPr>
        <w:t>本单位无政府性基金预算收入支出。</w:t>
      </w:r>
    </w:p>
    <w:p>
      <w:pPr>
        <w:pStyle w:val="11"/>
        <w:rPr>
          <w:rFonts w:hAnsi="黑体"/>
          <w:b/>
          <w:sz w:val="32"/>
          <w:szCs w:val="32"/>
        </w:rPr>
      </w:pPr>
      <w:r>
        <w:rPr>
          <w:rFonts w:hint="eastAsia" w:hAnsi="黑体"/>
          <w:b/>
          <w:sz w:val="32"/>
          <w:szCs w:val="32"/>
        </w:rPr>
        <w:t>九、国有资本经营预算财政拨款支出情况</w:t>
      </w:r>
    </w:p>
    <w:p>
      <w:pPr>
        <w:pStyle w:val="11"/>
        <w:ind w:firstLine="640" w:firstLineChars="20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w:t>
      </w:r>
      <w:r>
        <w:rPr>
          <w:rFonts w:hint="eastAsia" w:asciiTheme="minorEastAsia" w:hAnsiTheme="minorEastAsia" w:eastAsiaTheme="minorEastAsia"/>
          <w:color w:val="auto"/>
          <w:sz w:val="32"/>
          <w:szCs w:val="32"/>
          <w:lang w:val="en-US" w:eastAsia="zh-CN"/>
        </w:rPr>
        <w:t>1</w:t>
      </w:r>
      <w:r>
        <w:rPr>
          <w:rFonts w:hint="eastAsia" w:asciiTheme="minorEastAsia" w:hAnsiTheme="minorEastAsia" w:eastAsiaTheme="minorEastAsia"/>
          <w:color w:val="auto"/>
          <w:sz w:val="32"/>
          <w:szCs w:val="32"/>
        </w:rPr>
        <w:t>年度国有资本经营预算财政拨款收入</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万元；年初结转和结余</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万元，其中基本支出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万元，项目支出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万元；年末结转和结余</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w:t>
      </w:r>
    </w:p>
    <w:p>
      <w:pPr>
        <w:pStyle w:val="11"/>
        <w:rPr>
          <w:rFonts w:hAnsi="黑体"/>
          <w:b/>
          <w:sz w:val="32"/>
          <w:szCs w:val="32"/>
        </w:rPr>
      </w:pPr>
      <w:r>
        <w:rPr>
          <w:rFonts w:hint="eastAsia" w:hAnsi="黑体"/>
          <w:b/>
          <w:sz w:val="32"/>
          <w:szCs w:val="32"/>
        </w:rPr>
        <w:t>十、机关运行经费支出说明</w:t>
      </w:r>
    </w:p>
    <w:p>
      <w:pPr>
        <w:pStyle w:val="11"/>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color w:val="auto"/>
          <w:sz w:val="32"/>
          <w:szCs w:val="32"/>
        </w:rPr>
        <w:t>机关运行经费为保障行政单位（含参照公务员法管理的事业单位）运行用于购买货物和服务的各项资金，本单位为财政补助事业单位，无机关运行经费，</w:t>
      </w:r>
      <w:r>
        <w:rPr>
          <w:rFonts w:hint="eastAsia" w:asciiTheme="minorEastAsia" w:hAnsiTheme="minorEastAsia" w:eastAsiaTheme="minorEastAsia"/>
          <w:sz w:val="32"/>
          <w:szCs w:val="32"/>
        </w:rPr>
        <w:t>本单位公用经费为23.07万元，年初预算为30.59万元，比年初预算数减少7.52万元，降低24.58%。主要原因是：本单位例行勤俭节约、开源节流。</w:t>
      </w:r>
    </w:p>
    <w:p>
      <w:pPr>
        <w:pStyle w:val="11"/>
        <w:rPr>
          <w:rFonts w:hAnsi="黑体"/>
          <w:b/>
          <w:sz w:val="32"/>
          <w:szCs w:val="32"/>
        </w:rPr>
      </w:pPr>
      <w:r>
        <w:rPr>
          <w:rFonts w:hint="eastAsia" w:hAnsi="黑体"/>
          <w:b/>
          <w:sz w:val="32"/>
          <w:szCs w:val="32"/>
        </w:rPr>
        <w:t>十一、一般性支出情况说明</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2021年本部门开支会议费0万元，人数0人；开支培训费</w:t>
      </w:r>
      <w:r>
        <w:rPr>
          <w:rFonts w:hint="eastAsia" w:cs="黑体" w:asciiTheme="minorEastAsia" w:hAnsiTheme="minorEastAsia"/>
          <w:color w:val="000000"/>
          <w:kern w:val="0"/>
          <w:sz w:val="32"/>
          <w:szCs w:val="32"/>
          <w:lang w:val="en-US" w:eastAsia="zh-CN"/>
        </w:rPr>
        <w:t>1.68</w:t>
      </w:r>
      <w:r>
        <w:rPr>
          <w:rFonts w:hint="eastAsia" w:cs="黑体" w:asciiTheme="minorEastAsia" w:hAnsiTheme="minorEastAsia"/>
          <w:color w:val="000000"/>
          <w:kern w:val="0"/>
          <w:sz w:val="32"/>
          <w:szCs w:val="32"/>
        </w:rPr>
        <w:t>万元，人数</w:t>
      </w:r>
      <w:r>
        <w:rPr>
          <w:rFonts w:hint="eastAsia" w:cs="黑体" w:asciiTheme="minorEastAsia" w:hAnsiTheme="minorEastAsia"/>
          <w:color w:val="000000"/>
          <w:kern w:val="0"/>
          <w:sz w:val="32"/>
          <w:szCs w:val="32"/>
          <w:lang w:val="en-US" w:eastAsia="zh-CN"/>
        </w:rPr>
        <w:t>30</w:t>
      </w:r>
      <w:r>
        <w:rPr>
          <w:rFonts w:hint="eastAsia" w:cs="黑体" w:asciiTheme="minorEastAsia" w:hAnsiTheme="minorEastAsia"/>
          <w:color w:val="000000"/>
          <w:kern w:val="0"/>
          <w:sz w:val="32"/>
          <w:szCs w:val="32"/>
        </w:rPr>
        <w:t>人；未举办节庆、晚会、论坛、赛事活动，开支0万元。</w:t>
      </w:r>
    </w:p>
    <w:p>
      <w:pPr>
        <w:pStyle w:val="11"/>
        <w:rPr>
          <w:rFonts w:hAnsi="黑体"/>
          <w:b/>
          <w:sz w:val="32"/>
          <w:szCs w:val="32"/>
        </w:rPr>
      </w:pPr>
      <w:r>
        <w:rPr>
          <w:rFonts w:hint="eastAsia" w:hAnsi="黑体"/>
          <w:b/>
          <w:sz w:val="32"/>
          <w:szCs w:val="32"/>
        </w:rPr>
        <w:t>十二、政府采购支出说明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1"/>
        <w:rPr>
          <w:rFonts w:hAnsi="黑体"/>
          <w:b/>
          <w:sz w:val="32"/>
          <w:szCs w:val="32"/>
        </w:rPr>
      </w:pPr>
      <w:bookmarkStart w:id="0" w:name="_GoBack"/>
      <w:bookmarkEnd w:id="0"/>
      <w:r>
        <w:rPr>
          <w:rFonts w:hint="eastAsia" w:hAnsi="黑体"/>
          <w:b/>
          <w:sz w:val="32"/>
          <w:szCs w:val="32"/>
        </w:rPr>
        <w:t>十三、国有资产占用情况说明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pStyle w:val="11"/>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年度一般公共预算项目支出全面开展绩效自评，其中，一级项目1个，二级项目1个，共涉及资金28.45万元，占一般公共预算项目支出总额的100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年度0个政府性基金预算项目支出开展绩效自评，共涉及资金0万元，占政府性基金预算项目支出总额的0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组织对“保安工资”“临聘教师工资”2个项目开展了部门评价，涉及一般公共预算支出28.45万元，政府性基金预算支出0万元，国有资本经营预算支出0万元。从评价情况来看，从评价情况来看，</w:t>
      </w:r>
      <w:r>
        <w:rPr>
          <w:rFonts w:hint="eastAsia" w:ascii="宋体" w:hAnsi="宋体" w:eastAsia="宋体" w:cs="Times New Roman"/>
          <w:sz w:val="32"/>
          <w:szCs w:val="32"/>
        </w:rPr>
        <w:t>绩效评价为99分。以后高度重视绩效评价工作，由专人负责；按照评价要求和项目特点，科学制定评价方法和指标；按照“三重一大”的要求做到各部门层层把关，相互监督</w:t>
      </w:r>
      <w:r>
        <w:rPr>
          <w:rFonts w:hint="eastAsia" w:cs="黑体" w:asciiTheme="minorEastAsia" w:hAnsiTheme="minorEastAsia"/>
          <w:color w:val="000000"/>
          <w:kern w:val="0"/>
          <w:sz w:val="32"/>
          <w:szCs w:val="32"/>
        </w:rPr>
        <w:t>。</w:t>
      </w:r>
    </w:p>
    <w:p>
      <w:pPr>
        <w:widowControl/>
        <w:shd w:val="clear" w:color="auto" w:fill="FFFFFF"/>
        <w:spacing w:line="600" w:lineRule="atLeast"/>
        <w:ind w:firstLine="64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组织对“怀化市鹤城区付芙蓉学校”1个单位开展整体支出绩效评价，涉及一般公共预算支出28.45万元，政府性基金预算支出0万元。从评价情况来看，</w:t>
      </w:r>
      <w:r>
        <w:rPr>
          <w:rFonts w:hint="eastAsia" w:ascii="宋体" w:hAnsi="宋体" w:eastAsia="宋体" w:cs="Times New Roman"/>
          <w:sz w:val="32"/>
          <w:szCs w:val="32"/>
        </w:rPr>
        <w:t>2021年，</w:t>
      </w:r>
      <w:r>
        <w:rPr>
          <w:rFonts w:hint="eastAsia" w:asciiTheme="minorEastAsia" w:hAnsiTheme="minorEastAsia"/>
          <w:sz w:val="32"/>
          <w:szCs w:val="32"/>
        </w:rPr>
        <w:t>怀化市</w:t>
      </w:r>
      <w:r>
        <w:rPr>
          <w:rFonts w:hint="eastAsia" w:ascii="宋体" w:hAnsi="宋体" w:eastAsia="宋体" w:cs="Times New Roman"/>
          <w:sz w:val="32"/>
          <w:szCs w:val="32"/>
        </w:rPr>
        <w:t>鹤城区芙蓉学校按照“四本预算”，确立支出绩效目标，对各项资金均进行制度化管理，按规划组织实施，保证了各项资金使用的真实、合法、有效，提高了资金的使用率。保证单位的高效运转；确保各项决策部署得到有效落实产生了良好的社会效应，也取得了发展的可持续性、长效性。</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保安工资项目绩效自评综述：根据年初设定的绩效目标，项目绩效自评得分为100分。项目全年预算数为7.45万元，执行数为7.45万元，完成预算的100%。项目绩效目标完成情况：通过项目的实施，确保师生学生在学校安心的学习生活，创造良好的经济效益，深受广大居民欢迎，创造了良好的社会经济效益。发现的主要问题及原因：发现的主要问题及原因：</w:t>
      </w:r>
      <w:r>
        <w:rPr>
          <w:rFonts w:hint="eastAsia" w:ascii="宋体" w:hAnsi="宋体" w:cs="仿宋_GB2312"/>
          <w:sz w:val="32"/>
          <w:szCs w:val="32"/>
        </w:rPr>
        <w:t>对绩效评价工作的认识和专业程度还有待加强</w:t>
      </w:r>
      <w:r>
        <w:rPr>
          <w:rFonts w:hint="eastAsia" w:cs="黑体" w:asciiTheme="minorEastAsia" w:hAnsiTheme="minorEastAsia"/>
          <w:color w:val="000000"/>
          <w:kern w:val="0"/>
          <w:sz w:val="32"/>
          <w:szCs w:val="32"/>
        </w:rPr>
        <w:t>。下一步改进措施：一是</w:t>
      </w:r>
      <w:r>
        <w:rPr>
          <w:rFonts w:hint="eastAsia" w:ascii="宋体" w:hAnsi="宋体" w:cs="仿宋_GB2312"/>
          <w:sz w:val="32"/>
          <w:szCs w:val="32"/>
        </w:rPr>
        <w:t>严格遵循把</w:t>
      </w:r>
      <w:r>
        <w:rPr>
          <w:rFonts w:hint="eastAsia" w:cs="仿宋_GB2312" w:asciiTheme="minorEastAsia" w:hAnsiTheme="minorEastAsia"/>
          <w:sz w:val="32"/>
          <w:szCs w:val="32"/>
        </w:rPr>
        <w:t>控</w:t>
      </w:r>
      <w:r>
        <w:rPr>
          <w:rFonts w:hint="eastAsia" w:ascii="宋体" w:hAnsi="宋体" w:cs="仿宋_GB2312"/>
          <w:sz w:val="32"/>
          <w:szCs w:val="32"/>
        </w:rPr>
        <w:t>财政资金使用</w:t>
      </w:r>
      <w:r>
        <w:rPr>
          <w:rFonts w:hint="eastAsia" w:cs="黑体" w:asciiTheme="minorEastAsia" w:hAnsiTheme="minorEastAsia"/>
          <w:color w:val="000000"/>
          <w:kern w:val="0"/>
          <w:sz w:val="32"/>
          <w:szCs w:val="32"/>
        </w:rPr>
        <w:t>；二是</w:t>
      </w:r>
      <w:r>
        <w:rPr>
          <w:rFonts w:hint="eastAsia" w:ascii="宋体" w:hAnsi="宋体" w:cs="仿宋_GB2312"/>
          <w:sz w:val="32"/>
          <w:szCs w:val="32"/>
        </w:rPr>
        <w:t>严格</w:t>
      </w:r>
      <w:r>
        <w:rPr>
          <w:rFonts w:hint="eastAsia" w:cs="仿宋_GB2312" w:asciiTheme="minorEastAsia" w:hAnsiTheme="minorEastAsia"/>
          <w:sz w:val="32"/>
          <w:szCs w:val="32"/>
        </w:rPr>
        <w:t>落实不断提高专业水平</w:t>
      </w:r>
      <w:r>
        <w:rPr>
          <w:rFonts w:hint="eastAsia" w:cs="黑体" w:asciiTheme="minorEastAsia" w:hAnsiTheme="minorEastAsia"/>
          <w:color w:val="000000"/>
          <w:kern w:val="0"/>
          <w:sz w:val="32"/>
          <w:szCs w:val="32"/>
        </w:rPr>
        <w:t>。</w:t>
      </w:r>
    </w:p>
    <w:p>
      <w:pPr>
        <w:pStyle w:val="6"/>
        <w:spacing w:before="0" w:beforeAutospacing="0" w:after="0" w:afterAutospacing="0" w:line="480" w:lineRule="auto"/>
        <w:ind w:firstLine="480"/>
        <w:rPr>
          <w:rFonts w:cs="黑体" w:asciiTheme="minorEastAsia" w:hAnsiTheme="minorEastAsia"/>
          <w:color w:val="000000"/>
          <w:sz w:val="32"/>
          <w:szCs w:val="32"/>
        </w:rPr>
      </w:pPr>
      <w:r>
        <w:rPr>
          <w:rFonts w:hint="eastAsia" w:cs="黑体" w:asciiTheme="minorEastAsia" w:hAnsiTheme="minorEastAsia"/>
          <w:color w:val="000000"/>
          <w:sz w:val="32"/>
          <w:szCs w:val="32"/>
        </w:rPr>
        <w:t>临聘教师工资项目绩效自评综述：根据年初设定的绩效目标，项目绩效自评得分为100分。项目全年预算数为21万元，执行数为21万元，完成预算的100</w:t>
      </w:r>
      <w:r>
        <w:rPr>
          <w:rFonts w:cs="黑体" w:asciiTheme="minorEastAsia" w:hAnsiTheme="minorEastAsia"/>
          <w:color w:val="000000"/>
          <w:sz w:val="32"/>
          <w:szCs w:val="32"/>
        </w:rPr>
        <w:t>%</w:t>
      </w:r>
      <w:r>
        <w:rPr>
          <w:rFonts w:hint="eastAsia" w:cs="黑体" w:asciiTheme="minorEastAsia" w:hAnsiTheme="minorEastAsia"/>
          <w:color w:val="000000"/>
          <w:sz w:val="32"/>
          <w:szCs w:val="32"/>
        </w:rPr>
        <w:t>。项目绩效目标完成情况：发现的主要问题及原因：编制教师人数少，故而我校本年度聘请了较多临时代课老师，进而导致日常经费开支增加。加上现代化设备的使用率提高，致使水电费的支出增长，以致经费预算不足，造成学校的经费使用不尽合理。下一步改进措施：一是严格遵循把控财政资金使用；二是加强绩效评价管理评价的可操作性，对相关业务人员进行相关培训，以提高业务知识水平。</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spacing w:line="560" w:lineRule="exact"/>
        <w:ind w:firstLine="640" w:firstLineChars="200"/>
        <w:rPr>
          <w:rFonts w:ascii="宋体" w:hAnsi="宋体" w:eastAsia="宋体" w:cs="Times New Roman"/>
          <w:sz w:val="32"/>
          <w:szCs w:val="32"/>
        </w:rPr>
      </w:pPr>
      <w:r>
        <w:rPr>
          <w:rFonts w:hint="eastAsia" w:ascii="宋体" w:hAnsi="宋体" w:eastAsia="宋体" w:cs="Times New Roman"/>
          <w:sz w:val="32"/>
          <w:szCs w:val="32"/>
        </w:rPr>
        <w:t>2021年怀化市欧城小学实际操作申报的项目共2个，分别为：</w:t>
      </w:r>
      <w:r>
        <w:rPr>
          <w:rFonts w:hint="eastAsia" w:cs="黑体" w:asciiTheme="minorEastAsia" w:hAnsiTheme="minorEastAsia"/>
          <w:color w:val="000000"/>
          <w:kern w:val="0"/>
          <w:sz w:val="32"/>
          <w:szCs w:val="32"/>
        </w:rPr>
        <w:t>保安工资、临聘教师工资</w:t>
      </w:r>
      <w:r>
        <w:rPr>
          <w:rFonts w:hint="eastAsia" w:asciiTheme="minorEastAsia" w:hAnsiTheme="minorEastAsia"/>
          <w:sz w:val="32"/>
          <w:szCs w:val="32"/>
        </w:rPr>
        <w:t>并已单独在绩效评价中公开</w:t>
      </w:r>
      <w:r>
        <w:rPr>
          <w:rFonts w:hint="eastAsia" w:ascii="宋体" w:hAnsi="宋体" w:eastAsia="宋体" w:cs="Times New Roman"/>
          <w:sz w:val="32"/>
          <w:szCs w:val="32"/>
        </w:rPr>
        <w:t>。</w:t>
      </w:r>
    </w:p>
    <w:p>
      <w:pPr>
        <w:widowControl/>
        <w:shd w:val="clear" w:color="auto" w:fill="FFFFFF"/>
        <w:spacing w:line="600" w:lineRule="atLeast"/>
        <w:ind w:firstLine="640"/>
        <w:rPr>
          <w:rFonts w:ascii="宋体" w:hAnsi="宋体" w:eastAsia="宋体" w:cs="Times New Roman"/>
          <w:sz w:val="32"/>
          <w:szCs w:val="32"/>
        </w:rPr>
      </w:pPr>
      <w:r>
        <w:rPr>
          <w:rFonts w:hint="eastAsia" w:ascii="宋体" w:hAnsi="宋体" w:eastAsia="宋体" w:cs="Times New Roman"/>
          <w:sz w:val="32"/>
          <w:szCs w:val="32"/>
        </w:rPr>
        <w:t>2021年 怀化市欧城小学严格按照上级指示完成了预算与支出，保证了学校的正常工作开展；确保各项决策部署得到有效落实产生了良好的社会效应，也取得了发展的可持续性、长效性。</w:t>
      </w:r>
    </w:p>
    <w:p>
      <w:pPr>
        <w:autoSpaceDE w:val="0"/>
        <w:autoSpaceDN w:val="0"/>
        <w:adjustRightInd w:val="0"/>
        <w:ind w:firstLine="640" w:firstLineChars="200"/>
        <w:jc w:val="left"/>
        <w:rPr>
          <w:rFonts w:cs="黑体" w:asciiTheme="minorEastAsia" w:hAnsiTheme="minorEastAsia"/>
          <w:color w:val="FF0000"/>
          <w:kern w:val="0"/>
          <w:sz w:val="32"/>
          <w:szCs w:val="32"/>
        </w:rPr>
      </w:pPr>
    </w:p>
    <w:p>
      <w:pPr>
        <w:autoSpaceDE w:val="0"/>
        <w:autoSpaceDN w:val="0"/>
        <w:adjustRightInd w:val="0"/>
        <w:ind w:firstLine="640" w:firstLineChars="200"/>
        <w:jc w:val="left"/>
        <w:rPr>
          <w:rFonts w:cs="黑体" w:asciiTheme="minorEastAsia" w:hAnsiTheme="minorEastAsia"/>
          <w:color w:val="FF0000"/>
          <w:kern w:val="0"/>
          <w:sz w:val="32"/>
          <w:szCs w:val="32"/>
        </w:rPr>
      </w:pPr>
    </w:p>
    <w:p>
      <w:pPr>
        <w:rPr>
          <w:rFonts w:cs="黑体" w:asciiTheme="minorEastAsia" w:hAnsiTheme="minorEastAsia"/>
          <w:color w:val="FF0000"/>
          <w:kern w:val="0"/>
          <w:sz w:val="32"/>
          <w:szCs w:val="32"/>
        </w:rPr>
      </w:pPr>
      <w:r>
        <w:rPr>
          <w:rFonts w:hint="eastAsia" w:cs="黑体" w:asciiTheme="minorEastAsia" w:hAnsiTheme="minorEastAsia"/>
          <w:color w:val="FF0000"/>
          <w:kern w:val="0"/>
          <w:sz w:val="32"/>
          <w:szCs w:val="32"/>
        </w:rPr>
        <w:br w:type="page"/>
      </w:r>
    </w:p>
    <w:p>
      <w:pPr>
        <w:autoSpaceDE w:val="0"/>
        <w:autoSpaceDN w:val="0"/>
        <w:adjustRightInd w:val="0"/>
        <w:ind w:firstLine="640" w:firstLineChars="200"/>
        <w:jc w:val="left"/>
        <w:rPr>
          <w:rFonts w:cs="黑体" w:asciiTheme="minorEastAsia" w:hAnsiTheme="minorEastAsia"/>
          <w:color w:val="FF0000"/>
          <w:kern w:val="0"/>
          <w:sz w:val="32"/>
          <w:szCs w:val="3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cs="黑体" w:asciiTheme="minorEastAsia" w:hAnsiTheme="minorEastAsia"/>
          <w:color w:val="000000"/>
          <w:kern w:val="0"/>
          <w:sz w:val="32"/>
          <w:szCs w:val="32"/>
        </w:rPr>
      </w:pPr>
      <w:r>
        <w:rPr>
          <w:rFonts w:ascii="黑体" w:eastAsia="黑体" w:cs="黑体"/>
          <w:color w:val="000000"/>
          <w:kern w:val="0"/>
          <w:sz w:val="70"/>
          <w:szCs w:val="70"/>
        </w:rPr>
        <w:br w:type="page"/>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宋体" w:hAnsi="宋体" w:cs="黑体"/>
          <w:color w:val="000000"/>
          <w:kern w:val="0"/>
          <w:sz w:val="32"/>
          <w:szCs w:val="32"/>
        </w:rPr>
      </w:pPr>
      <w:r>
        <w:rPr>
          <w:rFonts w:hint="eastAsia" w:ascii="宋体" w:hAnsi="宋体" w:cs="黑体"/>
          <w:color w:val="000000"/>
          <w:kern w:val="0"/>
          <w:sz w:val="32"/>
          <w:szCs w:val="32"/>
        </w:rPr>
        <w:br w:type="page"/>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widowControl/>
        <w:shd w:val="clear" w:color="auto" w:fill="FFFFFF"/>
        <w:spacing w:line="600" w:lineRule="atLeast"/>
        <w:jc w:val="center"/>
        <w:rPr>
          <w:rFonts w:ascii="黑体" w:hAnsi="黑体" w:eastAsia="黑体"/>
          <w:b/>
          <w:spacing w:val="-2"/>
          <w:sz w:val="44"/>
          <w:szCs w:val="44"/>
        </w:rPr>
      </w:pPr>
      <w:r>
        <w:rPr>
          <w:rFonts w:hint="eastAsia" w:ascii="黑体" w:hAnsi="黑体" w:eastAsia="黑体"/>
          <w:b/>
          <w:spacing w:val="-2"/>
          <w:sz w:val="32"/>
          <w:szCs w:val="32"/>
        </w:rPr>
        <w:t>2021年度</w:t>
      </w:r>
      <w:r>
        <w:rPr>
          <w:rFonts w:ascii="黑体" w:hAnsi="黑体" w:eastAsia="黑体"/>
          <w:b/>
          <w:spacing w:val="-2"/>
          <w:sz w:val="32"/>
          <w:szCs w:val="32"/>
        </w:rPr>
        <w:t>部门整体支出绩效</w:t>
      </w:r>
      <w:r>
        <w:rPr>
          <w:rFonts w:hint="eastAsia" w:ascii="黑体" w:hAnsi="黑体" w:eastAsia="黑体"/>
          <w:b/>
          <w:spacing w:val="-2"/>
          <w:sz w:val="32"/>
          <w:szCs w:val="32"/>
        </w:rPr>
        <w:t>评价</w:t>
      </w:r>
      <w:r>
        <w:rPr>
          <w:rFonts w:ascii="黑体" w:hAnsi="黑体" w:eastAsia="黑体"/>
          <w:b/>
          <w:spacing w:val="-2"/>
          <w:sz w:val="32"/>
          <w:szCs w:val="32"/>
        </w:rPr>
        <w:t>报告</w:t>
      </w:r>
    </w:p>
    <w:p>
      <w:pPr>
        <w:widowControl/>
        <w:shd w:val="clear" w:color="auto" w:fill="FFFFFF"/>
        <w:spacing w:line="600" w:lineRule="atLeast"/>
        <w:ind w:firstLine="640"/>
        <w:rPr>
          <w:rFonts w:ascii="黑体" w:hAnsi="黑体" w:eastAsia="黑体"/>
          <w:b/>
          <w:spacing w:val="-2"/>
          <w:sz w:val="32"/>
          <w:szCs w:val="32"/>
        </w:rPr>
      </w:pPr>
      <w:r>
        <w:rPr>
          <w:rFonts w:ascii="黑体" w:hAnsi="黑体" w:eastAsia="黑体"/>
          <w:b/>
          <w:spacing w:val="-2"/>
          <w:sz w:val="32"/>
          <w:szCs w:val="32"/>
        </w:rPr>
        <w:t>一、部门概况</w:t>
      </w:r>
    </w:p>
    <w:p>
      <w:pPr>
        <w:spacing w:line="600" w:lineRule="exact"/>
        <w:ind w:firstLine="640" w:firstLineChars="200"/>
        <w:rPr>
          <w:rFonts w:hint="eastAsia" w:ascii="宋体" w:hAnsi="宋体" w:eastAsia="宋体" w:cs="宋体"/>
          <w:sz w:val="32"/>
          <w:szCs w:val="32"/>
          <w:lang w:eastAsia="zh-CN"/>
        </w:rPr>
      </w:pPr>
      <w:r>
        <w:rPr>
          <w:rFonts w:hint="eastAsia" w:ascii="宋体" w:hAnsi="宋体" w:eastAsia="宋体" w:cs="宋体"/>
          <w:sz w:val="32"/>
          <w:szCs w:val="32"/>
        </w:rPr>
        <w:t>1、怀化市鹤城区芙蓉学校是全额拨款的事业单位。内设9个职能处室：校长室、书记室、副校长室、教导处、教研室、总务处、办公室、工会、德育处</w:t>
      </w:r>
      <w:r>
        <w:rPr>
          <w:rFonts w:hint="eastAsia" w:ascii="宋体" w:hAnsi="宋体" w:eastAsia="宋体" w:cs="宋体"/>
          <w:sz w:val="32"/>
          <w:szCs w:val="32"/>
          <w:lang w:eastAsia="zh-CN"/>
        </w:rPr>
        <w:t>；</w:t>
      </w:r>
    </w:p>
    <w:p>
      <w:pPr>
        <w:spacing w:line="600" w:lineRule="exact"/>
        <w:ind w:firstLine="640" w:firstLineChars="200"/>
        <w:rPr>
          <w:rFonts w:hint="eastAsia" w:ascii="宋体" w:hAnsi="宋体" w:eastAsia="宋体" w:cs="宋体"/>
          <w:sz w:val="32"/>
          <w:szCs w:val="32"/>
          <w:lang w:eastAsia="zh-CN"/>
        </w:rPr>
      </w:pPr>
      <w:r>
        <w:rPr>
          <w:rFonts w:hint="eastAsia" w:ascii="宋体" w:hAnsi="宋体" w:eastAsia="宋体" w:cs="宋体"/>
          <w:sz w:val="32"/>
          <w:szCs w:val="32"/>
        </w:rPr>
        <w:t>2、主要工作职责：全面贯彻党的教育方针，落实九年义务教育各项政策，保障学生受教育的各项权利，维护教师职工各项权益</w:t>
      </w:r>
      <w:r>
        <w:rPr>
          <w:rFonts w:hint="eastAsia" w:ascii="宋体" w:hAnsi="宋体" w:eastAsia="宋体" w:cs="宋体"/>
          <w:sz w:val="32"/>
          <w:szCs w:val="32"/>
          <w:lang w:eastAsia="zh-CN"/>
        </w:rPr>
        <w:t>；</w:t>
      </w:r>
    </w:p>
    <w:p>
      <w:pPr>
        <w:spacing w:line="60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3、编制人员情况:现实有在职人员25人（其中全额拨款25人，自收自支0人）。</w:t>
      </w:r>
    </w:p>
    <w:p>
      <w:pPr>
        <w:widowControl/>
        <w:shd w:val="clear" w:color="auto" w:fill="FFFFFF"/>
        <w:spacing w:line="600" w:lineRule="atLeast"/>
        <w:ind w:firstLine="474" w:firstLineChars="150"/>
        <w:rPr>
          <w:rFonts w:ascii="黑体" w:hAnsi="黑体" w:eastAsia="黑体"/>
          <w:b/>
          <w:spacing w:val="-2"/>
          <w:sz w:val="32"/>
          <w:szCs w:val="32"/>
        </w:rPr>
      </w:pPr>
      <w:r>
        <w:rPr>
          <w:rFonts w:ascii="黑体" w:hAnsi="黑体" w:eastAsia="黑体"/>
          <w:b/>
          <w:spacing w:val="-2"/>
          <w:sz w:val="32"/>
          <w:szCs w:val="32"/>
        </w:rPr>
        <w:t>二、部门整体支出管理及使用情况</w:t>
      </w:r>
    </w:p>
    <w:p>
      <w:pPr>
        <w:widowControl/>
        <w:shd w:val="clear" w:color="auto" w:fill="FFFFFF"/>
        <w:spacing w:line="600" w:lineRule="atLeast"/>
        <w:ind w:firstLine="643"/>
        <w:rPr>
          <w:rFonts w:ascii="仿宋" w:hAnsi="仿宋" w:eastAsia="仿宋"/>
          <w:b/>
          <w:spacing w:val="-2"/>
          <w:sz w:val="32"/>
          <w:szCs w:val="32"/>
        </w:rPr>
      </w:pPr>
      <w:r>
        <w:rPr>
          <w:rFonts w:ascii="仿宋" w:hAnsi="仿宋" w:eastAsia="仿宋"/>
          <w:b/>
          <w:spacing w:val="-2"/>
          <w:sz w:val="32"/>
          <w:szCs w:val="32"/>
        </w:rPr>
        <w:t>（一）基本支出</w:t>
      </w:r>
    </w:p>
    <w:p>
      <w:pPr>
        <w:spacing w:line="560" w:lineRule="exact"/>
        <w:ind w:firstLine="640" w:firstLineChars="200"/>
        <w:rPr>
          <w:rFonts w:hint="eastAsia" w:ascii="宋体" w:hAnsi="宋体" w:eastAsia="宋体" w:cs="宋体"/>
          <w:sz w:val="32"/>
          <w:szCs w:val="32"/>
          <w:lang w:eastAsia="zh-CN"/>
        </w:rPr>
      </w:pPr>
      <w:r>
        <w:rPr>
          <w:rFonts w:hint="eastAsia" w:ascii="宋体" w:hAnsi="宋体" w:eastAsia="宋体" w:cs="宋体"/>
          <w:sz w:val="32"/>
          <w:szCs w:val="32"/>
        </w:rPr>
        <w:t>基本支出：2021年预算数为</w:t>
      </w:r>
      <w:r>
        <w:rPr>
          <w:rFonts w:hint="eastAsia" w:ascii="宋体" w:hAnsi="宋体" w:eastAsia="宋体" w:cs="宋体"/>
          <w:color w:val="000000"/>
          <w:sz w:val="32"/>
          <w:szCs w:val="32"/>
        </w:rPr>
        <w:t>237.68万元，其中人员经费支出为143.50万元，公用支出为86.73万元，项目支出为7.45万</w:t>
      </w:r>
      <w:r>
        <w:rPr>
          <w:rFonts w:hint="eastAsia" w:ascii="宋体" w:hAnsi="宋体" w:eastAsia="宋体" w:cs="宋体"/>
          <w:sz w:val="32"/>
          <w:szCs w:val="32"/>
        </w:rPr>
        <w:t>元，这些经费是为保障单位机构正常运转、完成日常工作任务而发生的各项支出，包括用于基本工资、津贴补贴等人员经费以及办公费、印刷费、水电费、物业管理费等日常公用经费</w:t>
      </w:r>
      <w:r>
        <w:rPr>
          <w:rFonts w:hint="eastAsia" w:ascii="宋体" w:hAnsi="宋体" w:eastAsia="宋体" w:cs="宋体"/>
          <w:sz w:val="32"/>
          <w:szCs w:val="32"/>
          <w:lang w:eastAsia="zh-CN"/>
        </w:rPr>
        <w:t>。</w:t>
      </w:r>
    </w:p>
    <w:p>
      <w:pPr>
        <w:widowControl/>
        <w:shd w:val="clear" w:color="auto" w:fill="FFFFFF"/>
        <w:spacing w:line="600" w:lineRule="atLeast"/>
        <w:ind w:firstLine="643"/>
        <w:rPr>
          <w:rFonts w:ascii="仿宋" w:hAnsi="仿宋" w:eastAsia="仿宋"/>
          <w:b/>
          <w:spacing w:val="-2"/>
          <w:sz w:val="32"/>
          <w:szCs w:val="32"/>
        </w:rPr>
      </w:pPr>
      <w:r>
        <w:rPr>
          <w:rFonts w:ascii="仿宋" w:hAnsi="仿宋" w:eastAsia="仿宋"/>
          <w:b/>
          <w:spacing w:val="-2"/>
          <w:sz w:val="32"/>
          <w:szCs w:val="32"/>
        </w:rPr>
        <w:t>（二）专项支出</w:t>
      </w:r>
    </w:p>
    <w:p>
      <w:pPr>
        <w:spacing w:line="560" w:lineRule="exact"/>
        <w:ind w:firstLine="640" w:firstLineChars="200"/>
        <w:rPr>
          <w:rFonts w:ascii="宋体" w:hAnsi="宋体" w:eastAsia="宋体" w:cs="宋体"/>
          <w:color w:val="000000"/>
          <w:sz w:val="32"/>
          <w:szCs w:val="32"/>
        </w:rPr>
      </w:pPr>
      <w:r>
        <w:rPr>
          <w:rFonts w:hint="eastAsia" w:ascii="宋体" w:hAnsi="宋体" w:eastAsia="宋体" w:cs="宋体"/>
          <w:color w:val="000000"/>
          <w:sz w:val="32"/>
          <w:szCs w:val="32"/>
        </w:rPr>
        <w:t>2021年年初预算数为7.45万元，是为完成特定行政工作任务或事业发展目标而发生的支出，包括有产业发展引导类、专项业务费用类、基本建设类、对个人和家庭补助类等。其中：对个人和家庭补助类0万元，具体有学生营养餐及食堂工作人员经费0万元、校园安保经费7.45万元，临聘教师工资21万元等。</w:t>
      </w:r>
    </w:p>
    <w:p>
      <w:pPr>
        <w:widowControl/>
        <w:shd w:val="clear" w:color="auto" w:fill="FFFFFF"/>
        <w:spacing w:line="600" w:lineRule="atLeast"/>
        <w:ind w:firstLine="640"/>
        <w:rPr>
          <w:rFonts w:ascii="黑体" w:hAnsi="黑体" w:eastAsia="黑体"/>
          <w:b/>
          <w:spacing w:val="-2"/>
          <w:sz w:val="32"/>
          <w:szCs w:val="32"/>
        </w:rPr>
      </w:pPr>
      <w:r>
        <w:rPr>
          <w:rFonts w:ascii="黑体" w:hAnsi="黑体" w:eastAsia="黑体"/>
          <w:b/>
          <w:spacing w:val="-2"/>
          <w:sz w:val="32"/>
          <w:szCs w:val="32"/>
        </w:rPr>
        <w:t>三、部门专项组织实施情况</w:t>
      </w:r>
    </w:p>
    <w:p>
      <w:pPr>
        <w:widowControl/>
        <w:shd w:val="clear" w:color="auto" w:fill="FFFFFF"/>
        <w:spacing w:line="600" w:lineRule="atLeast"/>
        <w:ind w:firstLine="640"/>
        <w:rPr>
          <w:rFonts w:ascii="仿宋" w:hAnsi="仿宋" w:eastAsia="仿宋"/>
          <w:b/>
          <w:spacing w:val="-2"/>
          <w:sz w:val="32"/>
          <w:szCs w:val="32"/>
        </w:rPr>
      </w:pPr>
      <w:r>
        <w:rPr>
          <w:rFonts w:hint="eastAsia" w:ascii="宋体" w:hAnsi="宋体" w:eastAsia="宋体" w:cs="宋体"/>
          <w:color w:val="000000"/>
          <w:sz w:val="32"/>
          <w:szCs w:val="32"/>
        </w:rPr>
        <w:t>保安工资费用支付执行国库集中支出管理模式，学校申请，国库集中支付中心审核支付，对于直接支付批复的资金严格实行相关财务制度和支付流程，实行严格的一支笔审核支付，支出管理零风险。</w:t>
      </w:r>
    </w:p>
    <w:p>
      <w:pPr>
        <w:widowControl/>
        <w:shd w:val="clear" w:color="auto" w:fill="FFFFFF"/>
        <w:spacing w:line="600" w:lineRule="atLeast"/>
        <w:ind w:firstLine="640"/>
        <w:rPr>
          <w:rFonts w:ascii="黑体" w:hAnsi="黑体" w:eastAsia="黑体"/>
          <w:b/>
          <w:spacing w:val="-2"/>
          <w:sz w:val="32"/>
          <w:szCs w:val="32"/>
        </w:rPr>
      </w:pPr>
      <w:r>
        <w:rPr>
          <w:rFonts w:ascii="黑体" w:hAnsi="黑体" w:eastAsia="黑体"/>
          <w:b/>
          <w:spacing w:val="-2"/>
          <w:sz w:val="32"/>
          <w:szCs w:val="32"/>
        </w:rPr>
        <w:t>四、资产管理情况</w:t>
      </w:r>
    </w:p>
    <w:p>
      <w:pPr>
        <w:widowControl/>
        <w:shd w:val="clear" w:color="auto" w:fill="FFFFFF"/>
        <w:spacing w:line="600" w:lineRule="atLeast"/>
        <w:ind w:firstLine="640"/>
        <w:rPr>
          <w:rFonts w:ascii="仿宋" w:hAnsi="仿宋" w:eastAsia="仿宋"/>
          <w:color w:val="333333"/>
          <w:sz w:val="32"/>
          <w:szCs w:val="32"/>
        </w:rPr>
      </w:pPr>
      <w:r>
        <w:rPr>
          <w:rFonts w:hint="eastAsia" w:ascii="宋体" w:hAnsi="宋体" w:eastAsia="宋体" w:cs="宋体"/>
          <w:color w:val="000000"/>
          <w:sz w:val="32"/>
          <w:szCs w:val="32"/>
        </w:rPr>
        <w:t>固定资产原值总额为：365.81万元。净值354.24万元。本单位严格按照内控手册制度和流程执行采购、验收、管理、处理。对购入资产进行登记管理，指定使用人、管理人，存放地点，会计帐务处理，系统下帐处理。</w:t>
      </w:r>
    </w:p>
    <w:p>
      <w:pPr>
        <w:widowControl/>
        <w:shd w:val="clear" w:color="auto" w:fill="FFFFFF"/>
        <w:spacing w:line="600" w:lineRule="atLeast"/>
        <w:ind w:firstLine="640"/>
        <w:rPr>
          <w:rFonts w:ascii="黑体" w:hAnsi="黑体" w:eastAsia="黑体"/>
          <w:b/>
          <w:spacing w:val="-2"/>
          <w:sz w:val="32"/>
          <w:szCs w:val="32"/>
        </w:rPr>
      </w:pPr>
      <w:r>
        <w:rPr>
          <w:rFonts w:ascii="黑体" w:hAnsi="黑体" w:eastAsia="黑体"/>
          <w:b/>
          <w:spacing w:val="-2"/>
          <w:sz w:val="32"/>
          <w:szCs w:val="32"/>
        </w:rPr>
        <w:t>五、部门整体支出绩效情况</w:t>
      </w:r>
    </w:p>
    <w:p>
      <w:pPr>
        <w:spacing w:line="560" w:lineRule="exact"/>
        <w:ind w:firstLine="640" w:firstLineChars="200"/>
        <w:rPr>
          <w:rFonts w:ascii="宋体" w:hAnsi="宋体" w:eastAsia="宋体" w:cs="宋体"/>
          <w:color w:val="000000"/>
          <w:sz w:val="32"/>
          <w:szCs w:val="32"/>
        </w:rPr>
      </w:pPr>
      <w:r>
        <w:rPr>
          <w:rFonts w:hint="eastAsia" w:ascii="宋体" w:hAnsi="宋体" w:eastAsia="宋体" w:cs="宋体"/>
          <w:color w:val="000000"/>
          <w:sz w:val="32"/>
          <w:szCs w:val="32"/>
        </w:rPr>
        <w:t>2021年我校所有财政性资金、专项资金都纳入绩效管理的范围。我校各项开支严格执行预算，控制成本，开源节流，每一分钱的使用都有它的经济性、效率性、有效性和可持续性，促进学校教育教学各项活动的开动，提升质量，学生学习生活的环境得到极大的改善，教师的生活环境也得到了相应改善。对各项资金均进行制度化管理，按规划组织实施，保证了各项资金使用的真实、合法、有效，提高了资金的使用率。保证单位的高效运转；确保各项决策部署得到有效落实产生了良好的社会效应，也取得了发展的可持续性、长效性。</w:t>
      </w:r>
    </w:p>
    <w:p>
      <w:pPr>
        <w:widowControl/>
        <w:shd w:val="clear" w:color="auto" w:fill="FFFFFF"/>
        <w:spacing w:line="600" w:lineRule="atLeast"/>
        <w:ind w:firstLine="640"/>
        <w:rPr>
          <w:rFonts w:ascii="黑体" w:hAnsi="黑体" w:eastAsia="黑体"/>
          <w:b/>
          <w:spacing w:val="-2"/>
          <w:sz w:val="32"/>
          <w:szCs w:val="32"/>
        </w:rPr>
      </w:pPr>
      <w:r>
        <w:rPr>
          <w:rFonts w:ascii="黑体" w:hAnsi="黑体" w:eastAsia="黑体"/>
          <w:b/>
          <w:spacing w:val="-2"/>
          <w:sz w:val="32"/>
          <w:szCs w:val="32"/>
        </w:rPr>
        <w:t>六、存在的主要问题</w:t>
      </w:r>
    </w:p>
    <w:p>
      <w:pPr>
        <w:widowControl/>
        <w:spacing w:line="600" w:lineRule="exact"/>
        <w:ind w:firstLine="640" w:firstLineChars="200"/>
        <w:jc w:val="left"/>
        <w:rPr>
          <w:rFonts w:ascii="仿宋" w:hAnsi="仿宋" w:eastAsia="仿宋"/>
          <w:sz w:val="32"/>
          <w:szCs w:val="32"/>
        </w:rPr>
      </w:pPr>
      <w:r>
        <w:rPr>
          <w:rFonts w:hint="eastAsia" w:ascii="宋体" w:hAnsi="宋体" w:eastAsia="宋体" w:cs="宋体"/>
          <w:color w:val="000000"/>
          <w:sz w:val="32"/>
          <w:szCs w:val="32"/>
        </w:rPr>
        <w:t>编制教师人数少，故而我校本年度聘请了较多临时代课老师，进而导致日常经费开支增加。加上现代化设备的使用率提高，致使水电费的支出增长，以致经费预算不足，造成学校的经费使用不尽合理。由于专业业务水平不高，对于固定资产的管理和入账不够规范合理。</w:t>
      </w:r>
    </w:p>
    <w:p>
      <w:pPr>
        <w:widowControl/>
        <w:shd w:val="clear" w:color="auto" w:fill="FFFFFF"/>
        <w:spacing w:line="600" w:lineRule="atLeast"/>
        <w:ind w:firstLine="640"/>
        <w:rPr>
          <w:rFonts w:ascii="黑体" w:hAnsi="黑体" w:eastAsia="黑体"/>
          <w:b/>
          <w:spacing w:val="-2"/>
          <w:sz w:val="32"/>
          <w:szCs w:val="32"/>
        </w:rPr>
      </w:pPr>
      <w:r>
        <w:rPr>
          <w:rFonts w:ascii="黑体" w:hAnsi="黑体" w:eastAsia="黑体"/>
          <w:b/>
          <w:spacing w:val="-2"/>
          <w:sz w:val="32"/>
          <w:szCs w:val="32"/>
        </w:rPr>
        <w:t>七、改进措施和有关建议</w:t>
      </w:r>
    </w:p>
    <w:p>
      <w:pPr>
        <w:pStyle w:val="6"/>
        <w:spacing w:before="0" w:beforeAutospacing="0" w:after="0" w:afterAutospacing="0" w:line="480" w:lineRule="auto"/>
        <w:ind w:firstLine="480"/>
        <w:rPr>
          <w:rFonts w:eastAsia="宋体"/>
          <w:color w:val="000000"/>
          <w:kern w:val="2"/>
          <w:sz w:val="32"/>
          <w:szCs w:val="32"/>
        </w:rPr>
      </w:pPr>
      <w:r>
        <w:rPr>
          <w:rFonts w:hint="eastAsia" w:eastAsia="宋体"/>
          <w:color w:val="000000"/>
          <w:kern w:val="2"/>
          <w:sz w:val="32"/>
          <w:szCs w:val="32"/>
        </w:rPr>
        <w:t>1、能够足额安排财政预算，确保各项日常工作的开展。</w:t>
      </w:r>
    </w:p>
    <w:p>
      <w:pPr>
        <w:pStyle w:val="6"/>
        <w:spacing w:before="0" w:beforeAutospacing="0" w:after="0" w:afterAutospacing="0" w:line="480" w:lineRule="auto"/>
        <w:ind w:firstLine="480"/>
        <w:rPr>
          <w:rFonts w:ascii="仿宋" w:hAnsi="仿宋" w:eastAsia="仿宋"/>
          <w:sz w:val="32"/>
          <w:szCs w:val="32"/>
        </w:rPr>
      </w:pPr>
      <w:r>
        <w:rPr>
          <w:rFonts w:hint="eastAsia" w:eastAsia="宋体"/>
          <w:color w:val="000000"/>
          <w:kern w:val="2"/>
          <w:sz w:val="32"/>
          <w:szCs w:val="32"/>
        </w:rPr>
        <w:t>2、加强绩效评价管理评价的可操作性，对相关业务人员进行相关培训，以提高业务知识水平。</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36A68D"/>
    <w:multiLevelType w:val="singleLevel"/>
    <w:tmpl w:val="C236A68D"/>
    <w:lvl w:ilvl="0" w:tentative="0">
      <w:start w:val="1"/>
      <w:numFmt w:val="chineseCounting"/>
      <w:suff w:val="nothing"/>
      <w:lvlText w:val="（%1）"/>
      <w:lvlJc w:val="left"/>
      <w:pPr>
        <w:ind w:left="0" w:firstLine="420"/>
      </w:pPr>
      <w:rPr>
        <w:rFonts w:hint="eastAsia"/>
      </w:rPr>
    </w:lvl>
  </w:abstractNum>
  <w:abstractNum w:abstractNumId="1">
    <w:nsid w:val="2C7BFF80"/>
    <w:multiLevelType w:val="singleLevel"/>
    <w:tmpl w:val="2C7BFF80"/>
    <w:lvl w:ilvl="0" w:tentative="0">
      <w:start w:val="3"/>
      <w:numFmt w:val="decimal"/>
      <w:suff w:val="nothing"/>
      <w:lvlText w:val="%1、"/>
      <w:lvlJc w:val="left"/>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I2NGRiYmQwOWZkOTg4MzMxMDkzZDc2NzhhOTYzNjMifQ=="/>
  </w:docVars>
  <w:rsids>
    <w:rsidRoot w:val="004506F9"/>
    <w:rsid w:val="0002229B"/>
    <w:rsid w:val="000273BD"/>
    <w:rsid w:val="000415B7"/>
    <w:rsid w:val="00041E3F"/>
    <w:rsid w:val="00055DAA"/>
    <w:rsid w:val="00061F7B"/>
    <w:rsid w:val="000658A3"/>
    <w:rsid w:val="00074155"/>
    <w:rsid w:val="00081AF1"/>
    <w:rsid w:val="000873EF"/>
    <w:rsid w:val="000A3F69"/>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F53BB"/>
    <w:rsid w:val="003130C4"/>
    <w:rsid w:val="00316C4B"/>
    <w:rsid w:val="0032192B"/>
    <w:rsid w:val="00327FFA"/>
    <w:rsid w:val="003479BD"/>
    <w:rsid w:val="0037197D"/>
    <w:rsid w:val="003768D5"/>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4EDB"/>
    <w:rsid w:val="00717621"/>
    <w:rsid w:val="00720FF1"/>
    <w:rsid w:val="00727A53"/>
    <w:rsid w:val="0076627B"/>
    <w:rsid w:val="00767FBF"/>
    <w:rsid w:val="00787B42"/>
    <w:rsid w:val="007C4539"/>
    <w:rsid w:val="007F3657"/>
    <w:rsid w:val="00812ED5"/>
    <w:rsid w:val="008277D9"/>
    <w:rsid w:val="0084478C"/>
    <w:rsid w:val="0086638C"/>
    <w:rsid w:val="00896B37"/>
    <w:rsid w:val="008A3E8D"/>
    <w:rsid w:val="008A6195"/>
    <w:rsid w:val="009237C4"/>
    <w:rsid w:val="00944C48"/>
    <w:rsid w:val="00950252"/>
    <w:rsid w:val="00967F5D"/>
    <w:rsid w:val="009A0F95"/>
    <w:rsid w:val="009B3ADF"/>
    <w:rsid w:val="009C3B52"/>
    <w:rsid w:val="009E6817"/>
    <w:rsid w:val="009E6E9A"/>
    <w:rsid w:val="00A01D2B"/>
    <w:rsid w:val="00A12423"/>
    <w:rsid w:val="00A37EC9"/>
    <w:rsid w:val="00A42218"/>
    <w:rsid w:val="00A70249"/>
    <w:rsid w:val="00A70B02"/>
    <w:rsid w:val="00A71D9F"/>
    <w:rsid w:val="00A92E9F"/>
    <w:rsid w:val="00B33BEA"/>
    <w:rsid w:val="00B42C25"/>
    <w:rsid w:val="00B43F86"/>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F74360"/>
    <w:rsid w:val="00FB462F"/>
    <w:rsid w:val="00FE16FA"/>
    <w:rsid w:val="00FE328A"/>
    <w:rsid w:val="00FE6269"/>
    <w:rsid w:val="00FF5CD6"/>
    <w:rsid w:val="07D15342"/>
    <w:rsid w:val="0A8A06EA"/>
    <w:rsid w:val="0FE10117"/>
    <w:rsid w:val="2F65331D"/>
    <w:rsid w:val="37911FEB"/>
    <w:rsid w:val="42615E69"/>
    <w:rsid w:val="440C6567"/>
    <w:rsid w:val="48D27885"/>
    <w:rsid w:val="4B4E6CCD"/>
    <w:rsid w:val="51D04EC8"/>
    <w:rsid w:val="5F725C91"/>
    <w:rsid w:val="66682803"/>
    <w:rsid w:val="73A93753"/>
    <w:rsid w:val="7AEE1E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1116</Words>
  <Characters>6362</Characters>
  <Lines>53</Lines>
  <Paragraphs>14</Paragraphs>
  <TotalTime>0</TotalTime>
  <ScaleCrop>false</ScaleCrop>
  <LinksUpToDate>false</LinksUpToDate>
  <CharactersWithSpaces>7464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2022-08-01T10:01:00Z</dcterms:created>
  <dc:creator>李航 null</dc:creator>
  <cp:lastModifiedBy>yanyan小朋友 </cp:lastModifiedBy>
  <cp:lastPrinted>2022-07-27T12:55:00Z</cp:lastPrinted>
  <dcterms:modified xsi:type="dcterms:W3CDTF">2023-09-27T13:16:49Z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D72C53A51AFF4D40B37E56F6180C8D12</vt:lpwstr>
  </property>
</Properties>
</file>