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both"/>
        <w:rPr>
          <w:sz w:val="84"/>
          <w:szCs w:val="84"/>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rPr>
        <w:t>怀化市黄金坳小学部门决算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40" w:lineRule="exact"/>
        <w:jc w:val="center"/>
        <w:rPr>
          <w:sz w:val="56"/>
          <w:szCs w:val="56"/>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rPr>
        <w:t>怀化市黄金坳小学概况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怀化市黄金坳小学是全额拨款的事业单位。</w:t>
      </w:r>
    </w:p>
    <w:p>
      <w:pPr>
        <w:spacing w:line="600" w:lineRule="exact"/>
        <w:ind w:firstLine="800" w:firstLineChars="250"/>
        <w:rPr>
          <w:rFonts w:cs="仿宋" w:asciiTheme="minorEastAsia" w:hAnsiTheme="minorEastAsia"/>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正确贯彻执行党和国家的教育方针、政策、法规，承担小学学历教育。坚持教书育人，服务育人，环境育人方针，加强对学生的思想品德教育，使学生的德智体全面发展。抓好教师队伍建设，使每个教师都热心教育事业。</w:t>
      </w:r>
    </w:p>
    <w:p>
      <w:pPr>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800" w:firstLineChars="250"/>
        <w:rPr>
          <w:rFonts w:cs="仿宋" w:asciiTheme="minorEastAsia" w:hAnsiTheme="minorEastAsia"/>
          <w:sz w:val="32"/>
          <w:szCs w:val="32"/>
        </w:rPr>
      </w:pPr>
      <w:r>
        <w:rPr>
          <w:rFonts w:hint="eastAsia" w:cs="仿宋" w:asciiTheme="minorEastAsia" w:hAnsiTheme="minorEastAsia"/>
          <w:sz w:val="32"/>
          <w:szCs w:val="32"/>
        </w:rPr>
        <w:t>（一）内设机构设置。我校内设机构包括</w:t>
      </w:r>
      <w:r>
        <w:rPr>
          <w:rFonts w:hint="eastAsia" w:cs="仿宋" w:asciiTheme="minorEastAsia" w:hAnsiTheme="minorEastAsia"/>
          <w:sz w:val="32"/>
          <w:szCs w:val="32"/>
          <w:lang w:eastAsia="zh-CN"/>
        </w:rPr>
        <w:t>：</w:t>
      </w:r>
      <w:r>
        <w:rPr>
          <w:rFonts w:hint="eastAsia" w:cs="仿宋" w:asciiTheme="minorEastAsia" w:hAnsiTheme="minorEastAsia"/>
          <w:sz w:val="32"/>
          <w:szCs w:val="32"/>
        </w:rPr>
        <w:t>10个职能室：校长室、副校长室、办公室、德育处、教务处、教研室、总务处、工会、大队部及财务室。</w:t>
      </w:r>
    </w:p>
    <w:p>
      <w:pPr>
        <w:spacing w:line="600" w:lineRule="exact"/>
        <w:ind w:firstLine="800" w:firstLineChars="250"/>
        <w:rPr>
          <w:rFonts w:ascii="宋体" w:hAnsi="宋体" w:eastAsia="宋体" w:cs="宋体"/>
          <w:bCs/>
          <w:kern w:val="0"/>
          <w:sz w:val="28"/>
          <w:szCs w:val="28"/>
        </w:rPr>
      </w:pPr>
      <w:r>
        <w:rPr>
          <w:rFonts w:hint="eastAsia" w:cs="仿宋" w:asciiTheme="minorEastAsia" w:hAnsiTheme="minorEastAsia"/>
          <w:sz w:val="32"/>
          <w:szCs w:val="32"/>
        </w:rPr>
        <w:t>（二）决算单位构成。我校202</w:t>
      </w:r>
      <w:r>
        <w:rPr>
          <w:rFonts w:hint="eastAsia" w:cs="仿宋" w:asciiTheme="minorEastAsia" w:hAnsiTheme="minorEastAsia"/>
          <w:sz w:val="32"/>
          <w:szCs w:val="32"/>
          <w:lang w:val="en-US" w:eastAsia="zh-CN"/>
        </w:rPr>
        <w:t>1</w:t>
      </w:r>
      <w:r>
        <w:rPr>
          <w:rFonts w:hint="eastAsia" w:cs="仿宋" w:asciiTheme="minorEastAsia" w:hAnsiTheme="minorEastAsia"/>
          <w:sz w:val="32"/>
          <w:szCs w:val="32"/>
        </w:rPr>
        <w:t>年部门决算汇总公开单位构成为本单位。</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1"/>
        <w:rPr>
          <w:rFonts w:asciiTheme="minorEastAsia" w:hAnsiTheme="minorEastAsia" w:eastAsiaTheme="minorEastAsia"/>
          <w:sz w:val="32"/>
          <w:szCs w:val="32"/>
        </w:rPr>
      </w:pP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2021年度收入</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计1130.82万元。与上年相比，减少118.04万元，下降了9.45%，主要是因为2021年学生人数减</w:t>
      </w:r>
      <w:r>
        <w:rPr>
          <w:rFonts w:hint="eastAsia" w:asciiTheme="minorEastAsia" w:hAnsiTheme="minorEastAsia" w:eastAsiaTheme="minorEastAsia"/>
          <w:sz w:val="32"/>
          <w:szCs w:val="32"/>
          <w:lang w:val="en-US" w:eastAsia="zh-CN"/>
        </w:rPr>
        <w:t>少。</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计1130.82万元。与上年相比，减少118.04万元，下降了9.45%，主要是因为2021年学生人数减少，公用经费及营养餐资金减少。</w:t>
      </w:r>
    </w:p>
    <w:p>
      <w:pPr>
        <w:pStyle w:val="11"/>
        <w:ind w:firstLine="643" w:firstLineChars="200"/>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2021年度收入合计1130.82万元，其中：财政拨款收入958.51万元，占84.77%；上级补助收入0万元，占0%；事业收入0万元，占0%；经营收入0万元，占0%；附属单位上缴收入0万元，占0%；其他收入172.31万元，占15.23%。</w:t>
      </w:r>
    </w:p>
    <w:p>
      <w:pPr>
        <w:pStyle w:val="11"/>
        <w:ind w:firstLine="643" w:firstLineChars="200"/>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2021年度支出合计1130.82万元，其中：基本支出702.66万元，占62.14%；项目支出428.16万元，占37.86%；上缴上级支出0万元，占0%；经营支出0万元，占0%；对附属单位补助支出0万元，占0%。</w:t>
      </w:r>
    </w:p>
    <w:p>
      <w:pPr>
        <w:pStyle w:val="11"/>
        <w:ind w:firstLine="643" w:firstLineChars="200"/>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2021年度财政拨款收入合计958.5</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万元。与上年相比，减少167.65万元，减少21.20%，主要是因为2021年学生人数减少，公用经费及营养餐资金减少。</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w:t>
      </w:r>
      <w:r>
        <w:rPr>
          <w:rFonts w:hint="eastAsia" w:asciiTheme="minorEastAsia" w:hAnsiTheme="minorEastAsia" w:eastAsiaTheme="minorEastAsia"/>
          <w:sz w:val="32"/>
          <w:szCs w:val="32"/>
          <w:lang w:val="en-US" w:eastAsia="zh-CN"/>
        </w:rPr>
        <w:t>958.52</w:t>
      </w:r>
      <w:r>
        <w:rPr>
          <w:rFonts w:hint="eastAsia" w:asciiTheme="minorEastAsia" w:hAnsiTheme="minorEastAsia" w:eastAsiaTheme="minorEastAsia"/>
          <w:sz w:val="32"/>
          <w:szCs w:val="32"/>
        </w:rPr>
        <w:t>万元。与上年相比，增加580.23万元，增长41.88%，主要是因为课后服务费的增加，教师公用经费及人员工资的增加。</w:t>
      </w:r>
    </w:p>
    <w:p>
      <w:pPr>
        <w:pStyle w:val="11"/>
        <w:ind w:firstLine="643" w:firstLineChars="200"/>
        <w:rPr>
          <w:rFonts w:hAnsi="黑体"/>
          <w:b/>
          <w:sz w:val="32"/>
          <w:szCs w:val="32"/>
        </w:rPr>
      </w:pPr>
      <w:r>
        <w:rPr>
          <w:rFonts w:hint="eastAsia" w:hAnsi="黑体"/>
          <w:b/>
          <w:sz w:val="32"/>
          <w:szCs w:val="32"/>
        </w:rPr>
        <w:t>五、一般公共预算财政拨款支出决算情况说明</w:t>
      </w:r>
    </w:p>
    <w:p>
      <w:pPr>
        <w:pStyle w:val="11"/>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2021年度财政拨款支出920.22万元，年初结转和结余</w:t>
      </w:r>
      <w:r>
        <w:rPr>
          <w:rFonts w:hint="eastAsia" w:asciiTheme="minorEastAsia" w:hAnsiTheme="minorEastAsia" w:eastAsiaTheme="minorEastAsia"/>
          <w:sz w:val="32"/>
          <w:szCs w:val="32"/>
          <w:lang w:val="en-US" w:eastAsia="zh-CN"/>
        </w:rPr>
        <w:t>38.29万元，总计958.52万元。</w:t>
      </w:r>
      <w:r>
        <w:rPr>
          <w:rFonts w:hint="eastAsia" w:asciiTheme="minorEastAsia" w:hAnsiTheme="minorEastAsia" w:eastAsiaTheme="minorEastAsia"/>
          <w:sz w:val="32"/>
          <w:szCs w:val="32"/>
        </w:rPr>
        <w:t>占本年支出合计的84.77%，与上年相比，财政拨款支出减少167.65万元，减少21.20%，主要是因为2021年学生人数减少，公用经费及营养餐资金减少。</w:t>
      </w:r>
    </w:p>
    <w:p>
      <w:pPr>
        <w:pStyle w:val="11"/>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2021年度财政拨款支出958.51万元，主要用于以下方面：一般公共服务支出0万元，占0%；教育支出958.51万元，占100%。</w:t>
      </w:r>
    </w:p>
    <w:p>
      <w:pPr>
        <w:pStyle w:val="11"/>
        <w:ind w:firstLine="803"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2021年度财政拨款支出年初预算数为1074.97万元，支出决算数为958.51万元，完成年初预算的89.17%，其中：。</w:t>
      </w:r>
    </w:p>
    <w:p>
      <w:pPr>
        <w:pStyle w:val="11"/>
        <w:numPr>
          <w:ilvl w:val="0"/>
          <w:numId w:val="0"/>
        </w:numPr>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年初预算为0万元，支出决算为0万元。</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、教育支出（类）普通教育（款）小学教育（项）。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年初预算为1074.94万元，支出决算为697.21万元，完成年初预算的</w:t>
      </w:r>
      <w:r>
        <w:rPr>
          <w:rFonts w:hint="eastAsia" w:asciiTheme="minorEastAsia" w:hAnsiTheme="minorEastAsia" w:eastAsiaTheme="minorEastAsia"/>
          <w:sz w:val="32"/>
          <w:szCs w:val="32"/>
          <w:lang w:val="en-US" w:eastAsia="zh-CN"/>
        </w:rPr>
        <w:t>64.86</w:t>
      </w:r>
      <w:r>
        <w:rPr>
          <w:rFonts w:hint="eastAsia" w:asciiTheme="minorEastAsia" w:hAnsiTheme="minorEastAsia" w:eastAsiaTheme="minorEastAsia"/>
          <w:sz w:val="32"/>
          <w:szCs w:val="32"/>
        </w:rPr>
        <w:t>%，决算数大于年初预算数的主要原因是：预决算口径不一致。</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、教育支出（类）普通教育（款）其他普通教育支出（项）。</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年初预算为0万元，支出决算为261.3万元，年初预算为0万元，无法计算完成比率</w:t>
      </w:r>
      <w:r>
        <w:rPr>
          <w:rFonts w:hint="eastAsia" w:asciiTheme="minorEastAsia" w:hAnsiTheme="minorEastAsia" w:eastAsiaTheme="minorEastAsia"/>
          <w:sz w:val="32"/>
          <w:szCs w:val="32"/>
          <w:lang w:eastAsia="zh-CN"/>
        </w:rPr>
        <w:t>。</w:t>
      </w:r>
    </w:p>
    <w:p>
      <w:pPr>
        <w:pStyle w:val="11"/>
        <w:ind w:firstLine="643" w:firstLineChars="200"/>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702.66万元，其中：人员经费632.58万元，占基本支出的90.03%,主要包括基本工资、津贴补贴、奖金、绩效工资、养老保险缴费、医疗保险缴费、其他保险缴费以及对个人和家庭的生活补助（退休人员）；公用经费70.08万元，占基本支出的9.97%，主要包括办公费、咨询费、水费、电费、差旅费、维修费、租赁费、培训费、劳务费、工会经费、福利费、税金及附加费用、办公设备购置、专用设备购置及其他资本性支出。</w:t>
      </w:r>
    </w:p>
    <w:p>
      <w:pPr>
        <w:pStyle w:val="11"/>
        <w:ind w:firstLine="643" w:firstLineChars="200"/>
        <w:rPr>
          <w:rFonts w:hAnsi="黑体"/>
          <w:b/>
          <w:sz w:val="32"/>
          <w:szCs w:val="32"/>
        </w:rPr>
      </w:pPr>
      <w:r>
        <w:rPr>
          <w:rFonts w:hint="eastAsia" w:hAnsi="黑体"/>
          <w:b/>
          <w:sz w:val="32"/>
          <w:szCs w:val="32"/>
        </w:rPr>
        <w:t>七、一般公共预算财政拨款“三公”经费支出决算情况说明</w:t>
      </w:r>
    </w:p>
    <w:p>
      <w:pPr>
        <w:pStyle w:val="11"/>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2021年度“三公”经费财政拨款支出预算为0万元，支出决算为0万元，其中：</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w:t>
      </w:r>
    </w:p>
    <w:p>
      <w:pPr>
        <w:pStyle w:val="11"/>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3、公务用车购置费及运行维护费支出决算为0万元，其中：公务用车购置费0万元，怀化市黄金坳小学更新公务用车0辆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公务用车运行维护费0万元，截止2021年12月31日，我单位开支财政拨款的公务用车保有量为0辆。</w:t>
      </w:r>
    </w:p>
    <w:p>
      <w:pPr>
        <w:pStyle w:val="11"/>
        <w:ind w:firstLine="643" w:firstLineChars="200"/>
        <w:rPr>
          <w:rFonts w:hAnsi="黑体"/>
          <w:b/>
          <w:sz w:val="32"/>
          <w:szCs w:val="32"/>
        </w:rPr>
      </w:pPr>
      <w:r>
        <w:rPr>
          <w:rFonts w:hint="eastAsia" w:hAnsi="黑体"/>
          <w:b/>
          <w:sz w:val="32"/>
          <w:szCs w:val="32"/>
        </w:rPr>
        <w:t>八、政府性基金预算收入支出决算情况</w:t>
      </w:r>
    </w:p>
    <w:p>
      <w:pPr>
        <w:pStyle w:val="11"/>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sz w:val="32"/>
          <w:szCs w:val="32"/>
        </w:rPr>
        <w:t>2021年度政府性基金预算财政拨款收入0万元；年初结转和结余0万元；支出0万元，其中基本支出0万元，项目支出0万元；年末结转和结余0万元。</w:t>
      </w:r>
      <w:r>
        <w:rPr>
          <w:rFonts w:hint="eastAsia" w:asciiTheme="minorEastAsia" w:hAnsiTheme="minorEastAsia" w:eastAsiaTheme="minorEastAsia"/>
          <w:color w:val="000000" w:themeColor="text1"/>
          <w:sz w:val="32"/>
          <w:szCs w:val="32"/>
          <w14:textFill>
            <w14:solidFill>
              <w14:schemeClr w14:val="tx1"/>
            </w14:solidFill>
          </w14:textFill>
        </w:rPr>
        <w:t>本单位无政府性基金。</w:t>
      </w:r>
    </w:p>
    <w:p>
      <w:pPr>
        <w:pStyle w:val="11"/>
        <w:ind w:firstLine="643" w:firstLineChars="200"/>
        <w:rPr>
          <w:rFonts w:hAnsi="黑体"/>
          <w:b/>
          <w:sz w:val="32"/>
          <w:szCs w:val="32"/>
        </w:rPr>
      </w:pPr>
      <w:r>
        <w:rPr>
          <w:rFonts w:hint="eastAsia" w:hAnsi="黑体"/>
          <w:b/>
          <w:sz w:val="32"/>
          <w:szCs w:val="32"/>
        </w:rPr>
        <w:t>九、国有资本经营预算财政拨款支出情况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2021年度国有资本经营预算财政拨款收入0万元；支出0万元，其中基本支出0万元，项目支出0万元。具体情况如下：本单位无国有资本经营。</w:t>
      </w:r>
    </w:p>
    <w:p>
      <w:pPr>
        <w:pStyle w:val="11"/>
        <w:ind w:firstLine="643" w:firstLineChars="200"/>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机关运行经费为保障行政单位（含参照公务员法管理的事业单位）运行用于购买货物和服务的各项资金，本单位为财政补助事业单位，无机关运行经费</w:t>
      </w:r>
      <w:bookmarkStart w:id="0" w:name="_GoBack"/>
      <w:bookmarkEnd w:id="0"/>
      <w:r>
        <w:rPr>
          <w:rFonts w:hint="eastAsia" w:asciiTheme="minorEastAsia" w:hAnsiTheme="minorEastAsia" w:eastAsiaTheme="minorEastAsia"/>
          <w:color w:val="auto"/>
          <w:sz w:val="32"/>
          <w:szCs w:val="32"/>
        </w:rPr>
        <w:t>。</w:t>
      </w:r>
    </w:p>
    <w:p>
      <w:pPr>
        <w:pStyle w:val="11"/>
        <w:ind w:firstLine="643" w:firstLineChars="200"/>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万元，用于召开0会议，人数0人，内容为0；开支培训费8.42万元，用于开展教师培训，人数64人，内容为和美课堂培训、美育培训、暑期培训、党史学习及其他；举办0次等节庆、晚会、论坛、赛事活动，开支0万元。</w:t>
      </w:r>
    </w:p>
    <w:p>
      <w:pPr>
        <w:pStyle w:val="11"/>
        <w:ind w:firstLine="643" w:firstLineChars="200"/>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ind w:firstLine="643" w:firstLineChars="200"/>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0；单位价值50万元以上通用设备0台（套）；单位价值100万元以上专用设备0台（套）。</w:t>
      </w:r>
    </w:p>
    <w:p>
      <w:pPr>
        <w:pStyle w:val="11"/>
        <w:ind w:firstLine="643" w:firstLineChars="200"/>
        <w:rPr>
          <w:rFonts w:hAnsi="黑体"/>
          <w:b/>
          <w:sz w:val="32"/>
          <w:szCs w:val="32"/>
        </w:rPr>
      </w:pPr>
      <w:r>
        <w:rPr>
          <w:rFonts w:hint="eastAsia" w:hAnsi="黑体"/>
          <w:b/>
          <w:sz w:val="32"/>
          <w:szCs w:val="32"/>
        </w:rPr>
        <w:t>十四、2021年度预算绩效情况说明</w:t>
      </w:r>
    </w:p>
    <w:p>
      <w:pPr>
        <w:autoSpaceDE w:val="0"/>
        <w:autoSpaceDN w:val="0"/>
        <w:adjustRightInd w:val="0"/>
        <w:ind w:firstLine="643"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年度一般公共预算项目支出全面开展绩效自评，其中，一级项目1个，二级项目0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个，共涉及资金261.31万元，占一般公共预算项目支出总额的100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spacing w:line="7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组织对“农村学校营养午餐”1个项目开展了部门评价，涉及一般公共预算支出261.31万元，政府性基金预算支出0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万元，国有资本经营预算支出0万元。从评价情况来看，</w:t>
      </w:r>
      <w:r>
        <w:rPr>
          <w:rFonts w:hint="eastAsia" w:ascii="宋体" w:hAnsi="宋体" w:eastAsia="宋体" w:cs="Times New Roman"/>
          <w:sz w:val="32"/>
          <w:szCs w:val="32"/>
        </w:rPr>
        <w:t>绩效评价为95分，自我评价为合格。以后高度重视绩效评价工作，由专人负责；按照评价要求和项目特点，科学制定评价方法和指标；按照“三重一大”的要求做到各部门层层把关，相互监督</w:t>
      </w:r>
      <w:r>
        <w:rPr>
          <w:rFonts w:hint="eastAsia" w:ascii="Calibri" w:hAnsi="Calibri" w:eastAsia="仿宋_GB2312" w:cs="Times New Roman"/>
          <w:sz w:val="30"/>
          <w:szCs w:val="30"/>
        </w:rPr>
        <w:t>。</w:t>
      </w:r>
    </w:p>
    <w:p>
      <w:pPr>
        <w:ind w:firstLine="640" w:firstLineChars="200"/>
        <w:rPr>
          <w:rFonts w:asciiTheme="minorEastAsia" w:hAnsiTheme="minorEastAsia"/>
          <w:sz w:val="32"/>
          <w:szCs w:val="32"/>
        </w:rPr>
      </w:pPr>
      <w:r>
        <w:rPr>
          <w:rFonts w:hint="eastAsia" w:cs="黑体" w:asciiTheme="minorEastAsia" w:hAnsiTheme="minorEastAsia"/>
          <w:color w:val="000000"/>
          <w:kern w:val="0"/>
          <w:sz w:val="32"/>
          <w:szCs w:val="32"/>
        </w:rPr>
        <w:t>组织对“怀化市黄金坳小学”等1个单位开展整体支出绩效评价，涉及一般公共预算支出261.31万元，政府性基金预算支出0万元。从评价情况来看，</w:t>
      </w:r>
      <w:r>
        <w:rPr>
          <w:rFonts w:hint="eastAsia" w:ascii="宋体" w:hAnsi="宋体" w:eastAsia="宋体" w:cs="Times New Roman"/>
          <w:sz w:val="32"/>
          <w:szCs w:val="32"/>
        </w:rPr>
        <w:t>2021年，</w:t>
      </w:r>
      <w:r>
        <w:rPr>
          <w:rFonts w:hint="eastAsia" w:asciiTheme="minorEastAsia" w:hAnsiTheme="minorEastAsia"/>
          <w:sz w:val="32"/>
          <w:szCs w:val="32"/>
        </w:rPr>
        <w:t>怀化市</w:t>
      </w:r>
      <w:r>
        <w:rPr>
          <w:rFonts w:hint="eastAsia" w:ascii="宋体" w:hAnsi="宋体" w:eastAsia="宋体" w:cs="Times New Roman"/>
          <w:sz w:val="32"/>
          <w:szCs w:val="32"/>
        </w:rPr>
        <w:t>象形学校按照“四本预算”，确立支出绩效目标，资金到位及时，使用规范的前提下，使用过程公开透明，确保了学校营养午餐的正常开支，学生家长较为满意整体支出绩效较好。</w:t>
      </w:r>
    </w:p>
    <w:p>
      <w:pPr>
        <w:autoSpaceDE w:val="0"/>
        <w:autoSpaceDN w:val="0"/>
        <w:adjustRightInd w:val="0"/>
        <w:ind w:firstLine="643"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（2）部门决算中项目绩效自评结果（如有）。</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ascii="宋体" w:hAnsi="宋体" w:eastAsia="宋体" w:cs="Times New Roman"/>
          <w:sz w:val="32"/>
          <w:szCs w:val="32"/>
        </w:rPr>
        <w:t>人才津贴</w:t>
      </w:r>
      <w:r>
        <w:rPr>
          <w:rFonts w:hint="eastAsia" w:cs="黑体" w:asciiTheme="minorEastAsia" w:hAnsiTheme="minorEastAsia"/>
          <w:color w:val="000000"/>
          <w:kern w:val="0"/>
          <w:sz w:val="32"/>
          <w:szCs w:val="32"/>
        </w:rPr>
        <w:t>项目绩效自评综述：根据年初设定的绩效目标，项目绩效自评得分为95分。项目全年预算数为19.32万元，执行数为19.32万元，完成预算的100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w:t>
      </w:r>
      <w:r>
        <w:rPr>
          <w:rFonts w:hint="eastAsia" w:ascii="宋体" w:hAnsi="宋体" w:eastAsia="宋体" w:cs="Times New Roman"/>
          <w:sz w:val="32"/>
          <w:szCs w:val="32"/>
        </w:rPr>
        <w:t>严格控制资金使用保证人数与资金落实</w:t>
      </w:r>
      <w:r>
        <w:rPr>
          <w:rFonts w:hint="eastAsia" w:cs="黑体" w:asciiTheme="minorEastAsia" w:hAnsiTheme="minorEastAsia"/>
          <w:color w:val="000000"/>
          <w:kern w:val="0"/>
          <w:sz w:val="32"/>
          <w:szCs w:val="32"/>
        </w:rPr>
        <w:t>。发现的主要问题及原因：</w:t>
      </w:r>
      <w:r>
        <w:rPr>
          <w:rFonts w:hint="eastAsia" w:ascii="宋体" w:hAnsi="宋体" w:eastAsia="宋体" w:cs="仿宋_GB2312"/>
          <w:sz w:val="32"/>
          <w:szCs w:val="32"/>
        </w:rPr>
        <w:t>对绩效评价工作的认识和专业程度还有待加强</w:t>
      </w:r>
      <w:r>
        <w:rPr>
          <w:rFonts w:hint="eastAsia" w:cs="黑体" w:asciiTheme="minorEastAsia" w:hAnsiTheme="minorEastAsia"/>
          <w:color w:val="000000"/>
          <w:kern w:val="0"/>
          <w:sz w:val="32"/>
          <w:szCs w:val="32"/>
        </w:rPr>
        <w:t>。下一步改进措施：一是</w:t>
      </w:r>
      <w:r>
        <w:rPr>
          <w:rFonts w:hint="eastAsia" w:ascii="宋体" w:hAnsi="宋体" w:eastAsia="宋体" w:cs="仿宋_GB2312"/>
          <w:sz w:val="32"/>
          <w:szCs w:val="32"/>
        </w:rPr>
        <w:t>严格遵循把</w:t>
      </w:r>
      <w:r>
        <w:rPr>
          <w:rFonts w:hint="eastAsia" w:cs="仿宋_GB2312" w:asciiTheme="minorEastAsia" w:hAnsiTheme="minorEastAsia"/>
          <w:sz w:val="32"/>
          <w:szCs w:val="32"/>
        </w:rPr>
        <w:t>控</w:t>
      </w:r>
      <w:r>
        <w:rPr>
          <w:rFonts w:hint="eastAsia" w:ascii="宋体" w:hAnsi="宋体" w:eastAsia="宋体" w:cs="仿宋_GB2312"/>
          <w:sz w:val="32"/>
          <w:szCs w:val="32"/>
        </w:rPr>
        <w:t>财政资金使用</w:t>
      </w:r>
      <w:r>
        <w:rPr>
          <w:rFonts w:hint="eastAsia" w:cs="黑体" w:asciiTheme="minorEastAsia" w:hAnsiTheme="minorEastAsia"/>
          <w:color w:val="000000"/>
          <w:kern w:val="0"/>
          <w:sz w:val="32"/>
          <w:szCs w:val="32"/>
        </w:rPr>
        <w:t>；二是</w:t>
      </w:r>
      <w:r>
        <w:rPr>
          <w:rFonts w:hint="eastAsia" w:ascii="宋体" w:hAnsi="宋体" w:eastAsia="宋体" w:cs="仿宋_GB2312"/>
          <w:sz w:val="32"/>
          <w:szCs w:val="32"/>
        </w:rPr>
        <w:t>严格</w:t>
      </w:r>
      <w:r>
        <w:rPr>
          <w:rFonts w:hint="eastAsia" w:cs="仿宋_GB2312" w:asciiTheme="minorEastAsia" w:hAnsiTheme="minorEastAsia"/>
          <w:sz w:val="32"/>
          <w:szCs w:val="32"/>
        </w:rPr>
        <w:t>落实不断提高专业水平</w:t>
      </w:r>
      <w:r>
        <w:rPr>
          <w:rFonts w:hint="eastAsia" w:cs="黑体" w:asciiTheme="minorEastAsia" w:hAnsiTheme="minorEastAsia"/>
          <w:color w:val="000000"/>
          <w:kern w:val="0"/>
          <w:sz w:val="32"/>
          <w:szCs w:val="32"/>
        </w:rPr>
        <w:t>。</w:t>
      </w:r>
    </w:p>
    <w:p>
      <w:pPr>
        <w:autoSpaceDE w:val="0"/>
        <w:autoSpaceDN w:val="0"/>
        <w:adjustRightInd w:val="0"/>
        <w:ind w:firstLine="643"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spacing w:line="560" w:lineRule="exact"/>
        <w:ind w:firstLine="640" w:firstLineChars="200"/>
        <w:rPr>
          <w:rFonts w:ascii="宋体" w:hAnsi="宋体" w:eastAsia="宋体" w:cs="Times New Roman"/>
          <w:sz w:val="32"/>
          <w:szCs w:val="32"/>
        </w:rPr>
      </w:pPr>
      <w:r>
        <w:rPr>
          <w:rFonts w:hint="eastAsia" w:ascii="宋体" w:hAnsi="宋体" w:eastAsia="宋体" w:cs="Times New Roman"/>
          <w:sz w:val="32"/>
          <w:szCs w:val="32"/>
        </w:rPr>
        <w:t>2021年怀化市黄金坳小学实际操作申报的项目共2个，分别为：学生营养午餐、人才津贴</w:t>
      </w:r>
      <w:r>
        <w:rPr>
          <w:rFonts w:hint="eastAsia" w:asciiTheme="minorEastAsia" w:hAnsiTheme="minorEastAsia"/>
          <w:sz w:val="32"/>
          <w:szCs w:val="32"/>
        </w:rPr>
        <w:t>并已单独在绩效评价中公开</w:t>
      </w:r>
      <w:r>
        <w:rPr>
          <w:rFonts w:hint="eastAsia" w:ascii="宋体" w:hAnsi="宋体" w:eastAsia="宋体" w:cs="Times New Roman"/>
          <w:sz w:val="32"/>
          <w:szCs w:val="32"/>
        </w:rPr>
        <w:t>。</w:t>
      </w:r>
    </w:p>
    <w:p>
      <w:pPr>
        <w:spacing w:line="700" w:lineRule="exact"/>
        <w:ind w:firstLine="640" w:firstLineChars="200"/>
        <w:rPr>
          <w:rFonts w:ascii="宋体" w:hAnsi="宋体" w:eastAsia="宋体" w:cs="Times New Roman"/>
          <w:sz w:val="32"/>
          <w:szCs w:val="32"/>
        </w:rPr>
      </w:pPr>
      <w:r>
        <w:rPr>
          <w:rFonts w:hint="eastAsia" w:ascii="宋体" w:hAnsi="宋体" w:eastAsia="宋体" w:cs="Times New Roman"/>
          <w:sz w:val="32"/>
          <w:szCs w:val="32"/>
        </w:rPr>
        <w:t>2021年怀化市黄金坳小学严格按照上级指示完成了预算与支出，保证了学校的正常工作开展，确保了学生的农村学校营养午餐工作有序的进行。自我评价94分。自我评价为合格。</w:t>
      </w:r>
    </w:p>
    <w:p>
      <w:pPr>
        <w:autoSpaceDE w:val="0"/>
        <w:autoSpaceDN w:val="0"/>
        <w:adjustRightInd w:val="0"/>
        <w:jc w:val="left"/>
        <w:rPr>
          <w:rFonts w:cs="黑体" w:asciiTheme="minorEastAsia" w:hAnsiTheme="minorEastAsia"/>
          <w:color w:val="000000"/>
          <w:kern w:val="0"/>
          <w:sz w:val="32"/>
          <w:szCs w:val="3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widowControl/>
        <w:jc w:val="left"/>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rPr>
          <w:rFonts w:ascii="宋体" w:hAnsi="宋体" w:cs="黑体"/>
          <w:color w:val="000000"/>
          <w:kern w:val="0"/>
          <w:sz w:val="32"/>
          <w:szCs w:val="32"/>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spacing w:line="600" w:lineRule="exact"/>
        <w:ind w:firstLine="220" w:firstLineChars="50"/>
        <w:jc w:val="center"/>
        <w:rPr>
          <w:rFonts w:ascii="宋体" w:hAnsi="宋体"/>
          <w:sz w:val="44"/>
          <w:szCs w:val="44"/>
        </w:rPr>
      </w:pPr>
      <w:r>
        <w:rPr>
          <w:rFonts w:ascii="宋体" w:hAnsi="宋体"/>
          <w:sz w:val="44"/>
          <w:szCs w:val="44"/>
        </w:rPr>
        <w:t>2021</w:t>
      </w:r>
      <w:r>
        <w:rPr>
          <w:rFonts w:hint="eastAsia" w:ascii="宋体" w:hAnsi="宋体"/>
          <w:sz w:val="44"/>
          <w:szCs w:val="44"/>
        </w:rPr>
        <w:t>年黄金坳小学</w:t>
      </w:r>
      <w:r>
        <w:rPr>
          <w:rFonts w:ascii="宋体" w:hAnsi="宋体"/>
          <w:sz w:val="44"/>
          <w:szCs w:val="44"/>
        </w:rPr>
        <w:t>整体支出绩效评价报告</w:t>
      </w:r>
    </w:p>
    <w:p>
      <w:pPr>
        <w:jc w:val="center"/>
        <w:rPr>
          <w:rFonts w:ascii="宋体" w:hAnsi="宋体"/>
          <w:b/>
          <w:sz w:val="32"/>
          <w:szCs w:val="32"/>
        </w:rPr>
      </w:pPr>
    </w:p>
    <w:p>
      <w:pPr>
        <w:widowControl/>
        <w:shd w:val="clear" w:color="auto" w:fill="FFFFFF"/>
        <w:spacing w:line="600" w:lineRule="atLeast"/>
        <w:rPr>
          <w:rFonts w:ascii="宋体" w:hAnsi="宋体"/>
          <w:b/>
          <w:spacing w:val="-2"/>
          <w:sz w:val="28"/>
          <w:szCs w:val="28"/>
        </w:rPr>
      </w:pPr>
      <w:r>
        <w:rPr>
          <w:rFonts w:ascii="宋体" w:hAnsi="宋体"/>
          <w:b/>
          <w:spacing w:val="-2"/>
          <w:sz w:val="28"/>
          <w:szCs w:val="28"/>
        </w:rPr>
        <w:t>一、部门概况</w:t>
      </w:r>
    </w:p>
    <w:p>
      <w:pPr>
        <w:pStyle w:val="6"/>
        <w:spacing w:before="0" w:beforeAutospacing="0" w:after="0" w:afterAutospacing="0" w:line="570" w:lineRule="atLeast"/>
        <w:ind w:firstLine="480" w:firstLineChars="15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（一）截止2021年12月，我校有在职教师56人，退休教师36人，在校学生人数923人。</w:t>
      </w:r>
    </w:p>
    <w:p>
      <w:pPr>
        <w:pStyle w:val="6"/>
        <w:spacing w:before="0" w:beforeAutospacing="0" w:after="0" w:afterAutospacing="0" w:line="570" w:lineRule="atLeast"/>
        <w:ind w:firstLine="480" w:firstLineChars="15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学校的主要职责是：贯彻落实党的教育方针及有关教育工作的政策、法律、法规、规章，实施小学义务教育，促进基础教育发展，小学学历教育。内设机构设置，9个职能处室：学校办公室、校长室、工会、党支部、总务处、教务处、德育处、教研室、财务室。</w:t>
      </w:r>
    </w:p>
    <w:p>
      <w:pPr>
        <w:pStyle w:val="6"/>
        <w:spacing w:before="0" w:beforeAutospacing="0" w:after="0" w:afterAutospacing="0" w:line="570" w:lineRule="atLeast"/>
        <w:ind w:firstLine="480" w:firstLineChars="15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（二）学校部门整体支出包括教育基本经费、项目经费、教育发展校方责任经费和教学仪器设备经费。</w:t>
      </w:r>
    </w:p>
    <w:p>
      <w:pPr>
        <w:pStyle w:val="6"/>
        <w:spacing w:before="0" w:beforeAutospacing="0" w:after="0" w:afterAutospacing="0" w:line="570" w:lineRule="atLeast"/>
        <w:ind w:firstLine="480" w:firstLineChars="15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教育基本经费：保障教育教学工作的有效开展以及学校工作的正常运行。</w:t>
      </w:r>
    </w:p>
    <w:p>
      <w:pPr>
        <w:pStyle w:val="6"/>
        <w:spacing w:before="0" w:beforeAutospacing="0" w:after="0" w:afterAutospacing="0" w:line="570" w:lineRule="atLeast"/>
        <w:ind w:firstLine="480" w:firstLineChars="15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教育发展校方责任经费：保障学生及时入学，活跃校园气氛，保证学生安全及身心健康。</w:t>
      </w:r>
    </w:p>
    <w:p>
      <w:pPr>
        <w:pStyle w:val="6"/>
        <w:spacing w:before="0" w:beforeAutospacing="0" w:after="0" w:afterAutospacing="0" w:line="570" w:lineRule="atLeast"/>
        <w:ind w:firstLine="480" w:firstLineChars="15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教育发展教学仪器设备经费：教学教研活动的有效开展。</w:t>
      </w:r>
    </w:p>
    <w:p>
      <w:pPr>
        <w:widowControl/>
        <w:shd w:val="clear" w:color="auto" w:fill="FFFFFF"/>
        <w:spacing w:line="600" w:lineRule="atLeast"/>
        <w:ind w:firstLine="640"/>
        <w:rPr>
          <w:rFonts w:ascii="宋体" w:hAnsi="宋体"/>
          <w:b/>
          <w:spacing w:val="-2"/>
          <w:sz w:val="28"/>
          <w:szCs w:val="28"/>
        </w:rPr>
      </w:pPr>
      <w:r>
        <w:rPr>
          <w:rFonts w:ascii="宋体" w:hAnsi="宋体"/>
          <w:b/>
          <w:spacing w:val="-2"/>
          <w:sz w:val="28"/>
          <w:szCs w:val="28"/>
        </w:rPr>
        <w:t>二、部门整体支出管理及使用情况</w:t>
      </w:r>
    </w:p>
    <w:p>
      <w:pPr>
        <w:widowControl/>
        <w:shd w:val="clear" w:color="auto" w:fill="FFFFFF"/>
        <w:spacing w:line="600" w:lineRule="atLeast"/>
        <w:ind w:firstLine="643"/>
        <w:rPr>
          <w:rFonts w:ascii="宋体" w:hAnsi="宋体"/>
          <w:b/>
          <w:spacing w:val="-2"/>
          <w:sz w:val="28"/>
          <w:szCs w:val="28"/>
        </w:rPr>
      </w:pPr>
      <w:r>
        <w:rPr>
          <w:rFonts w:ascii="宋体" w:hAnsi="宋体"/>
          <w:b/>
          <w:spacing w:val="-2"/>
          <w:sz w:val="28"/>
          <w:szCs w:val="28"/>
        </w:rPr>
        <w:t>（一）基本支出</w:t>
      </w:r>
    </w:p>
    <w:p>
      <w:pPr>
        <w:pStyle w:val="6"/>
        <w:spacing w:before="0" w:beforeAutospacing="0" w:after="0" w:afterAutospacing="0" w:line="480" w:lineRule="auto"/>
        <w:ind w:firstLine="480"/>
        <w:jc w:val="both"/>
        <w:rPr>
          <w:color w:val="333333"/>
          <w:sz w:val="28"/>
          <w:szCs w:val="28"/>
        </w:rPr>
      </w:pPr>
      <w:r>
        <w:rPr>
          <w:rFonts w:hint="eastAsia"/>
          <w:color w:val="333333"/>
          <w:sz w:val="28"/>
          <w:szCs w:val="28"/>
        </w:rPr>
        <w:t>教育基本经费总支出1138.07万元。其中人员经费支出746.85万元，日常公用经费支出124.65万元。项目支出：总支出266.57万元元,主要用于学生营养餐及工友工资，乡镇教师人才津贴和保安工资等</w:t>
      </w:r>
    </w:p>
    <w:p>
      <w:pPr>
        <w:pStyle w:val="6"/>
        <w:spacing w:before="0" w:beforeAutospacing="0" w:after="0" w:afterAutospacing="0" w:line="480" w:lineRule="auto"/>
        <w:ind w:firstLine="480"/>
        <w:jc w:val="both"/>
        <w:rPr>
          <w:color w:val="333333"/>
          <w:sz w:val="28"/>
          <w:szCs w:val="28"/>
        </w:rPr>
      </w:pPr>
      <w:r>
        <w:rPr>
          <w:rFonts w:hint="eastAsia"/>
          <w:color w:val="333333"/>
          <w:sz w:val="28"/>
          <w:szCs w:val="28"/>
        </w:rPr>
        <w:t>公务接待费0万元, 控制在预算的0万元范围内；无公务用车购置及运行维护费。</w:t>
      </w:r>
    </w:p>
    <w:p>
      <w:pPr>
        <w:widowControl/>
        <w:shd w:val="clear" w:color="auto" w:fill="FFFFFF"/>
        <w:spacing w:line="600" w:lineRule="atLeast"/>
        <w:ind w:firstLine="640"/>
        <w:rPr>
          <w:rFonts w:ascii="宋体" w:hAnsi="宋体"/>
          <w:b/>
          <w:spacing w:val="-2"/>
          <w:sz w:val="28"/>
          <w:szCs w:val="28"/>
        </w:rPr>
      </w:pPr>
      <w:r>
        <w:rPr>
          <w:rFonts w:ascii="宋体" w:hAnsi="宋体"/>
          <w:b/>
          <w:spacing w:val="-2"/>
          <w:sz w:val="28"/>
          <w:szCs w:val="28"/>
        </w:rPr>
        <w:t>（二）专项支出</w:t>
      </w:r>
    </w:p>
    <w:p>
      <w:pPr>
        <w:widowControl/>
        <w:shd w:val="clear" w:color="auto" w:fill="FFFFFF"/>
        <w:spacing w:line="600" w:lineRule="atLeast"/>
        <w:ind w:firstLine="640"/>
        <w:rPr>
          <w:rFonts w:ascii="宋体" w:hAnsi="宋体"/>
          <w:color w:val="333333"/>
          <w:sz w:val="28"/>
          <w:szCs w:val="28"/>
        </w:rPr>
      </w:pPr>
      <w:r>
        <w:rPr>
          <w:rFonts w:hint="eastAsia" w:ascii="宋体" w:hAnsi="宋体"/>
          <w:color w:val="333333"/>
          <w:sz w:val="28"/>
          <w:szCs w:val="28"/>
        </w:rPr>
        <w:t>学校的</w:t>
      </w:r>
      <w:r>
        <w:rPr>
          <w:rFonts w:ascii="宋体" w:hAnsi="宋体"/>
          <w:spacing w:val="-2"/>
          <w:sz w:val="28"/>
          <w:szCs w:val="28"/>
        </w:rPr>
        <w:t>专项支出</w:t>
      </w:r>
      <w:r>
        <w:rPr>
          <w:rFonts w:hint="eastAsia" w:ascii="宋体" w:hAnsi="宋体"/>
          <w:spacing w:val="-2"/>
          <w:sz w:val="28"/>
          <w:szCs w:val="28"/>
        </w:rPr>
        <w:t>包括</w:t>
      </w:r>
      <w:r>
        <w:rPr>
          <w:rFonts w:hint="eastAsia" w:ascii="宋体" w:hAnsi="宋体"/>
          <w:color w:val="333333"/>
          <w:sz w:val="28"/>
          <w:szCs w:val="28"/>
        </w:rPr>
        <w:t>营养午餐和学生营养午餐厨师工资，学生营养餐201.4万元，厨师工资10.54万元。</w:t>
      </w:r>
    </w:p>
    <w:p>
      <w:pPr>
        <w:widowControl/>
        <w:shd w:val="clear" w:color="auto" w:fill="FFFFFF"/>
        <w:spacing w:line="600" w:lineRule="atLeast"/>
        <w:ind w:firstLine="640"/>
        <w:rPr>
          <w:rFonts w:ascii="宋体" w:hAnsi="宋体"/>
          <w:b/>
          <w:spacing w:val="-2"/>
          <w:sz w:val="28"/>
          <w:szCs w:val="28"/>
        </w:rPr>
      </w:pPr>
      <w:r>
        <w:rPr>
          <w:rFonts w:ascii="宋体" w:hAnsi="宋体"/>
          <w:b/>
          <w:spacing w:val="-2"/>
          <w:sz w:val="28"/>
          <w:szCs w:val="28"/>
        </w:rPr>
        <w:t>三、部门专项组织实施情况</w:t>
      </w:r>
    </w:p>
    <w:p>
      <w:pPr>
        <w:widowControl/>
        <w:shd w:val="clear" w:color="auto" w:fill="FFFFFF"/>
        <w:spacing w:line="600" w:lineRule="atLeast"/>
        <w:ind w:firstLine="640"/>
        <w:rPr>
          <w:rFonts w:ascii="宋体" w:hAnsi="宋体"/>
          <w:color w:val="333333"/>
          <w:sz w:val="28"/>
          <w:szCs w:val="28"/>
          <w:shd w:val="clear" w:color="auto" w:fill="F8F8F8"/>
        </w:rPr>
      </w:pPr>
      <w:r>
        <w:rPr>
          <w:rFonts w:hint="eastAsia" w:ascii="宋体" w:hAnsi="宋体"/>
          <w:color w:val="333333"/>
          <w:sz w:val="28"/>
          <w:szCs w:val="28"/>
          <w:shd w:val="clear" w:color="auto" w:fill="F8F8F8"/>
        </w:rPr>
        <w:t>营养餐费用支付执行国库集中支出管理模式，学校申请，国库集中支付中心审核支付，对于授权支付批复的资金严格实行相关财务制度和支付流程，实行严格的一支笔审核支付，支出管理零风险。</w:t>
      </w:r>
    </w:p>
    <w:p>
      <w:pPr>
        <w:widowControl/>
        <w:shd w:val="clear" w:color="auto" w:fill="FFFFFF"/>
        <w:spacing w:line="600" w:lineRule="atLeast"/>
        <w:ind w:firstLine="640"/>
        <w:rPr>
          <w:rFonts w:ascii="宋体" w:hAnsi="宋体"/>
          <w:b/>
          <w:spacing w:val="-2"/>
          <w:sz w:val="28"/>
          <w:szCs w:val="28"/>
        </w:rPr>
      </w:pPr>
      <w:r>
        <w:rPr>
          <w:rFonts w:ascii="宋体" w:hAnsi="宋体"/>
          <w:b/>
          <w:spacing w:val="-2"/>
          <w:sz w:val="28"/>
          <w:szCs w:val="28"/>
        </w:rPr>
        <w:t>四、资产管理情况</w:t>
      </w:r>
    </w:p>
    <w:p>
      <w:pPr>
        <w:widowControl/>
        <w:shd w:val="clear" w:color="auto" w:fill="FFFFFF"/>
        <w:spacing w:line="600" w:lineRule="atLeast"/>
        <w:ind w:firstLine="640"/>
        <w:rPr>
          <w:rFonts w:ascii="宋体" w:hAnsi="宋体"/>
          <w:color w:val="333333"/>
          <w:sz w:val="28"/>
          <w:szCs w:val="28"/>
        </w:rPr>
      </w:pPr>
      <w:r>
        <w:rPr>
          <w:rFonts w:hint="eastAsia" w:ascii="宋体" w:hAnsi="宋体"/>
          <w:color w:val="333333"/>
          <w:sz w:val="28"/>
          <w:szCs w:val="28"/>
        </w:rPr>
        <w:t>固定资产总额为：1578.43万元。本单位严格按照内控手册制度和流程执行采购、验收、管理、处理。对购入资产进行登记管理，指定使用人、管理人，存放地点，会计帐务处理，系统下帐处理。</w:t>
      </w:r>
    </w:p>
    <w:p>
      <w:pPr>
        <w:widowControl/>
        <w:shd w:val="clear" w:color="auto" w:fill="FFFFFF"/>
        <w:spacing w:line="600" w:lineRule="atLeast"/>
        <w:ind w:firstLine="640"/>
        <w:rPr>
          <w:rFonts w:ascii="宋体" w:hAnsi="宋体"/>
          <w:b/>
          <w:spacing w:val="-2"/>
          <w:sz w:val="28"/>
          <w:szCs w:val="28"/>
        </w:rPr>
      </w:pPr>
      <w:r>
        <w:rPr>
          <w:rFonts w:ascii="宋体" w:hAnsi="宋体"/>
          <w:b/>
          <w:spacing w:val="-2"/>
          <w:sz w:val="28"/>
          <w:szCs w:val="28"/>
        </w:rPr>
        <w:t>五、部门整体支出绩效情况</w:t>
      </w:r>
    </w:p>
    <w:p>
      <w:pPr>
        <w:widowControl/>
        <w:spacing w:line="600" w:lineRule="exact"/>
        <w:ind w:firstLine="560" w:firstLineChars="200"/>
        <w:jc w:val="left"/>
        <w:rPr>
          <w:rFonts w:ascii="宋体" w:hAnsi="宋体"/>
          <w:sz w:val="28"/>
          <w:szCs w:val="28"/>
        </w:rPr>
      </w:pPr>
      <w:r>
        <w:rPr>
          <w:rFonts w:hint="eastAsia" w:ascii="宋体" w:hAnsi="宋体"/>
          <w:sz w:val="28"/>
          <w:szCs w:val="28"/>
        </w:rPr>
        <w:t>2021年，我单位积极履职，强化管理，较好地完成了年度工作目标。通过加强预算收支管理，不断建立健全内部管理制度，梳理内部管理流程，部门整体支出管理水平得到提升。</w:t>
      </w:r>
    </w:p>
    <w:p>
      <w:pPr>
        <w:widowControl/>
        <w:shd w:val="clear" w:color="auto" w:fill="FFFFFF"/>
        <w:spacing w:line="600" w:lineRule="atLeast"/>
        <w:ind w:firstLine="640"/>
        <w:rPr>
          <w:rFonts w:ascii="宋体" w:hAnsi="宋体"/>
          <w:b/>
          <w:spacing w:val="-2"/>
          <w:sz w:val="28"/>
          <w:szCs w:val="28"/>
        </w:rPr>
      </w:pPr>
      <w:r>
        <w:rPr>
          <w:rFonts w:ascii="宋体" w:hAnsi="宋体"/>
          <w:b/>
          <w:spacing w:val="-2"/>
          <w:sz w:val="28"/>
          <w:szCs w:val="28"/>
        </w:rPr>
        <w:t>六、存在的主要问题</w:t>
      </w:r>
    </w:p>
    <w:p>
      <w:pPr>
        <w:widowControl/>
        <w:spacing w:line="600" w:lineRule="exact"/>
        <w:ind w:firstLine="560" w:firstLineChars="200"/>
        <w:jc w:val="left"/>
        <w:rPr>
          <w:rFonts w:ascii="宋体" w:hAnsi="宋体"/>
          <w:sz w:val="28"/>
          <w:szCs w:val="28"/>
        </w:rPr>
      </w:pPr>
      <w:r>
        <w:rPr>
          <w:rFonts w:hint="eastAsia" w:ascii="宋体" w:hAnsi="宋体"/>
          <w:color w:val="333333"/>
          <w:sz w:val="28"/>
          <w:szCs w:val="28"/>
        </w:rPr>
        <w:t>财政预算与学校实际开支存在偏差，如年终各部门要求学校必须订阅报刊杂志，需购买的一些保险险种等均不在预算内。加上现代化设备的使用率提高，致使水电费的支出成倍增长，</w:t>
      </w:r>
      <w:r>
        <w:rPr>
          <w:rFonts w:hint="eastAsia" w:ascii="宋体" w:hAnsi="宋体"/>
          <w:color w:val="000000"/>
          <w:spacing w:val="-2"/>
          <w:sz w:val="28"/>
          <w:szCs w:val="28"/>
        </w:rPr>
        <w:t>每年的公用经费根据单位上年底的在职在编人数和经费标准核定金额，不包括当年正式招聘入职但未进编的人数，公用经费存在缺口，</w:t>
      </w:r>
      <w:r>
        <w:rPr>
          <w:rFonts w:hint="eastAsia" w:ascii="宋体" w:hAnsi="宋体"/>
          <w:color w:val="333333"/>
          <w:sz w:val="28"/>
          <w:szCs w:val="28"/>
        </w:rPr>
        <w:t>以致经费比较紧张。另外财政预算资金到位比较迟缓，各项目经费支付较滞后。</w:t>
      </w:r>
      <w:r>
        <w:rPr>
          <w:rFonts w:hint="eastAsia" w:ascii="宋体" w:hAnsi="宋体"/>
          <w:color w:val="000000"/>
          <w:sz w:val="28"/>
          <w:szCs w:val="28"/>
        </w:rPr>
        <w:t>学校没有专门的财务人员，都是由本校教师兼职，没有专业的财务知识，但现在对财务工作要求越来越规范，导致我校的财务管理工作开展起来有一定的难度。</w:t>
      </w:r>
    </w:p>
    <w:p>
      <w:pPr>
        <w:widowControl/>
        <w:shd w:val="clear" w:color="auto" w:fill="FFFFFF"/>
        <w:spacing w:line="600" w:lineRule="atLeast"/>
        <w:ind w:firstLine="640"/>
        <w:rPr>
          <w:rFonts w:ascii="宋体" w:hAnsi="宋体"/>
          <w:b/>
          <w:spacing w:val="-2"/>
          <w:sz w:val="28"/>
          <w:szCs w:val="28"/>
        </w:rPr>
      </w:pPr>
      <w:r>
        <w:rPr>
          <w:rFonts w:ascii="宋体" w:hAnsi="宋体"/>
          <w:b/>
          <w:spacing w:val="-2"/>
          <w:sz w:val="28"/>
          <w:szCs w:val="28"/>
        </w:rPr>
        <w:t>七、改进措施和有关建议</w:t>
      </w:r>
    </w:p>
    <w:p>
      <w:pPr>
        <w:pStyle w:val="6"/>
        <w:spacing w:before="0" w:beforeAutospacing="0" w:after="0" w:afterAutospacing="0" w:line="570" w:lineRule="atLeast"/>
        <w:ind w:firstLine="640"/>
        <w:rPr>
          <w:color w:val="333333"/>
          <w:sz w:val="28"/>
          <w:szCs w:val="28"/>
        </w:rPr>
      </w:pPr>
      <w:r>
        <w:rPr>
          <w:rFonts w:hint="eastAsia"/>
          <w:color w:val="333333"/>
          <w:sz w:val="28"/>
          <w:szCs w:val="28"/>
        </w:rPr>
        <w:t>切实做好预算编制工作，做好本单位情况调查，仔细测算部门资金需求，努力使预算资金合理。进一步建立健全财务制度，规范财务管理，加强绩效评价管理评价的可操作性，对相关业务人员进行相关培训，以提高业务知识水平。</w:t>
      </w:r>
    </w:p>
    <w:p>
      <w:pPr>
        <w:pStyle w:val="6"/>
        <w:spacing w:before="0" w:beforeAutospacing="0" w:after="0" w:afterAutospacing="0" w:line="480" w:lineRule="auto"/>
        <w:ind w:firstLine="640" w:firstLineChars="200"/>
        <w:rPr>
          <w:rFonts w:cs="黑体"/>
          <w:color w:val="000000"/>
          <w:sz w:val="32"/>
          <w:szCs w:val="32"/>
        </w:rPr>
        <w:sectPr>
          <w:pgSz w:w="11906" w:h="16838"/>
          <w:pgMar w:top="1440" w:right="1800" w:bottom="1440" w:left="1800" w:header="851" w:footer="992" w:gutter="0"/>
          <w:cols w:space="720" w:num="1"/>
          <w:docGrid w:type="lines" w:linePitch="312" w:charSpace="0"/>
        </w:sect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01753"/>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3E8"/>
    <w:rsid w:val="00651EEC"/>
    <w:rsid w:val="00683D5A"/>
    <w:rsid w:val="00686673"/>
    <w:rsid w:val="00691E8C"/>
    <w:rsid w:val="006A22C4"/>
    <w:rsid w:val="006A348B"/>
    <w:rsid w:val="006A351B"/>
    <w:rsid w:val="006A7D3C"/>
    <w:rsid w:val="006B0422"/>
    <w:rsid w:val="006B0ECC"/>
    <w:rsid w:val="006C1B53"/>
    <w:rsid w:val="006C7C58"/>
    <w:rsid w:val="006D7730"/>
    <w:rsid w:val="006E5284"/>
    <w:rsid w:val="006F3EB5"/>
    <w:rsid w:val="006F6E93"/>
    <w:rsid w:val="00702E34"/>
    <w:rsid w:val="00704395"/>
    <w:rsid w:val="00710FE7"/>
    <w:rsid w:val="00717621"/>
    <w:rsid w:val="00720FF1"/>
    <w:rsid w:val="00727A53"/>
    <w:rsid w:val="0076627B"/>
    <w:rsid w:val="00767FBF"/>
    <w:rsid w:val="00787B42"/>
    <w:rsid w:val="0079063E"/>
    <w:rsid w:val="007C4539"/>
    <w:rsid w:val="007F3657"/>
    <w:rsid w:val="00812ED5"/>
    <w:rsid w:val="008277D9"/>
    <w:rsid w:val="0084478C"/>
    <w:rsid w:val="008529BF"/>
    <w:rsid w:val="0086638C"/>
    <w:rsid w:val="00896B37"/>
    <w:rsid w:val="008A3E8D"/>
    <w:rsid w:val="0090292C"/>
    <w:rsid w:val="009237C4"/>
    <w:rsid w:val="009429F0"/>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748FC"/>
    <w:rsid w:val="00A75540"/>
    <w:rsid w:val="00A92E9F"/>
    <w:rsid w:val="00AF28E9"/>
    <w:rsid w:val="00B10787"/>
    <w:rsid w:val="00B33BEA"/>
    <w:rsid w:val="00B42C25"/>
    <w:rsid w:val="00B43F86"/>
    <w:rsid w:val="00B57C9F"/>
    <w:rsid w:val="00B63572"/>
    <w:rsid w:val="00B845B3"/>
    <w:rsid w:val="00B85D8B"/>
    <w:rsid w:val="00BB4A40"/>
    <w:rsid w:val="00BD6C3E"/>
    <w:rsid w:val="00BE3674"/>
    <w:rsid w:val="00C10681"/>
    <w:rsid w:val="00C3049A"/>
    <w:rsid w:val="00C31B1E"/>
    <w:rsid w:val="00C54C69"/>
    <w:rsid w:val="00C77645"/>
    <w:rsid w:val="00CE04C3"/>
    <w:rsid w:val="00CE0AFF"/>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26872"/>
    <w:rsid w:val="00E37D6C"/>
    <w:rsid w:val="00E443D2"/>
    <w:rsid w:val="00E55B68"/>
    <w:rsid w:val="00E67BE6"/>
    <w:rsid w:val="00E8683C"/>
    <w:rsid w:val="00EA2B72"/>
    <w:rsid w:val="00F74360"/>
    <w:rsid w:val="00FB462F"/>
    <w:rsid w:val="00FE16FA"/>
    <w:rsid w:val="00FE328A"/>
    <w:rsid w:val="00FE6269"/>
    <w:rsid w:val="00FF5CD6"/>
    <w:rsid w:val="0C2818C8"/>
    <w:rsid w:val="0F126B27"/>
    <w:rsid w:val="114C7AD1"/>
    <w:rsid w:val="21A15A30"/>
    <w:rsid w:val="22631951"/>
    <w:rsid w:val="61D73615"/>
    <w:rsid w:val="685E3CDC"/>
    <w:rsid w:val="6DCB7E55"/>
    <w:rsid w:val="70EB7C9C"/>
    <w:rsid w:val="74442868"/>
    <w:rsid w:val="7FCF7FC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0"/>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0"/>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79E56-3173-4953-8F8F-5DA90B59FA8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5894</Words>
  <Characters>6318</Characters>
  <Lines>47</Lines>
  <Paragraphs>13</Paragraphs>
  <TotalTime>0</TotalTime>
  <ScaleCrop>false</ScaleCrop>
  <LinksUpToDate>false</LinksUpToDate>
  <CharactersWithSpaces>6340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2022-07-27T12:55:00Z</cp:lastPrinted>
  <dcterms:modified xsi:type="dcterms:W3CDTF">2023-09-27T14:35:18Z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308743FB8AA54CCB8EC1B8E5FF0B467A</vt:lpwstr>
  </property>
</Properties>
</file>