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ind w:firstLine="2800" w:firstLineChars="500"/>
        <w:rPr>
          <w:sz w:val="56"/>
          <w:szCs w:val="56"/>
        </w:rPr>
      </w:pPr>
    </w:p>
    <w:p>
      <w:pPr>
        <w:pStyle w:val="10"/>
        <w:ind w:firstLine="2800" w:firstLineChars="500"/>
        <w:rPr>
          <w:sz w:val="56"/>
          <w:szCs w:val="56"/>
        </w:rPr>
      </w:pPr>
    </w:p>
    <w:p>
      <w:pPr>
        <w:pStyle w:val="10"/>
        <w:ind w:firstLine="2800" w:firstLineChars="500"/>
        <w:rPr>
          <w:sz w:val="56"/>
          <w:szCs w:val="56"/>
        </w:rPr>
      </w:pPr>
    </w:p>
    <w:p>
      <w:pPr>
        <w:pStyle w:val="10"/>
        <w:ind w:firstLine="2800" w:firstLineChars="500"/>
        <w:rPr>
          <w:sz w:val="56"/>
          <w:szCs w:val="56"/>
        </w:rPr>
      </w:pPr>
    </w:p>
    <w:p>
      <w:pPr>
        <w:pStyle w:val="10"/>
        <w:ind w:firstLine="2800" w:firstLineChars="500"/>
        <w:rPr>
          <w:sz w:val="56"/>
          <w:szCs w:val="56"/>
        </w:rPr>
      </w:pPr>
    </w:p>
    <w:p>
      <w:pPr>
        <w:pStyle w:val="10"/>
        <w:ind w:firstLine="3960" w:firstLineChars="550"/>
        <w:rPr>
          <w:sz w:val="72"/>
          <w:szCs w:val="72"/>
        </w:rPr>
      </w:pPr>
      <w:r>
        <w:rPr>
          <w:rFonts w:hint="eastAsia"/>
          <w:sz w:val="72"/>
          <w:szCs w:val="72"/>
        </w:rPr>
        <w:t>2021年度</w:t>
      </w:r>
    </w:p>
    <w:p>
      <w:pPr>
        <w:pStyle w:val="10"/>
        <w:jc w:val="center"/>
        <w:rPr>
          <w:sz w:val="72"/>
          <w:szCs w:val="72"/>
        </w:rPr>
      </w:pPr>
      <w:r>
        <w:rPr>
          <w:rFonts w:hint="eastAsia"/>
          <w:sz w:val="72"/>
          <w:szCs w:val="72"/>
        </w:rPr>
        <w:t>怀化市鹤城区企业改制服务办公室部门决算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00" w:lineRule="exact"/>
        <w:jc w:val="both"/>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第一部分怀化市鹤城区企业改制服务办公室</w:t>
      </w:r>
      <w:r>
        <w:rPr>
          <w:rFonts w:hint="eastAsia"/>
          <w:b/>
          <w:sz w:val="28"/>
          <w:szCs w:val="28"/>
          <w:lang w:val="en-US" w:eastAsia="zh-CN"/>
        </w:rPr>
        <w:t>单位</w:t>
      </w:r>
      <w:r>
        <w:rPr>
          <w:rFonts w:hint="eastAsia"/>
          <w:b/>
          <w:sz w:val="28"/>
          <w:szCs w:val="28"/>
        </w:rPr>
        <w:t>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p>
    <w:p>
      <w:pPr>
        <w:pStyle w:val="10"/>
        <w:jc w:val="center"/>
        <w:rPr>
          <w:sz w:val="84"/>
          <w:szCs w:val="84"/>
        </w:rPr>
      </w:pPr>
    </w:p>
    <w:p>
      <w:pPr>
        <w:pStyle w:val="10"/>
        <w:jc w:val="center"/>
        <w:rPr>
          <w:sz w:val="72"/>
          <w:szCs w:val="72"/>
        </w:rPr>
      </w:pPr>
      <w:r>
        <w:rPr>
          <w:rFonts w:hint="eastAsia"/>
          <w:sz w:val="72"/>
          <w:szCs w:val="72"/>
        </w:rPr>
        <w:t>怀化市鹤城区企业改制服务办公室</w:t>
      </w:r>
      <w:r>
        <w:rPr>
          <w:rFonts w:hint="eastAsia"/>
          <w:sz w:val="72"/>
          <w:szCs w:val="72"/>
          <w:lang w:val="en-US" w:eastAsia="zh-CN"/>
        </w:rPr>
        <w:t>单位</w:t>
      </w:r>
      <w:r>
        <w:rPr>
          <w:rFonts w:hint="eastAsia"/>
          <w:sz w:val="72"/>
          <w:szCs w:val="72"/>
        </w:rPr>
        <w:t>概况</w:t>
      </w:r>
    </w:p>
    <w:p>
      <w:pPr>
        <w:pStyle w:val="10"/>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0" w:leftChars="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800" w:firstLineChars="250"/>
        <w:jc w:val="left"/>
        <w:rPr>
          <w:rFonts w:hint="eastAsia" w:asciiTheme="minorEastAsia" w:hAnsiTheme="minorEastAsia" w:eastAsiaTheme="minorEastAsia"/>
          <w:sz w:val="32"/>
          <w:szCs w:val="32"/>
          <w:lang w:eastAsia="zh-CN"/>
        </w:rPr>
      </w:pPr>
      <w:r>
        <w:rPr>
          <w:rFonts w:hint="eastAsia" w:asciiTheme="minorEastAsia" w:hAnsiTheme="minorEastAsia"/>
          <w:sz w:val="32"/>
          <w:szCs w:val="32"/>
        </w:rPr>
        <w:t>（一）</w:t>
      </w:r>
      <w:r>
        <w:rPr>
          <w:rFonts w:hint="eastAsia" w:cs="仿宋" w:asciiTheme="minorEastAsia" w:hAnsiTheme="minorEastAsia"/>
          <w:sz w:val="30"/>
          <w:szCs w:val="30"/>
        </w:rPr>
        <w:t>区企业改制服务办公室是全额拨款的参管单位</w:t>
      </w:r>
      <w:r>
        <w:rPr>
          <w:rFonts w:hint="eastAsia" w:cs="仿宋" w:asciiTheme="minorEastAsia" w:hAnsiTheme="minorEastAsia"/>
          <w:sz w:val="30"/>
          <w:szCs w:val="30"/>
          <w:lang w:eastAsia="zh-CN"/>
        </w:rPr>
        <w:t>；</w:t>
      </w:r>
    </w:p>
    <w:p>
      <w:pPr>
        <w:spacing w:line="600" w:lineRule="exact"/>
        <w:ind w:firstLine="800" w:firstLineChars="250"/>
        <w:rPr>
          <w:rFonts w:asciiTheme="minorEastAsia" w:hAnsiTheme="minorEastAsia"/>
          <w:kern w:val="0"/>
          <w:sz w:val="32"/>
          <w:szCs w:val="32"/>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cs="仿宋" w:asciiTheme="minorEastAsia" w:hAnsiTheme="minorEastAsia"/>
          <w:kern w:val="0"/>
          <w:sz w:val="32"/>
          <w:szCs w:val="32"/>
        </w:rPr>
        <w:t>为改制企业服务，为下岗职工谋福</w:t>
      </w:r>
      <w:r>
        <w:rPr>
          <w:rFonts w:hint="eastAsia" w:cs="仿宋" w:asciiTheme="minorEastAsia" w:hAnsiTheme="minorEastAsia"/>
          <w:sz w:val="32"/>
          <w:szCs w:val="32"/>
        </w:rPr>
        <w:t>。制定国有企业改制规划和年度计划。研究、草拟和解释国有企业改制政策；协调处理企业改制中遇到的新问题。负责下属企业改制和已改制企业的遗留问题。负责本单位离退休人员管理、服务工作。会同有关部门处置改制企业资产和债务。承办区委、区政府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600" w:lineRule="exact"/>
        <w:ind w:firstLine="640" w:firstLineChars="200"/>
        <w:rPr>
          <w:rFonts w:asciiTheme="minorEastAsia" w:hAnsiTheme="minorEastAsia"/>
          <w:b/>
          <w:bCs/>
          <w:kern w:val="0"/>
          <w:sz w:val="32"/>
          <w:szCs w:val="32"/>
        </w:rPr>
      </w:pPr>
      <w:r>
        <w:rPr>
          <w:rFonts w:hint="eastAsia" w:asciiTheme="minorEastAsia" w:hAnsiTheme="minorEastAsia"/>
          <w:bCs/>
          <w:kern w:val="0"/>
          <w:sz w:val="32"/>
          <w:szCs w:val="32"/>
        </w:rPr>
        <w:t>（一）内设机构设置。</w:t>
      </w:r>
      <w:r>
        <w:rPr>
          <w:rFonts w:hint="eastAsia" w:cs="Times New Roman" w:asciiTheme="minorEastAsia" w:hAnsiTheme="minorEastAsia"/>
          <w:bCs/>
          <w:kern w:val="0"/>
          <w:sz w:val="32"/>
          <w:szCs w:val="32"/>
        </w:rPr>
        <w:t>区企业改制服务办公室内设机构包括：</w:t>
      </w:r>
      <w:r>
        <w:rPr>
          <w:rFonts w:hint="eastAsia" w:cs="仿宋" w:asciiTheme="minorEastAsia" w:hAnsiTheme="minorEastAsia"/>
          <w:sz w:val="32"/>
          <w:szCs w:val="32"/>
        </w:rPr>
        <w:t>5个职能股室：办公室、企改股、工会老干股、综治股、财务股。</w:t>
      </w:r>
    </w:p>
    <w:p>
      <w:pPr>
        <w:widowControl/>
        <w:spacing w:line="600" w:lineRule="exact"/>
        <w:ind w:firstLine="640" w:firstLineChars="200"/>
        <w:rPr>
          <w:rFonts w:cs="Times New Roman" w:asciiTheme="minorEastAsia" w:hAnsiTheme="minorEastAsia"/>
          <w:bCs/>
          <w:kern w:val="0"/>
          <w:sz w:val="32"/>
          <w:szCs w:val="32"/>
        </w:rPr>
      </w:pPr>
      <w:r>
        <w:rPr>
          <w:rFonts w:hint="eastAsia" w:asciiTheme="minorEastAsia" w:hAnsiTheme="minorEastAsia"/>
          <w:bCs/>
          <w:kern w:val="0"/>
          <w:sz w:val="32"/>
          <w:szCs w:val="32"/>
        </w:rPr>
        <w:t>（二）决算单位构成。</w:t>
      </w:r>
      <w:r>
        <w:rPr>
          <w:rFonts w:hint="eastAsia" w:cs="Times New Roman" w:asciiTheme="minorEastAsia" w:hAnsiTheme="minorEastAsia"/>
          <w:bCs/>
          <w:kern w:val="0"/>
          <w:sz w:val="32"/>
          <w:szCs w:val="32"/>
        </w:rPr>
        <w:t>区企业改制服务办公室2021年部门决算汇总公开单位构成为本单位。</w:t>
      </w:r>
    </w:p>
    <w:p>
      <w:pPr>
        <w:widowControl/>
        <w:spacing w:line="600" w:lineRule="exact"/>
        <w:rPr>
          <w:rFonts w:asciiTheme="minorEastAsia"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计617.68万元。与上年相比，减少9.76万元，减少1.56%，主要是因为费用有所减少。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计617.68万元。与上年相比，减少9.76万元，减少1.56%，主要是因为费用有所减少。</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2021年度收入合计617.68万元，其中：财政拨款收入617.68万元，占100%；上级补助收入0万元，占0%；事业收入0万元，占0%；经营收入0万元，占0%；附属单位上缴收入0万元，占0%；其他收入0万元，占0%。</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2021年度支出合计617.68万元，其中：基本支出579.93万元，占93.89%；项目支出37.75万元，占6.11%；上缴上级支出0万元，占0%；经营支出0万元，占0%；对附属单位补助支出0万元，占0%。</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计617.68万元。与上年相比，减少9.76万元，减少1.56%，主要是因为费用有所减少。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计617.68万元。与上年相比，减少9.76万元，减少1.56%，主要是因为费用有所减少。</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2021年度财政拨款支出617.68万元，占本年支出合计的100%，与上年相比，财政拨款支出减少9.76万元，减少1.56%，主要是因为费用有所减少。</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617.68万元，主要用于以下方面：社会保障和就业支出（类）164.74万元，占26.67%；卫生健康支出（类）13.39万元，占2.17%；商品服务业等支出（类）422.18万元，占68.35%；住房保障支出（类）17.37万元，占2.81%。</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2021年度财政拨款支出年初预算数为605.45万元，支出决算数为617.68万元，完成年初预算的102.02%，其中：</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1、社会保障和就业支出（类）行政事业单位养老支出（款）事业单位离退休（项）。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年初预算为48.43万元，支出决算为49.4万元，完成年初预算的102%，决算数大于年初预算数的主要原因是：离休人员工资所有增加。</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2、社会保障和就业支出（类）行政事业单位养老支出（款）机关事业单位基本养老保险缴费支出（项）。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年初预算为37.68万元，支出决算为26.43万元，完成年初预算的70.14%，决算数小于年初预算数的主要原因是：本年度有在职转退休人员。</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3、社会保障和就业支出（类）行政事业单位养老支出（款）机关事业单位职业年金缴费支出（项）。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w:t>
      </w:r>
      <w:r>
        <w:rPr>
          <w:rFonts w:hint="eastAsia" w:asciiTheme="minorEastAsia" w:hAnsiTheme="minorEastAsia" w:eastAsiaTheme="minorEastAsia"/>
          <w:color w:val="000000"/>
          <w:sz w:val="32"/>
          <w:szCs w:val="32"/>
        </w:rPr>
        <w:t>1.16万元，因预算金额0万元，无法计算百分比。决算数大于年初预算数的主要原因</w:t>
      </w:r>
      <w:r>
        <w:rPr>
          <w:rFonts w:hint="eastAsia" w:asciiTheme="minorEastAsia" w:hAnsiTheme="minorEastAsia" w:eastAsiaTheme="minorEastAsia"/>
          <w:sz w:val="32"/>
          <w:szCs w:val="32"/>
        </w:rPr>
        <w:t>是：自收自支人员职业年金单位部分，年初没有预算，以实际发生为决算数。</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4、社会保障和就业支出（类）企业改革补助（款）企业关闭破产补助（项）。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年初预算为0万元，支出决算为62.95万</w:t>
      </w:r>
      <w:r>
        <w:rPr>
          <w:rFonts w:hint="eastAsia" w:asciiTheme="minorEastAsia" w:hAnsiTheme="minorEastAsia" w:eastAsiaTheme="minorEastAsia"/>
          <w:color w:val="000000"/>
          <w:sz w:val="32"/>
          <w:szCs w:val="32"/>
        </w:rPr>
        <w:t>元，因预算金额0万元，无法计算百分比。决算数大于年初预算数的主要</w:t>
      </w:r>
      <w:r>
        <w:rPr>
          <w:rFonts w:hint="eastAsia" w:asciiTheme="minorEastAsia" w:hAnsiTheme="minorEastAsia" w:eastAsiaTheme="minorEastAsia"/>
          <w:sz w:val="32"/>
          <w:szCs w:val="32"/>
        </w:rPr>
        <w:t>原因是：下属企业留守人员工资，为追加的费用，年初没有预算，以实际发生为决算数。</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5、社会保障和就业支出（类）就业补助（款）其他就业补助支出（项）。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年初预算为0万元，支出决算为5万元</w:t>
      </w:r>
      <w:r>
        <w:rPr>
          <w:rFonts w:hint="eastAsia" w:asciiTheme="minorEastAsia" w:hAnsiTheme="minorEastAsia" w:eastAsiaTheme="minorEastAsia"/>
          <w:color w:val="000000"/>
          <w:sz w:val="32"/>
          <w:szCs w:val="32"/>
        </w:rPr>
        <w:t>，因预算金额0万元，无法计算百分比。决算数大于预算的主要原因是：下属</w:t>
      </w:r>
      <w:r>
        <w:rPr>
          <w:rFonts w:hint="eastAsia" w:asciiTheme="minorEastAsia" w:hAnsiTheme="minorEastAsia" w:eastAsiaTheme="minorEastAsia"/>
          <w:sz w:val="32"/>
          <w:szCs w:val="32"/>
        </w:rPr>
        <w:t>企业的解困金，是追加的费用，年初没有预算，以实际发生为决算数。</w:t>
      </w:r>
    </w:p>
    <w:p>
      <w:pPr>
        <w:pStyle w:val="10"/>
        <w:ind w:firstLine="640" w:firstLineChars="200"/>
        <w:rPr>
          <w:rFonts w:hint="eastAsia" w:eastAsia="黑体" w:asciiTheme="minorEastAsia" w:hAnsiTheme="minorEastAsia"/>
          <w:sz w:val="32"/>
          <w:szCs w:val="32"/>
          <w:lang w:eastAsia="zh-CN"/>
        </w:rPr>
      </w:pPr>
      <w:r>
        <w:rPr>
          <w:rFonts w:hint="eastAsia" w:asciiTheme="minorEastAsia" w:hAnsiTheme="minorEastAsia" w:eastAsiaTheme="minorEastAsia"/>
          <w:sz w:val="32"/>
          <w:szCs w:val="32"/>
        </w:rPr>
        <w:t>6、社会保障和就业支出（类）抚恤（款）死亡抚恤（项）</w:t>
      </w:r>
      <w:r>
        <w:rPr>
          <w:rFonts w:hint="eastAsia" w:asciiTheme="minorEastAsia" w:hAnsiTheme="minorEastAsia" w:eastAsiaTheme="minorEastAsia"/>
          <w:sz w:val="32"/>
          <w:szCs w:val="32"/>
          <w:lang w:eastAsia="zh-CN"/>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年初预算为0万元，支出决算为19.8万元</w:t>
      </w:r>
      <w:r>
        <w:rPr>
          <w:rFonts w:hint="eastAsia" w:asciiTheme="minorEastAsia" w:hAnsiTheme="minorEastAsia" w:eastAsiaTheme="minorEastAsia"/>
          <w:color w:val="000000"/>
          <w:sz w:val="32"/>
          <w:szCs w:val="32"/>
        </w:rPr>
        <w:t>，因预算金额0万元，无法计算百分比。决算数大于预算数的主要原因是：</w:t>
      </w:r>
      <w:r>
        <w:rPr>
          <w:rFonts w:hint="eastAsia" w:asciiTheme="minorEastAsia" w:hAnsiTheme="minorEastAsia" w:eastAsiaTheme="minorEastAsia"/>
          <w:sz w:val="32"/>
          <w:szCs w:val="32"/>
        </w:rPr>
        <w:t>年初无法预算本单位退休人员的死亡人数。</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7、卫生健康支出（类）行政事业单位医疗（款）行政单位医疗（项）。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年初预算为17.84万元，支出决算为12.44万元，完成年初预算的69.73%，决算数小于年初预算的主要原因是：本年度有在职转退休人员。</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8、卫生健康支出（类）行政事业单位医疗（款）事业单位医疗（项）。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年初预算为0.95万元，支出决算为0.95万元，完成预算的100%。</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9、商业服务业等支出（类）商业流通事务（款）行政运行（项）。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年初预算为434.86万元，支出决算为384.43万元，完成年初预算的88.4%，决算数小于年初预算的主要原因是：本年度费用有所减少。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10、商业服务业等支出（类）商业流通事务（款）一般行政管理事务（项）。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年初预算为48.32万元，支出决算为37.75万元，完成年初预算的78.13</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%，决算数小于年初预算的主要原因是：本年度费用有所减少。</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11、住房保障支出（类）住房改革支出（款）住房公积金（项）。</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年初预算为17.37万元，支出决算为17.37万元，完成年初预算的100%。</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579.93万元，其中：人员经费564.75万元，占基本支出的97.38%,主要包括基本工资、津贴补贴、奖金、伙食补助费、机关事业单位基本养老保险费、职业年金费、职工基本医疗保险缴费、住房公积金、其他工资福利支出、离休费、抚恤金、生活补助、奖励金、其他对个人和家庭的补助；公用经费15.18万元，占基本支出的2.62%，主要包括办公费、印刷费、水费、电费、邮电费、物业管理费、差旅费、工会经费、福利费、其他交通费、其他商品和服务支出。</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2021年度“三公”经费财政拨款支出预算为0.75万元，支出决算为0万元，完成预算的0%，其中：</w:t>
      </w:r>
    </w:p>
    <w:p>
      <w:pPr>
        <w:pStyle w:val="10"/>
        <w:ind w:firstLine="800" w:firstLineChars="250"/>
        <w:rPr>
          <w:rFonts w:hint="eastAsia" w:asciiTheme="minorEastAsia" w:hAnsiTheme="minorEastAsia" w:eastAsiaTheme="minorEastAsia"/>
          <w:color w:val="000000"/>
          <w:sz w:val="32"/>
          <w:szCs w:val="32"/>
        </w:rPr>
      </w:pPr>
      <w:r>
        <w:rPr>
          <w:rFonts w:hint="eastAsia" w:asciiTheme="minorEastAsia" w:hAnsiTheme="minorEastAsia" w:eastAsiaTheme="minorEastAsia"/>
          <w:sz w:val="32"/>
          <w:szCs w:val="32"/>
        </w:rPr>
        <w:t>因公出国（境）费支出预算为0万元，支出决算为0</w:t>
      </w:r>
      <w:r>
        <w:rPr>
          <w:rFonts w:hint="eastAsia" w:asciiTheme="minorEastAsia" w:hAnsiTheme="minorEastAsia" w:eastAsiaTheme="minorEastAsia"/>
          <w:color w:val="000000"/>
          <w:sz w:val="32"/>
          <w:szCs w:val="32"/>
        </w:rPr>
        <w:t>万元，因预算金额0万元，无法计算百分比。与上年</w:t>
      </w:r>
      <w:r>
        <w:rPr>
          <w:rFonts w:hint="eastAsia" w:asciiTheme="minorEastAsia" w:hAnsiTheme="minorEastAsia" w:eastAsiaTheme="minorEastAsia"/>
          <w:color w:val="000000"/>
          <w:sz w:val="32"/>
          <w:szCs w:val="32"/>
          <w:lang w:val="en-US" w:eastAsia="zh-CN"/>
        </w:rPr>
        <w:t>持平</w:t>
      </w:r>
      <w:r>
        <w:rPr>
          <w:rFonts w:hint="eastAsia" w:asciiTheme="minorEastAsia" w:hAnsiTheme="minorEastAsia" w:eastAsiaTheme="minorEastAsia"/>
          <w:color w:val="000000"/>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公务接待费支出预算为0万元，支出决算为0万元，</w:t>
      </w:r>
      <w:r>
        <w:rPr>
          <w:rFonts w:hint="eastAsia" w:asciiTheme="minorEastAsia" w:hAnsiTheme="minorEastAsia" w:eastAsiaTheme="minorEastAsia"/>
          <w:color w:val="000000"/>
          <w:sz w:val="32"/>
          <w:szCs w:val="32"/>
        </w:rPr>
        <w:t>因预算金额0万元，无法计算百分比。与上年</w:t>
      </w:r>
      <w:r>
        <w:rPr>
          <w:rFonts w:hint="eastAsia" w:asciiTheme="minorEastAsia" w:hAnsiTheme="minorEastAsia" w:eastAsiaTheme="minorEastAsia"/>
          <w:color w:val="000000"/>
          <w:sz w:val="32"/>
          <w:szCs w:val="32"/>
          <w:lang w:val="en-US" w:eastAsia="zh-CN"/>
        </w:rPr>
        <w:t>持平</w:t>
      </w:r>
      <w:r>
        <w:rPr>
          <w:rFonts w:hint="eastAsia" w:asciiTheme="minorEastAsia" w:hAnsiTheme="minorEastAsia" w:eastAsiaTheme="minorEastAsia"/>
          <w:color w:val="000000"/>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w:t>
      </w:r>
      <w:r>
        <w:rPr>
          <w:rFonts w:hint="eastAsia" w:asciiTheme="minorEastAsia" w:hAnsiTheme="minorEastAsia" w:eastAsiaTheme="minorEastAsia"/>
          <w:color w:val="000000"/>
          <w:sz w:val="32"/>
          <w:szCs w:val="32"/>
        </w:rPr>
        <w:t>因预算金额0万元，无法计算百分比。与上年</w:t>
      </w:r>
      <w:r>
        <w:rPr>
          <w:rFonts w:hint="eastAsia" w:asciiTheme="minorEastAsia" w:hAnsiTheme="minorEastAsia" w:eastAsiaTheme="minorEastAsia"/>
          <w:color w:val="000000"/>
          <w:sz w:val="32"/>
          <w:szCs w:val="32"/>
          <w:lang w:val="en-US" w:eastAsia="zh-CN"/>
        </w:rPr>
        <w:t>持平</w:t>
      </w:r>
      <w:r>
        <w:rPr>
          <w:rFonts w:hint="eastAsia" w:asciiTheme="minorEastAsia" w:hAnsiTheme="minorEastAsia" w:eastAsiaTheme="minorEastAsia"/>
          <w:color w:val="000000"/>
          <w:sz w:val="32"/>
          <w:szCs w:val="32"/>
        </w:rPr>
        <w:t>。</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公务用车运行维护费支出预算为0万元，支出决算为0万元，因预算金额0万元，无法计算百分比。与上年</w:t>
      </w:r>
      <w:r>
        <w:rPr>
          <w:rFonts w:hint="eastAsia" w:asciiTheme="minorEastAsia" w:hAnsiTheme="minorEastAsia" w:eastAsiaTheme="minorEastAsia"/>
          <w:sz w:val="32"/>
          <w:szCs w:val="32"/>
          <w:lang w:val="en-US" w:eastAsia="zh-CN"/>
        </w:rPr>
        <w:t>持平</w:t>
      </w:r>
      <w:r>
        <w:rPr>
          <w:rFonts w:hint="eastAsia" w:asciiTheme="minorEastAsia" w:hAnsiTheme="minorEastAsia" w:eastAsiaTheme="minorEastAsia"/>
          <w:color w:val="000000"/>
          <w:sz w:val="32"/>
          <w:szCs w:val="32"/>
        </w:rPr>
        <w:t>。</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0"/>
        <w:ind w:firstLine="800" w:firstLineChars="250"/>
        <w:rPr>
          <w:rFonts w:hint="eastAsia" w:asciiTheme="minorEastAsia" w:hAnsiTheme="minorEastAsia" w:eastAsiaTheme="minorEastAsia"/>
          <w:color w:val="000000"/>
          <w:sz w:val="32"/>
          <w:szCs w:val="32"/>
        </w:rPr>
      </w:pPr>
      <w:r>
        <w:rPr>
          <w:rFonts w:hint="eastAsia" w:asciiTheme="minorEastAsia" w:hAnsiTheme="minorEastAsia" w:eastAsiaTheme="minorEastAsia"/>
          <w:color w:val="000000"/>
          <w:sz w:val="32"/>
          <w:szCs w:val="32"/>
        </w:rPr>
        <w:t>1、因公出国（境）费支出决算0万元，全年安排因公出国（境）团组0个，累计0人次。</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w:t>
      </w:r>
    </w:p>
    <w:p>
      <w:pPr>
        <w:ind w:firstLine="800" w:firstLineChars="250"/>
        <w:rPr>
          <w:rFonts w:cs="黑体" w:asciiTheme="minorEastAsia" w:hAnsiTheme="minorEastAsia"/>
          <w:color w:val="000000"/>
          <w:kern w:val="0"/>
          <w:sz w:val="32"/>
          <w:szCs w:val="32"/>
        </w:rPr>
      </w:pPr>
      <w:r>
        <w:rPr>
          <w:rFonts w:hint="eastAsia" w:asciiTheme="minorEastAsia" w:hAnsiTheme="minorEastAsia"/>
          <w:sz w:val="32"/>
          <w:szCs w:val="32"/>
        </w:rPr>
        <w:t>3、公务用车购置费及运行维护费支出决算为0万元，其中：公务用车购置费0万元，更新公务用车0辆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公务用车运行维护费0万元，截止2021年12月31日，我单位开支财政拨款的公务用车保有量为0辆。</w:t>
      </w: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2021年度政府性基金预算财政拨款收入0万元；年初结转和结余0万元；支出0万元，其中基本支出0万元，项目支出0万元；年末结转和结余0万元。具体情况如下：</w:t>
      </w:r>
    </w:p>
    <w:p>
      <w:pPr>
        <w:pStyle w:val="10"/>
        <w:rPr>
          <w:rFonts w:hAnsi="黑体"/>
          <w:b/>
          <w:sz w:val="32"/>
          <w:szCs w:val="32"/>
        </w:rPr>
      </w:pPr>
      <w:r>
        <w:rPr>
          <w:rFonts w:hint="eastAsia" w:hAnsi="黑体"/>
          <w:b/>
          <w:sz w:val="32"/>
          <w:szCs w:val="32"/>
        </w:rPr>
        <w:t>九、国有资本经营预算财政拨款支出情况</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2021年度国有资本经营预算财政拨款收入0万元；年初结转和结余0万元；支出0万元，其中基本支出0万元，项目支出0万元；年末结转和结余0万元。</w:t>
      </w:r>
    </w:p>
    <w:p>
      <w:pPr>
        <w:pStyle w:val="10"/>
        <w:rPr>
          <w:rFonts w:hAnsi="黑体"/>
          <w:b/>
          <w:sz w:val="32"/>
          <w:szCs w:val="32"/>
        </w:rPr>
      </w:pPr>
      <w:r>
        <w:rPr>
          <w:rFonts w:hint="eastAsia" w:hAnsi="黑体"/>
          <w:b/>
          <w:sz w:val="32"/>
          <w:szCs w:val="32"/>
        </w:rPr>
        <w:t>十、机关运行经费支出说明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本部门2021年度机关运行经费支出15.17万元</w:t>
      </w:r>
      <w:r>
        <w:rPr>
          <w:rFonts w:hint="eastAsia" w:asciiTheme="minorEastAsia" w:hAnsiTheme="minorEastAsia" w:eastAsiaTheme="minorEastAsia"/>
          <w:color w:val="auto"/>
          <w:sz w:val="32"/>
          <w:szCs w:val="32"/>
        </w:rPr>
        <w:t>，</w:t>
      </w:r>
      <w:r>
        <w:rPr>
          <w:rFonts w:hint="eastAsia" w:asciiTheme="minorEastAsia" w:hAnsiTheme="minorEastAsia" w:eastAsiaTheme="minorEastAsia"/>
          <w:sz w:val="32"/>
          <w:szCs w:val="32"/>
        </w:rPr>
        <w:t>比上年决算数增加3.8万元，增长25.05%。主要原因是：本年度机关运行经费有所增加。</w:t>
      </w:r>
    </w:p>
    <w:p>
      <w:pPr>
        <w:pStyle w:val="10"/>
        <w:rPr>
          <w:rFonts w:hAnsi="黑体"/>
          <w:b/>
          <w:sz w:val="32"/>
          <w:szCs w:val="32"/>
        </w:rPr>
      </w:pPr>
      <w:r>
        <w:rPr>
          <w:rFonts w:hint="eastAsia" w:hAnsi="黑体"/>
          <w:b/>
          <w:sz w:val="32"/>
          <w:szCs w:val="32"/>
        </w:rPr>
        <w:t>十一、一般性支出情况说明</w:t>
      </w:r>
    </w:p>
    <w:p>
      <w:pPr>
        <w:pStyle w:val="10"/>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2021年本部门开支会议费0万元，用于召开0会议，人数0人，内容为无；开支培训费0万元，用于开展0培训，人数0人，内容为无；举办0场节庆、晚会、论坛、赛事等活动，开支0万元。</w:t>
      </w:r>
    </w:p>
    <w:p>
      <w:pPr>
        <w:pStyle w:val="10"/>
        <w:rPr>
          <w:rFonts w:hAnsi="黑体"/>
          <w:b/>
          <w:sz w:val="32"/>
          <w:szCs w:val="32"/>
        </w:rPr>
      </w:pPr>
      <w:bookmarkStart w:id="0" w:name="_GoBack"/>
      <w:bookmarkEnd w:id="0"/>
      <w:r>
        <w:rPr>
          <w:rFonts w:hint="eastAsia" w:hAnsi="黑体"/>
          <w:b/>
          <w:sz w:val="32"/>
          <w:szCs w:val="32"/>
        </w:rPr>
        <w:t>十二、政府采购支出说明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rPr>
          <w:rFonts w:hAnsi="黑体"/>
          <w:b/>
          <w:sz w:val="32"/>
          <w:szCs w:val="32"/>
        </w:rPr>
      </w:pPr>
      <w:r>
        <w:rPr>
          <w:rFonts w:hint="eastAsia" w:hAnsi="黑体"/>
          <w:b/>
          <w:sz w:val="32"/>
          <w:szCs w:val="32"/>
        </w:rPr>
        <w:t>十三、国有资产占用情况说明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w:t>
      </w:r>
    </w:p>
    <w:p>
      <w:pPr>
        <w:pStyle w:val="10"/>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根据预算绩效管理要求，我部门组织对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年度一般公共预算项目支出全面开展绩效自评，其中，一级项目0个，二级项目0个，共涉及资金0万元，占一般公共预算项目支出总额的0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2021</w:t>
      </w:r>
      <w:r>
        <w:rPr>
          <w:rFonts w:hint="eastAsia" w:cs="黑体" w:asciiTheme="minorEastAsia" w:hAnsiTheme="minorEastAsia"/>
          <w:color w:val="000000"/>
          <w:kern w:val="0"/>
          <w:sz w:val="32"/>
          <w:szCs w:val="32"/>
        </w:rPr>
        <w:t>年度0个政府性基金预算项目支出开展绩效自评，共涉及资金0万元，占政府性基金预算项目支出总额的0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。组织对</w:t>
      </w:r>
      <w:r>
        <w:rPr>
          <w:rFonts w:cs="黑体" w:asciiTheme="minorEastAsia" w:hAnsiTheme="minorEastAsia"/>
          <w:color w:val="000000"/>
          <w:kern w:val="0"/>
          <w:sz w:val="32"/>
          <w:szCs w:val="32"/>
        </w:rPr>
        <w:t xml:space="preserve">2021 </w:t>
      </w:r>
      <w:r>
        <w:rPr>
          <w:rFonts w:hint="eastAsia" w:cs="黑体" w:asciiTheme="minorEastAsia" w:hAnsiTheme="minorEastAsia"/>
          <w:color w:val="000000"/>
          <w:kern w:val="0"/>
          <w:sz w:val="32"/>
          <w:szCs w:val="32"/>
        </w:rPr>
        <w:t>年度0个国有资本经营预算项目支出开展绩效自评，共涉及资金0万元，占国有资本经营预算项目支出总额的0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组织对“遗留问题维稳经费”“老干专项”两个项目开展了部门评价，涉及一般公共预算支出12.5万元，政府性基金预算支出0万元，国有资本经营预算支出0万元。从评价情况来看，做到专款专用，合理资金使用。</w:t>
      </w:r>
    </w:p>
    <w:p>
      <w:pPr>
        <w:widowControl/>
        <w:spacing w:line="600" w:lineRule="exact"/>
        <w:ind w:firstLine="640" w:firstLineChars="200"/>
        <w:rPr>
          <w:rFonts w:ascii="宋体" w:hAnsi="宋体" w:eastAsia="宋体" w:cs="Times New Roman"/>
          <w:sz w:val="32"/>
          <w:szCs w:val="32"/>
        </w:rPr>
      </w:pPr>
      <w:r>
        <w:rPr>
          <w:rFonts w:hint="eastAsia" w:cs="黑体" w:asciiTheme="minorEastAsia" w:hAnsiTheme="minorEastAsia"/>
          <w:color w:val="000000"/>
          <w:kern w:val="0"/>
          <w:sz w:val="32"/>
          <w:szCs w:val="32"/>
        </w:rPr>
        <w:t>组织对我单位开展整体支出绩效评价，涉及一般公共预算支出617.68万元，政府性基金预算支出0万元。从评价情况来看，</w:t>
      </w:r>
      <w:r>
        <w:rPr>
          <w:rFonts w:hint="eastAsia" w:ascii="宋体" w:hAnsi="宋体" w:eastAsia="宋体" w:cs="Times New Roman"/>
          <w:sz w:val="32"/>
          <w:szCs w:val="32"/>
        </w:rPr>
        <w:t>我单位本着</w:t>
      </w:r>
      <w:r>
        <w:rPr>
          <w:rFonts w:hint="eastAsia" w:ascii="宋体" w:hAnsi="宋体" w:eastAsia="宋体" w:cs="宋体"/>
          <w:kern w:val="0"/>
          <w:sz w:val="32"/>
          <w:szCs w:val="32"/>
        </w:rPr>
        <w:t>为改制企业服务、为下岗职工谋福的宗指，解决本单位及下属企业的遗留问题，以及为本单位的老干服务。合理使用资金，做到专款专用，厉行节约，让群众满意、为上级部门和政府分忧。</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（2）部门决算中项目绩效自评结果（如有）。</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遗留问题维稳经费项目绩效自评综述：根据年初设定的绩效目标，项目绩效自评得分为95分。项目全年预算数为10万元，执行数为10万元，完成预算的100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解决本单位遗留问题；二是解决下属企业遗留问题。发现的主要问题及原因：一是下属企业改制不能按时完成；二是资金不到位，欠缴以前年度社保、医保等。下一步改进措施：一是加快改制进度；二是解决资金。</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老干经费项目绩效自评综述根据年初设定的绩效目标，项目绩效自评得分为95分。项目全年预算数为3万元，执行数为3万元，完成预算的100</w:t>
      </w:r>
      <w:r>
        <w:rPr>
          <w:rFonts w:cs="黑体" w:asciiTheme="minorEastAsia" w:hAnsiTheme="minorEastAsia"/>
          <w:color w:val="000000"/>
          <w:kern w:val="0"/>
          <w:sz w:val="32"/>
          <w:szCs w:val="32"/>
        </w:rPr>
        <w:t>%</w:t>
      </w:r>
      <w:r>
        <w:rPr>
          <w:rFonts w:hint="eastAsia" w:cs="黑体" w:asciiTheme="minorEastAsia" w:hAnsiTheme="minorEastAsia"/>
          <w:color w:val="000000"/>
          <w:kern w:val="0"/>
          <w:sz w:val="32"/>
          <w:szCs w:val="32"/>
        </w:rPr>
        <w:t>。项目绩效目标完成情况：一是解决本单位老干待遇；二是解决老干的福利。发现的主要问题及原因：一是我单位离退休老干较多，有离退休人员99人；二是老干专项资金不够。下一步改进措施：一是增加老干专项资金；二是解决老干的福利。</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本单位项目绩效评价报告已向社会公开；有两个项目已单独在绩效评价中公开：</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一是遗留问题维稳项目，做到解决本单位和下属企业的遗留问题，达到满意率95%以上，数量指标、质量指标、时效指标、成本指标、效益指标达到100%，生态平衡良好，服务满意度达到95%以上。</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二是老干专项资金项目，服务和解决好本单位老干的福利待遇，数量指标、质量指标、时效指标、成本指标、效益指标达到100%，生态平衡良好，服务满意度达到98%以上。</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keepNext w:val="0"/>
        <w:keepLines w:val="0"/>
        <w:pageBreakBefore w:val="0"/>
        <w:widowControl/>
        <w:kinsoku/>
        <w:wordWrap/>
        <w:overflowPunct/>
        <w:topLinePunct w:val="0"/>
        <w:autoSpaceDE/>
        <w:autoSpaceDN/>
        <w:bidi w:val="0"/>
        <w:adjustRightInd/>
        <w:snapToGrid/>
        <w:ind w:firstLine="640" w:firstLineChars="200"/>
        <w:jc w:val="left"/>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kinsoku/>
        <w:wordWrap/>
        <w:overflowPunct/>
        <w:topLinePunct w:val="0"/>
        <w:autoSpaceDE/>
        <w:autoSpaceDN/>
        <w:bidi w:val="0"/>
        <w:adjustRightInd/>
        <w:snapToGrid/>
        <w:ind w:firstLine="640" w:firstLineChars="200"/>
        <w:textAlignment w:val="auto"/>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kinsoku/>
        <w:wordWrap/>
        <w:overflowPunct/>
        <w:topLinePunct w:val="0"/>
        <w:autoSpaceDE/>
        <w:autoSpaceDN/>
        <w:bidi w:val="0"/>
        <w:adjustRightInd/>
        <w:snapToGrid/>
        <w:ind w:firstLine="640" w:firstLineChars="200"/>
        <w:textAlignment w:val="auto"/>
        <w:rPr>
          <w:rFonts w:hint="eastAsia" w:ascii="宋体" w:hAnsi="宋体" w:cs="黑体" w:eastAsiaTheme="minorEastAsia"/>
          <w:color w:val="000000"/>
          <w:kern w:val="0"/>
          <w:sz w:val="32"/>
          <w:szCs w:val="32"/>
          <w:lang w:eastAsia="zh-CN"/>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宋体" w:hAnsi="宋体" w:cs="黑体"/>
          <w:color w:val="000000"/>
          <w:kern w:val="0"/>
          <w:sz w:val="32"/>
          <w:szCs w:val="32"/>
          <w:lang w:eastAsia="zh-CN"/>
        </w:rPr>
        <w:t>。</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1、鹤城区企业改制服务办公室是全额拨款的公务员参管单位。</w:t>
      </w:r>
      <w:r>
        <w:rPr>
          <w:rFonts w:hint="eastAsia" w:cs="Times New Roman" w:asciiTheme="minorEastAsia" w:hAnsiTheme="minorEastAsia"/>
          <w:sz w:val="32"/>
          <w:szCs w:val="32"/>
        </w:rPr>
        <w:t>内设5个职能股室：办公室、财务股、工会老干股、人事纪检股、企改股。</w:t>
      </w:r>
      <w:r>
        <w:rPr>
          <w:rFonts w:hint="eastAsia" w:cs="宋体" w:asciiTheme="minorEastAsia" w:hAnsiTheme="minorEastAsia"/>
          <w:sz w:val="32"/>
          <w:szCs w:val="32"/>
        </w:rPr>
        <w:t xml:space="preserve"> </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2、主要工作职责：</w:t>
      </w:r>
      <w:r>
        <w:rPr>
          <w:rFonts w:hint="eastAsia" w:cs="宋体" w:asciiTheme="minorEastAsia" w:hAnsiTheme="minorEastAsia"/>
          <w:kern w:val="0"/>
          <w:sz w:val="32"/>
          <w:szCs w:val="32"/>
        </w:rPr>
        <w:t>为改制企业服务，为下岗职工谋福</w:t>
      </w:r>
      <w:r>
        <w:rPr>
          <w:rFonts w:hint="eastAsia" w:cs="宋体" w:asciiTheme="minorEastAsia" w:hAnsiTheme="minorEastAsia"/>
          <w:sz w:val="32"/>
          <w:szCs w:val="32"/>
        </w:rPr>
        <w:t>。制定国有企业改制规划和年度计划。研究、草拟和解释国有企业改制政策；协调处理企业改制中遇到的新问题。负责下属企业改制和已改制企业的遗留问题。负责本单位离退休人员管理、服务工作。会同有关部门处置改制企业资产和债务。承办区委、区政府交办的其他事项。</w:t>
      </w:r>
    </w:p>
    <w:p>
      <w:pPr>
        <w:ind w:firstLine="640" w:firstLineChars="200"/>
        <w:rPr>
          <w:rFonts w:cs="宋体" w:asciiTheme="minorEastAsia" w:hAnsiTheme="minorEastAsia"/>
          <w:sz w:val="32"/>
          <w:szCs w:val="32"/>
        </w:rPr>
      </w:pPr>
      <w:r>
        <w:rPr>
          <w:rFonts w:hint="eastAsia" w:cs="宋体" w:asciiTheme="minorEastAsia" w:hAnsiTheme="minorEastAsia"/>
          <w:sz w:val="32"/>
          <w:szCs w:val="32"/>
        </w:rPr>
        <w:t>3、编制人员情况:现实有在职人员22人（其中全额拨款20人，自收自支2人），离退休人员99人(其中离休4人，财政拨款退休90人，自收自支退休5人），遗属人员5人。</w:t>
      </w: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1、收入说明：2021年总收入为617.68万元。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2、支出说明：2021年总支出为617.68万元，其中：人员经费支出564.75万元，日常公用经费15.18万元，项目支出为37.75万元。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2021年度“三公”经费为0万元，根据各项规定，我单位按要求厉行节约，比年初预算比，没有产生“三公”经费，由于本单位公车于2016年年初全部上交公车办，所以本年度内没有发生公车维护费。</w:t>
      </w:r>
    </w:p>
    <w:p>
      <w:pPr>
        <w:widowControl/>
        <w:spacing w:line="600" w:lineRule="exact"/>
        <w:ind w:firstLine="640" w:firstLineChars="200"/>
        <w:jc w:val="left"/>
        <w:rPr>
          <w:rFonts w:asciiTheme="minorEastAsia" w:hAnsiTheme="minorEastAsia"/>
          <w:b/>
          <w:sz w:val="32"/>
          <w:szCs w:val="32"/>
        </w:rPr>
      </w:pPr>
      <w:r>
        <w:rPr>
          <w:rFonts w:hint="eastAsia" w:asciiTheme="minorEastAsia" w:hAnsiTheme="minorEastAsia"/>
          <w:b/>
          <w:sz w:val="32"/>
          <w:szCs w:val="32"/>
        </w:rPr>
        <w:t>三、</w:t>
      </w:r>
      <w:r>
        <w:rPr>
          <w:rFonts w:asciiTheme="minorEastAsia" w:hAnsiTheme="minorEastAsia"/>
          <w:b/>
          <w:sz w:val="32"/>
          <w:szCs w:val="32"/>
        </w:rPr>
        <w:t>政府性基金预算支出情况</w:t>
      </w:r>
    </w:p>
    <w:p>
      <w:pPr>
        <w:pStyle w:val="11"/>
        <w:widowControl/>
        <w:spacing w:line="600" w:lineRule="exact"/>
        <w:ind w:left="640" w:firstLine="0" w:firstLineChars="0"/>
        <w:jc w:val="left"/>
        <w:rPr>
          <w:rFonts w:asciiTheme="minorEastAsia" w:hAnsiTheme="minorEastAsia"/>
          <w:sz w:val="32"/>
          <w:szCs w:val="32"/>
        </w:rPr>
      </w:pPr>
      <w:r>
        <w:rPr>
          <w:rFonts w:hint="eastAsia" w:asciiTheme="minorEastAsia" w:hAnsiTheme="minorEastAsia"/>
          <w:sz w:val="32"/>
          <w:szCs w:val="32"/>
        </w:rPr>
        <w:t>本单位无政府性基金预算支出</w:t>
      </w:r>
    </w:p>
    <w:p>
      <w:pPr>
        <w:widowControl/>
        <w:spacing w:line="600" w:lineRule="exact"/>
        <w:ind w:firstLine="640" w:firstLineChars="200"/>
        <w:jc w:val="left"/>
        <w:rPr>
          <w:rFonts w:asciiTheme="minorEastAsia" w:hAnsiTheme="minorEastAsia"/>
          <w:b/>
          <w:sz w:val="32"/>
          <w:szCs w:val="32"/>
        </w:rPr>
      </w:pPr>
      <w:r>
        <w:rPr>
          <w:rFonts w:hint="eastAsia" w:asciiTheme="minorEastAsia" w:hAnsiTheme="minorEastAsia"/>
          <w:b/>
          <w:sz w:val="32"/>
          <w:szCs w:val="32"/>
        </w:rPr>
        <w:t>四、</w:t>
      </w:r>
      <w:r>
        <w:rPr>
          <w:rFonts w:asciiTheme="minorEastAsia" w:hAnsiTheme="minorEastAsia"/>
          <w:b/>
          <w:sz w:val="32"/>
          <w:szCs w:val="32"/>
        </w:rPr>
        <w:t>国有资本经营预算支出情况</w:t>
      </w:r>
    </w:p>
    <w:p>
      <w:pPr>
        <w:pStyle w:val="11"/>
        <w:widowControl/>
        <w:spacing w:line="600" w:lineRule="exact"/>
        <w:ind w:left="640" w:firstLine="0" w:firstLineChars="0"/>
        <w:jc w:val="left"/>
        <w:rPr>
          <w:rFonts w:asciiTheme="minorEastAsia" w:hAnsiTheme="minorEastAsia"/>
          <w:sz w:val="32"/>
          <w:szCs w:val="32"/>
        </w:rPr>
      </w:pPr>
      <w:r>
        <w:rPr>
          <w:rFonts w:hint="eastAsia" w:asciiTheme="minorEastAsia" w:hAnsiTheme="minorEastAsia"/>
          <w:sz w:val="32"/>
          <w:szCs w:val="32"/>
        </w:rPr>
        <w:t>本单位无国有资本经营预算支出</w:t>
      </w:r>
    </w:p>
    <w:p>
      <w:pPr>
        <w:widowControl/>
        <w:spacing w:line="600" w:lineRule="exact"/>
        <w:ind w:firstLine="640" w:firstLineChars="200"/>
        <w:jc w:val="left"/>
        <w:rPr>
          <w:rFonts w:asciiTheme="minorEastAsia" w:hAnsiTheme="minorEastAsia"/>
          <w:b/>
          <w:sz w:val="32"/>
          <w:szCs w:val="32"/>
        </w:rPr>
      </w:pPr>
      <w:r>
        <w:rPr>
          <w:rFonts w:hint="eastAsia" w:asciiTheme="minorEastAsia" w:hAnsiTheme="minorEastAsia"/>
          <w:b/>
          <w:sz w:val="32"/>
          <w:szCs w:val="32"/>
        </w:rPr>
        <w:t>五、</w:t>
      </w:r>
      <w:r>
        <w:rPr>
          <w:rFonts w:asciiTheme="minorEastAsia" w:hAnsiTheme="minorEastAsia"/>
          <w:b/>
          <w:sz w:val="32"/>
          <w:szCs w:val="32"/>
        </w:rPr>
        <w:t>社会保险基金预算支出情况</w:t>
      </w:r>
    </w:p>
    <w:p>
      <w:pPr>
        <w:pStyle w:val="11"/>
        <w:widowControl/>
        <w:spacing w:line="600" w:lineRule="exact"/>
        <w:ind w:left="640" w:firstLine="0" w:firstLineChars="0"/>
        <w:jc w:val="left"/>
        <w:rPr>
          <w:rFonts w:asciiTheme="minorEastAsia" w:hAnsiTheme="minorEastAsia"/>
          <w:sz w:val="32"/>
          <w:szCs w:val="32"/>
        </w:rPr>
      </w:pPr>
      <w:r>
        <w:rPr>
          <w:rFonts w:hint="eastAsia" w:asciiTheme="minorEastAsia" w:hAnsiTheme="minorEastAsia"/>
          <w:sz w:val="32"/>
          <w:szCs w:val="32"/>
        </w:rPr>
        <w:t>本单位无社会保险基金预算支出</w:t>
      </w:r>
    </w:p>
    <w:p>
      <w:pPr>
        <w:widowControl/>
        <w:spacing w:line="600" w:lineRule="exact"/>
        <w:ind w:firstLine="640" w:firstLineChars="200"/>
        <w:jc w:val="left"/>
        <w:rPr>
          <w:rFonts w:asciiTheme="minorEastAsia" w:hAnsiTheme="minorEastAsia"/>
          <w:b/>
          <w:sz w:val="32"/>
          <w:szCs w:val="32"/>
        </w:rPr>
      </w:pPr>
      <w:r>
        <w:rPr>
          <w:rFonts w:asciiTheme="minorEastAsia" w:hAnsiTheme="minorEastAsia"/>
          <w:b/>
          <w:sz w:val="32"/>
          <w:szCs w:val="32"/>
        </w:rPr>
        <w:t>六、部门整体</w:t>
      </w:r>
      <w:r>
        <w:rPr>
          <w:rFonts w:hint="eastAsia" w:asciiTheme="minorEastAsia" w:hAnsiTheme="minorEastAsia"/>
          <w:b/>
          <w:sz w:val="32"/>
          <w:szCs w:val="32"/>
        </w:rPr>
        <w:t>收支</w:t>
      </w:r>
      <w:r>
        <w:rPr>
          <w:rFonts w:asciiTheme="minorEastAsia" w:hAnsiTheme="minorEastAsia"/>
          <w:b/>
          <w:sz w:val="32"/>
          <w:szCs w:val="32"/>
        </w:rPr>
        <w:t>绩效情况</w:t>
      </w:r>
    </w:p>
    <w:p>
      <w:pPr>
        <w:widowControl/>
        <w:spacing w:line="600" w:lineRule="exact"/>
        <w:ind w:firstLine="645"/>
        <w:jc w:val="left"/>
        <w:rPr>
          <w:rFonts w:asciiTheme="minorEastAsia" w:hAnsiTheme="minorEastAsia"/>
          <w:color w:val="000000"/>
          <w:sz w:val="32"/>
          <w:szCs w:val="32"/>
        </w:rPr>
      </w:pPr>
      <w:r>
        <w:rPr>
          <w:rFonts w:hint="eastAsia" w:asciiTheme="minorEastAsia" w:hAnsiTheme="minorEastAsia"/>
          <w:color w:val="000000"/>
          <w:sz w:val="32"/>
          <w:szCs w:val="32"/>
        </w:rPr>
        <w:t>1、2021年决算总收入617.68万元，其中：财政拨款收入617.68万元。</w:t>
      </w:r>
    </w:p>
    <w:p>
      <w:pPr>
        <w:widowControl/>
        <w:spacing w:line="600" w:lineRule="exact"/>
        <w:ind w:firstLine="640" w:firstLineChars="200"/>
        <w:jc w:val="left"/>
        <w:rPr>
          <w:rFonts w:asciiTheme="minorEastAsia" w:hAnsiTheme="minorEastAsia"/>
          <w:color w:val="000000"/>
          <w:sz w:val="32"/>
          <w:szCs w:val="32"/>
        </w:rPr>
      </w:pPr>
      <w:r>
        <w:rPr>
          <w:rFonts w:hint="eastAsia" w:asciiTheme="minorEastAsia" w:hAnsiTheme="minorEastAsia"/>
          <w:color w:val="000000"/>
          <w:sz w:val="32"/>
          <w:szCs w:val="32"/>
        </w:rPr>
        <w:t>2、2021年决算总支出617.68万元，其中：其中人员支出564.75万元，公用支出15.18万元。</w:t>
      </w:r>
    </w:p>
    <w:p>
      <w:pPr>
        <w:pStyle w:val="11"/>
        <w:widowControl/>
        <w:numPr>
          <w:ilvl w:val="0"/>
          <w:numId w:val="2"/>
        </w:numPr>
        <w:spacing w:line="600" w:lineRule="exact"/>
        <w:ind w:firstLineChars="0"/>
        <w:jc w:val="left"/>
        <w:rPr>
          <w:rFonts w:asciiTheme="minorEastAsia" w:hAnsiTheme="minorEastAsia"/>
          <w:b/>
          <w:sz w:val="32"/>
          <w:szCs w:val="32"/>
        </w:rPr>
      </w:pPr>
      <w:r>
        <w:rPr>
          <w:rFonts w:asciiTheme="minorEastAsia" w:hAnsiTheme="minorEastAsia"/>
          <w:b/>
          <w:sz w:val="32"/>
          <w:szCs w:val="32"/>
        </w:rPr>
        <w:t>存在的问题及原因分析</w:t>
      </w:r>
    </w:p>
    <w:p>
      <w:pPr>
        <w:pStyle w:val="11"/>
        <w:widowControl/>
        <w:numPr>
          <w:ilvl w:val="0"/>
          <w:numId w:val="3"/>
        </w:numPr>
        <w:spacing w:line="600" w:lineRule="exact"/>
        <w:ind w:firstLineChars="0"/>
        <w:jc w:val="left"/>
        <w:rPr>
          <w:rFonts w:asciiTheme="minorEastAsia" w:hAnsiTheme="minorEastAsia"/>
          <w:sz w:val="32"/>
          <w:szCs w:val="32"/>
        </w:rPr>
      </w:pPr>
      <w:r>
        <w:rPr>
          <w:rFonts w:hint="eastAsia" w:asciiTheme="minorEastAsia" w:hAnsiTheme="minorEastAsia"/>
          <w:sz w:val="32"/>
          <w:szCs w:val="32"/>
        </w:rPr>
        <w:t>认识不到位，业务水平有待加强。</w:t>
      </w:r>
    </w:p>
    <w:p>
      <w:pPr>
        <w:pStyle w:val="11"/>
        <w:widowControl/>
        <w:numPr>
          <w:ilvl w:val="0"/>
          <w:numId w:val="3"/>
        </w:numPr>
        <w:spacing w:line="600" w:lineRule="exact"/>
        <w:ind w:firstLineChars="0"/>
        <w:jc w:val="left"/>
        <w:rPr>
          <w:rFonts w:asciiTheme="minorEastAsia" w:hAnsiTheme="minorEastAsia"/>
          <w:sz w:val="32"/>
          <w:szCs w:val="32"/>
        </w:rPr>
      </w:pPr>
      <w:r>
        <w:rPr>
          <w:rFonts w:hint="eastAsia" w:asciiTheme="minorEastAsia" w:hAnsiTheme="minorEastAsia"/>
          <w:sz w:val="32"/>
          <w:szCs w:val="32"/>
        </w:rPr>
        <w:t>预算不够精确，导致预算与决算有偏差。</w:t>
      </w:r>
    </w:p>
    <w:p>
      <w:pPr>
        <w:widowControl/>
        <w:spacing w:line="600" w:lineRule="exact"/>
        <w:ind w:left="640"/>
        <w:jc w:val="left"/>
        <w:rPr>
          <w:rFonts w:asciiTheme="minorEastAsia" w:hAnsiTheme="minorEastAsia"/>
          <w:b/>
          <w:sz w:val="32"/>
          <w:szCs w:val="32"/>
        </w:rPr>
      </w:pPr>
      <w:r>
        <w:rPr>
          <w:rFonts w:hint="eastAsia" w:asciiTheme="minorEastAsia" w:hAnsiTheme="minorEastAsia"/>
          <w:b/>
          <w:sz w:val="32"/>
          <w:szCs w:val="32"/>
        </w:rPr>
        <w:t>八、</w:t>
      </w:r>
      <w:r>
        <w:rPr>
          <w:rFonts w:asciiTheme="minorEastAsia" w:hAnsiTheme="minorEastAsia"/>
          <w:b/>
          <w:sz w:val="32"/>
          <w:szCs w:val="32"/>
        </w:rPr>
        <w:t>下一步改进措施</w:t>
      </w:r>
    </w:p>
    <w:p>
      <w:pPr>
        <w:widowControl/>
        <w:spacing w:line="600" w:lineRule="exact"/>
        <w:ind w:firstLine="640" w:firstLineChars="200"/>
        <w:jc w:val="left"/>
        <w:rPr>
          <w:rFonts w:asciiTheme="minorEastAsia" w:hAnsiTheme="minorEastAsia"/>
          <w:sz w:val="32"/>
          <w:szCs w:val="32"/>
        </w:rPr>
      </w:pPr>
      <w:r>
        <w:rPr>
          <w:rFonts w:hint="eastAsia" w:asciiTheme="minorEastAsia" w:hAnsiTheme="minorEastAsia"/>
          <w:sz w:val="32"/>
          <w:szCs w:val="32"/>
        </w:rPr>
        <w:t>1、提高认识，加强业务水平。</w:t>
      </w:r>
    </w:p>
    <w:p>
      <w:pPr>
        <w:spacing w:line="360" w:lineRule="auto"/>
        <w:ind w:firstLine="640" w:firstLineChars="200"/>
        <w:rPr>
          <w:rFonts w:asciiTheme="minorEastAsia" w:hAnsiTheme="minorEastAsia"/>
          <w:sz w:val="32"/>
          <w:szCs w:val="32"/>
        </w:rPr>
      </w:pPr>
      <w:r>
        <w:rPr>
          <w:rFonts w:hint="eastAsia" w:cs="宋体" w:asciiTheme="minorEastAsia" w:hAnsiTheme="minorEastAsia"/>
          <w:color w:val="333333"/>
          <w:kern w:val="0"/>
          <w:sz w:val="32"/>
          <w:szCs w:val="32"/>
        </w:rPr>
        <w:t>2、细化预算编制工作，认真做好预算的编制。进一步加强内部机构的预算管理意识，严格按照预算编制的相关制度和要求，本着“勤俭节约、保障运转”的原则，进行预算的编制；编制范围尽可能的全面，不漏项，进一步提高预算编制的科学性、合理性、严谨性和可控性。</w:t>
      </w:r>
    </w:p>
    <w:p>
      <w:pPr>
        <w:widowControl/>
        <w:spacing w:line="600" w:lineRule="exact"/>
        <w:ind w:firstLine="640" w:firstLineChars="200"/>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asciiTheme="minorEastAsia" w:hAnsiTheme="minorEastAsia"/>
          <w:sz w:val="32"/>
          <w:szCs w:val="32"/>
        </w:rPr>
      </w:pPr>
      <w:r>
        <w:rPr>
          <w:rFonts w:hint="eastAsia" w:asciiTheme="minorEastAsia" w:hAnsiTheme="minorEastAsia"/>
          <w:sz w:val="32"/>
          <w:szCs w:val="32"/>
        </w:rPr>
        <w:t>无</w:t>
      </w:r>
    </w:p>
    <w:p>
      <w:pPr>
        <w:widowControl/>
        <w:spacing w:line="600" w:lineRule="exact"/>
        <w:ind w:firstLine="640" w:firstLineChars="200"/>
        <w:jc w:val="left"/>
        <w:rPr>
          <w:rFonts w:asciiTheme="minorEastAsia" w:hAnsiTheme="minorEastAsia"/>
          <w:b/>
          <w:sz w:val="32"/>
          <w:szCs w:val="32"/>
        </w:rPr>
      </w:pPr>
    </w:p>
    <w:p>
      <w:pPr>
        <w:pStyle w:val="11"/>
        <w:widowControl/>
        <w:spacing w:line="600" w:lineRule="exact"/>
        <w:ind w:left="640" w:firstLine="0" w:firstLineChars="0"/>
        <w:jc w:val="left"/>
        <w:rPr>
          <w:rFonts w:asciiTheme="minorEastAsia" w:hAnsiTheme="minorEastAsia"/>
          <w:sz w:val="32"/>
          <w:szCs w:val="32"/>
        </w:rPr>
      </w:pPr>
    </w:p>
    <w:p>
      <w:pPr>
        <w:pStyle w:val="11"/>
        <w:widowControl/>
        <w:spacing w:line="600" w:lineRule="exact"/>
        <w:ind w:left="640" w:firstLine="0" w:firstLineChars="0"/>
        <w:rPr>
          <w:rFonts w:ascii="Times New Roman" w:hAnsi="Times New Roman" w:eastAsia="黑体"/>
          <w:sz w:val="32"/>
          <w:szCs w:val="32"/>
        </w:rPr>
      </w:pPr>
    </w:p>
    <w:p>
      <w:pPr>
        <w:ind w:firstLine="640" w:firstLineChars="200"/>
        <w:rPr>
          <w:rFonts w:cs="宋体" w:asciiTheme="minorEastAsia" w:hAnsiTheme="minorEastAsia"/>
          <w:b/>
          <w:sz w:val="32"/>
          <w:szCs w:val="32"/>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77B7BA5"/>
    <w:multiLevelType w:val="multilevel"/>
    <w:tmpl w:val="477B7BA5"/>
    <w:lvl w:ilvl="0" w:tentative="0">
      <w:start w:val="1"/>
      <w:numFmt w:val="decimal"/>
      <w:lvlText w:val="%1、"/>
      <w:lvlJc w:val="left"/>
      <w:pPr>
        <w:ind w:left="1360" w:hanging="720"/>
      </w:pPr>
      <w:rPr>
        <w:rFonts w:asciiTheme="minorEastAsia" w:hAnsiTheme="minorEastAsia" w:eastAsiaTheme="minorEastAsia" w:cstheme="minorBidi"/>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54E463E8"/>
    <w:multiLevelType w:val="multilevel"/>
    <w:tmpl w:val="54E463E8"/>
    <w:lvl w:ilvl="0" w:tentative="0">
      <w:start w:val="7"/>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36903"/>
    <w:rsid w:val="000415B7"/>
    <w:rsid w:val="00041E3F"/>
    <w:rsid w:val="00042D5E"/>
    <w:rsid w:val="00055DAA"/>
    <w:rsid w:val="00061F7B"/>
    <w:rsid w:val="000658A3"/>
    <w:rsid w:val="00074155"/>
    <w:rsid w:val="00081AF1"/>
    <w:rsid w:val="000873EF"/>
    <w:rsid w:val="000A3F69"/>
    <w:rsid w:val="000B755A"/>
    <w:rsid w:val="000D3115"/>
    <w:rsid w:val="00103957"/>
    <w:rsid w:val="00123498"/>
    <w:rsid w:val="00124A1F"/>
    <w:rsid w:val="00125B70"/>
    <w:rsid w:val="001272B6"/>
    <w:rsid w:val="00152C6D"/>
    <w:rsid w:val="001613A5"/>
    <w:rsid w:val="00162D39"/>
    <w:rsid w:val="001678BD"/>
    <w:rsid w:val="00182373"/>
    <w:rsid w:val="00182B50"/>
    <w:rsid w:val="001A670A"/>
    <w:rsid w:val="001A67DB"/>
    <w:rsid w:val="001C3C29"/>
    <w:rsid w:val="001D51E5"/>
    <w:rsid w:val="001E080D"/>
    <w:rsid w:val="001E53D0"/>
    <w:rsid w:val="001F0C3B"/>
    <w:rsid w:val="00202C14"/>
    <w:rsid w:val="00202C82"/>
    <w:rsid w:val="00214427"/>
    <w:rsid w:val="00226CB7"/>
    <w:rsid w:val="002456DA"/>
    <w:rsid w:val="00264552"/>
    <w:rsid w:val="00264EF9"/>
    <w:rsid w:val="00265724"/>
    <w:rsid w:val="0027426B"/>
    <w:rsid w:val="002C0DDE"/>
    <w:rsid w:val="002D605E"/>
    <w:rsid w:val="002E0A30"/>
    <w:rsid w:val="002F4F55"/>
    <w:rsid w:val="002F53BB"/>
    <w:rsid w:val="003130C4"/>
    <w:rsid w:val="00316C4B"/>
    <w:rsid w:val="0032192B"/>
    <w:rsid w:val="00327FFA"/>
    <w:rsid w:val="00331EC0"/>
    <w:rsid w:val="00341942"/>
    <w:rsid w:val="003479BD"/>
    <w:rsid w:val="0037197D"/>
    <w:rsid w:val="003768D5"/>
    <w:rsid w:val="003C4197"/>
    <w:rsid w:val="003C47E6"/>
    <w:rsid w:val="003C4FC2"/>
    <w:rsid w:val="003D054C"/>
    <w:rsid w:val="003E2331"/>
    <w:rsid w:val="003F09E1"/>
    <w:rsid w:val="00411BB6"/>
    <w:rsid w:val="0041378E"/>
    <w:rsid w:val="00416E61"/>
    <w:rsid w:val="0042790C"/>
    <w:rsid w:val="00434A34"/>
    <w:rsid w:val="004506F9"/>
    <w:rsid w:val="004717A2"/>
    <w:rsid w:val="0047354B"/>
    <w:rsid w:val="00473DF3"/>
    <w:rsid w:val="00487911"/>
    <w:rsid w:val="00491741"/>
    <w:rsid w:val="00493BFB"/>
    <w:rsid w:val="004970F4"/>
    <w:rsid w:val="00497300"/>
    <w:rsid w:val="004B0CEE"/>
    <w:rsid w:val="004E30F1"/>
    <w:rsid w:val="004E71CA"/>
    <w:rsid w:val="00500E5F"/>
    <w:rsid w:val="005040CD"/>
    <w:rsid w:val="00504BA0"/>
    <w:rsid w:val="005122EF"/>
    <w:rsid w:val="0051441A"/>
    <w:rsid w:val="00515486"/>
    <w:rsid w:val="00517C33"/>
    <w:rsid w:val="00517D5F"/>
    <w:rsid w:val="00521AF2"/>
    <w:rsid w:val="00523644"/>
    <w:rsid w:val="00531F32"/>
    <w:rsid w:val="0053539E"/>
    <w:rsid w:val="0054069E"/>
    <w:rsid w:val="00542421"/>
    <w:rsid w:val="00544866"/>
    <w:rsid w:val="005703F0"/>
    <w:rsid w:val="005718B4"/>
    <w:rsid w:val="005767CC"/>
    <w:rsid w:val="00590D9F"/>
    <w:rsid w:val="00595D26"/>
    <w:rsid w:val="005A74E6"/>
    <w:rsid w:val="005B3952"/>
    <w:rsid w:val="005B404E"/>
    <w:rsid w:val="005D4D55"/>
    <w:rsid w:val="005E2CFB"/>
    <w:rsid w:val="005F04E6"/>
    <w:rsid w:val="005F2103"/>
    <w:rsid w:val="005F3D1C"/>
    <w:rsid w:val="005F7B54"/>
    <w:rsid w:val="0060317E"/>
    <w:rsid w:val="00606621"/>
    <w:rsid w:val="00611D0C"/>
    <w:rsid w:val="00615E35"/>
    <w:rsid w:val="0061645E"/>
    <w:rsid w:val="00622C67"/>
    <w:rsid w:val="0062378F"/>
    <w:rsid w:val="00641842"/>
    <w:rsid w:val="00651EEC"/>
    <w:rsid w:val="0066276E"/>
    <w:rsid w:val="00683D5A"/>
    <w:rsid w:val="00686673"/>
    <w:rsid w:val="00691E8C"/>
    <w:rsid w:val="006A22C4"/>
    <w:rsid w:val="006A348B"/>
    <w:rsid w:val="006A351B"/>
    <w:rsid w:val="006B0422"/>
    <w:rsid w:val="006B0ECC"/>
    <w:rsid w:val="006C1B53"/>
    <w:rsid w:val="006D7730"/>
    <w:rsid w:val="006E5284"/>
    <w:rsid w:val="006E7C10"/>
    <w:rsid w:val="006F3EB5"/>
    <w:rsid w:val="006F6E93"/>
    <w:rsid w:val="00701C53"/>
    <w:rsid w:val="00702E34"/>
    <w:rsid w:val="00704395"/>
    <w:rsid w:val="00710FE7"/>
    <w:rsid w:val="00717621"/>
    <w:rsid w:val="00720FF1"/>
    <w:rsid w:val="00727A53"/>
    <w:rsid w:val="00741872"/>
    <w:rsid w:val="0076627B"/>
    <w:rsid w:val="00767FBF"/>
    <w:rsid w:val="00787B42"/>
    <w:rsid w:val="007A1271"/>
    <w:rsid w:val="007A6B80"/>
    <w:rsid w:val="007C4539"/>
    <w:rsid w:val="007F3657"/>
    <w:rsid w:val="007F48B1"/>
    <w:rsid w:val="00812ED5"/>
    <w:rsid w:val="008159DE"/>
    <w:rsid w:val="008277D9"/>
    <w:rsid w:val="00833678"/>
    <w:rsid w:val="00835B96"/>
    <w:rsid w:val="0084478C"/>
    <w:rsid w:val="0086638C"/>
    <w:rsid w:val="00896B37"/>
    <w:rsid w:val="008A3E8D"/>
    <w:rsid w:val="008E4372"/>
    <w:rsid w:val="0090405C"/>
    <w:rsid w:val="009237C4"/>
    <w:rsid w:val="00940A14"/>
    <w:rsid w:val="00944C48"/>
    <w:rsid w:val="00950252"/>
    <w:rsid w:val="00967F5D"/>
    <w:rsid w:val="009A0F95"/>
    <w:rsid w:val="009B3ADF"/>
    <w:rsid w:val="009C3B52"/>
    <w:rsid w:val="009E6817"/>
    <w:rsid w:val="009E6E9A"/>
    <w:rsid w:val="00A01D2B"/>
    <w:rsid w:val="00A05512"/>
    <w:rsid w:val="00A37EC9"/>
    <w:rsid w:val="00A42218"/>
    <w:rsid w:val="00A70249"/>
    <w:rsid w:val="00A70B02"/>
    <w:rsid w:val="00A71D9F"/>
    <w:rsid w:val="00A92E9F"/>
    <w:rsid w:val="00AB23A5"/>
    <w:rsid w:val="00B1180A"/>
    <w:rsid w:val="00B21B2A"/>
    <w:rsid w:val="00B33BEA"/>
    <w:rsid w:val="00B420FC"/>
    <w:rsid w:val="00B42C25"/>
    <w:rsid w:val="00B43F86"/>
    <w:rsid w:val="00B5794C"/>
    <w:rsid w:val="00B57C9F"/>
    <w:rsid w:val="00B63572"/>
    <w:rsid w:val="00B845B3"/>
    <w:rsid w:val="00B85D8B"/>
    <w:rsid w:val="00BB3BB3"/>
    <w:rsid w:val="00BB4A40"/>
    <w:rsid w:val="00BB5719"/>
    <w:rsid w:val="00BC2AA5"/>
    <w:rsid w:val="00BD3AD3"/>
    <w:rsid w:val="00BD6C3E"/>
    <w:rsid w:val="00BE2589"/>
    <w:rsid w:val="00BE3674"/>
    <w:rsid w:val="00BF6645"/>
    <w:rsid w:val="00BF7204"/>
    <w:rsid w:val="00C10681"/>
    <w:rsid w:val="00C206F1"/>
    <w:rsid w:val="00C267FD"/>
    <w:rsid w:val="00C26B7B"/>
    <w:rsid w:val="00C3049A"/>
    <w:rsid w:val="00C31B1E"/>
    <w:rsid w:val="00C77645"/>
    <w:rsid w:val="00CA6904"/>
    <w:rsid w:val="00CB54F6"/>
    <w:rsid w:val="00CD78D9"/>
    <w:rsid w:val="00CE04C3"/>
    <w:rsid w:val="00CE76A0"/>
    <w:rsid w:val="00D148C6"/>
    <w:rsid w:val="00D1551B"/>
    <w:rsid w:val="00D17A8A"/>
    <w:rsid w:val="00D204AD"/>
    <w:rsid w:val="00D205B4"/>
    <w:rsid w:val="00D415BA"/>
    <w:rsid w:val="00D465DE"/>
    <w:rsid w:val="00D63780"/>
    <w:rsid w:val="00D644EE"/>
    <w:rsid w:val="00D70E6C"/>
    <w:rsid w:val="00D75489"/>
    <w:rsid w:val="00DD06FF"/>
    <w:rsid w:val="00DD3A35"/>
    <w:rsid w:val="00DD5FE9"/>
    <w:rsid w:val="00DE23B5"/>
    <w:rsid w:val="00E00C7A"/>
    <w:rsid w:val="00E209CF"/>
    <w:rsid w:val="00E37D6C"/>
    <w:rsid w:val="00E443D2"/>
    <w:rsid w:val="00E55B68"/>
    <w:rsid w:val="00E67BE6"/>
    <w:rsid w:val="00E864D3"/>
    <w:rsid w:val="00E8683C"/>
    <w:rsid w:val="00E96B6D"/>
    <w:rsid w:val="00EA2B72"/>
    <w:rsid w:val="00EE190E"/>
    <w:rsid w:val="00EE362F"/>
    <w:rsid w:val="00EF16B8"/>
    <w:rsid w:val="00F4141E"/>
    <w:rsid w:val="00F57E6C"/>
    <w:rsid w:val="00F62B17"/>
    <w:rsid w:val="00F74360"/>
    <w:rsid w:val="00F778B3"/>
    <w:rsid w:val="00FB2B41"/>
    <w:rsid w:val="00FB462F"/>
    <w:rsid w:val="00FC2369"/>
    <w:rsid w:val="00FD4AA3"/>
    <w:rsid w:val="00FE16FA"/>
    <w:rsid w:val="00FE328A"/>
    <w:rsid w:val="00FE6269"/>
    <w:rsid w:val="00FF5CD6"/>
    <w:rsid w:val="15AA7E92"/>
    <w:rsid w:val="160B46B4"/>
    <w:rsid w:val="31221E5C"/>
    <w:rsid w:val="37C01866"/>
    <w:rsid w:val="392C147D"/>
    <w:rsid w:val="3FE6077A"/>
    <w:rsid w:val="47B642F1"/>
    <w:rsid w:val="49E851EA"/>
    <w:rsid w:val="50CD5754"/>
    <w:rsid w:val="50FB4B23"/>
    <w:rsid w:val="55376635"/>
    <w:rsid w:val="571A3293"/>
    <w:rsid w:val="5AC43E91"/>
    <w:rsid w:val="628506F0"/>
    <w:rsid w:val="74EC67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85E6C-F116-4E86-ACCB-BB3151D6372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6691</Words>
  <Characters>7195</Characters>
  <Lines>53</Lines>
  <Paragraphs>14</Paragraphs>
  <TotalTime>0</TotalTime>
  <ScaleCrop>false</ScaleCrop>
  <LinksUpToDate>false</LinksUpToDate>
  <CharactersWithSpaces>7218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2022-09-19T02:30:00Z</dcterms:created>
  <dc:creator>李航 null</dc:creator>
  <cp:lastModifiedBy>养鱼的猫</cp:lastModifiedBy>
  <cp:lastPrinted>2022-07-27T12:55:00Z</cp:lastPrinted>
  <dcterms:modified xsi:type="dcterms:W3CDTF">2023-09-27T18:35:01Z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72CF1B0A920C43BD967277824CB590D0_13</vt:lpwstr>
  </property>
</Properties>
</file>