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center"/>
        <w:rPr>
          <w:sz w:val="56"/>
          <w:szCs w:val="56"/>
        </w:rPr>
      </w:pPr>
    </w:p>
    <w:p>
      <w:pPr>
        <w:pStyle w:val="11"/>
        <w:jc w:val="center"/>
        <w:rPr>
          <w:sz w:val="56"/>
          <w:szCs w:val="56"/>
        </w:rPr>
      </w:pPr>
    </w:p>
    <w:p>
      <w:pPr>
        <w:pStyle w:val="11"/>
        <w:jc w:val="center"/>
        <w:rPr>
          <w:sz w:val="84"/>
          <w:szCs w:val="84"/>
        </w:rPr>
      </w:pPr>
    </w:p>
    <w:p>
      <w:pPr>
        <w:pStyle w:val="11"/>
        <w:jc w:val="center"/>
        <w:rPr>
          <w:sz w:val="84"/>
          <w:szCs w:val="84"/>
        </w:rPr>
      </w:pPr>
    </w:p>
    <w:p>
      <w:pPr>
        <w:pStyle w:val="11"/>
        <w:jc w:val="center"/>
        <w:rPr>
          <w:sz w:val="84"/>
          <w:szCs w:val="84"/>
        </w:rPr>
      </w:pPr>
      <w:r>
        <w:rPr>
          <w:sz w:val="84"/>
          <w:szCs w:val="84"/>
        </w:rPr>
        <w:t>202</w:t>
      </w:r>
      <w:r>
        <w:rPr>
          <w:rFonts w:hint="eastAsia"/>
          <w:sz w:val="84"/>
          <w:szCs w:val="84"/>
        </w:rPr>
        <w:t>1</w:t>
      </w:r>
      <w:r>
        <w:rPr>
          <w:sz w:val="84"/>
          <w:szCs w:val="84"/>
        </w:rPr>
        <w:t>年度</w:t>
      </w:r>
    </w:p>
    <w:p>
      <w:pPr>
        <w:pStyle w:val="11"/>
        <w:jc w:val="center"/>
        <w:rPr>
          <w:sz w:val="84"/>
          <w:szCs w:val="84"/>
        </w:rPr>
      </w:pPr>
      <w:r>
        <w:rPr>
          <w:rFonts w:hint="eastAsia" w:hAnsi="黑体"/>
          <w:sz w:val="84"/>
          <w:szCs w:val="84"/>
        </w:rPr>
        <w:t>中共怀化市鹤城区委老干部服务中心</w:t>
      </w:r>
      <w:r>
        <w:rPr>
          <w:rFonts w:hAnsi="黑体"/>
          <w:sz w:val="84"/>
          <w:szCs w:val="84"/>
        </w:rPr>
        <w:t>部门</w:t>
      </w:r>
      <w:r>
        <w:rPr>
          <w:sz w:val="84"/>
          <w:szCs w:val="84"/>
        </w:rPr>
        <w:t>决算</w:t>
      </w: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32"/>
          <w:szCs w:val="32"/>
        </w:rPr>
      </w:pPr>
    </w:p>
    <w:p>
      <w:pPr>
        <w:pStyle w:val="11"/>
        <w:jc w:val="center"/>
        <w:rPr>
          <w:sz w:val="32"/>
          <w:szCs w:val="32"/>
        </w:rPr>
      </w:pPr>
    </w:p>
    <w:p>
      <w:pPr>
        <w:pStyle w:val="11"/>
        <w:jc w:val="center"/>
        <w:rPr>
          <w:sz w:val="32"/>
          <w:szCs w:val="32"/>
        </w:rPr>
      </w:pPr>
    </w:p>
    <w:p>
      <w:pPr>
        <w:pStyle w:val="11"/>
        <w:jc w:val="center"/>
        <w:rPr>
          <w:sz w:val="32"/>
          <w:szCs w:val="32"/>
        </w:rPr>
      </w:pPr>
    </w:p>
    <w:p>
      <w:pPr>
        <w:pStyle w:val="11"/>
        <w:jc w:val="center"/>
        <w:rPr>
          <w:sz w:val="32"/>
          <w:szCs w:val="32"/>
        </w:rPr>
      </w:pPr>
    </w:p>
    <w:p>
      <w:pPr>
        <w:pStyle w:val="11"/>
        <w:spacing w:line="500" w:lineRule="exact"/>
        <w:jc w:val="both"/>
        <w:rPr>
          <w:b/>
          <w:sz w:val="36"/>
          <w:szCs w:val="28"/>
        </w:rPr>
      </w:pPr>
    </w:p>
    <w:p>
      <w:pPr>
        <w:pStyle w:val="11"/>
        <w:spacing w:line="500" w:lineRule="exact"/>
        <w:jc w:val="center"/>
        <w:rPr>
          <w:b/>
          <w:sz w:val="36"/>
          <w:szCs w:val="28"/>
        </w:rPr>
      </w:pPr>
    </w:p>
    <w:p>
      <w:pPr>
        <w:pStyle w:val="11"/>
        <w:spacing w:line="500" w:lineRule="exact"/>
        <w:jc w:val="center"/>
        <w:rPr>
          <w:b/>
          <w:sz w:val="28"/>
          <w:szCs w:val="28"/>
        </w:rPr>
      </w:pPr>
      <w:r>
        <w:rPr>
          <w:rFonts w:hint="eastAsia"/>
          <w:b/>
          <w:sz w:val="36"/>
          <w:szCs w:val="28"/>
        </w:rPr>
        <w:t>目录</w:t>
      </w:r>
    </w:p>
    <w:p>
      <w:pPr>
        <w:pStyle w:val="11"/>
        <w:spacing w:line="500" w:lineRule="exact"/>
        <w:rPr>
          <w:rFonts w:ascii="仿宋_GB2312" w:hAnsi="仿宋_GB2312" w:cs="仿宋_GB2312"/>
          <w:b/>
          <w:sz w:val="28"/>
          <w:szCs w:val="28"/>
        </w:rPr>
      </w:pPr>
      <w:r>
        <w:rPr>
          <w:rFonts w:hint="eastAsia"/>
          <w:b/>
          <w:sz w:val="28"/>
          <w:szCs w:val="28"/>
        </w:rPr>
        <w:t>第一部分中共怀化市鹤城区委老干部服务中心</w:t>
      </w:r>
      <w:r>
        <w:rPr>
          <w:rFonts w:hint="eastAsia"/>
          <w:b/>
          <w:sz w:val="28"/>
          <w:szCs w:val="28"/>
          <w:lang w:val="en-US" w:eastAsia="zh-CN"/>
        </w:rPr>
        <w:t>单位</w:t>
      </w:r>
      <w:r>
        <w:rPr>
          <w:rFonts w:hint="eastAsia"/>
          <w:b/>
          <w:sz w:val="28"/>
          <w:szCs w:val="28"/>
        </w:rPr>
        <w:t>概况</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1"/>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1"/>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1"/>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cs="仿宋_GB2312" w:asciiTheme="minorEastAsia" w:hAnsiTheme="minorEastAsia"/>
          <w:sz w:val="28"/>
          <w:szCs w:val="28"/>
        </w:rPr>
      </w:pPr>
      <w:r>
        <w:rPr>
          <w:rFonts w:hint="eastAsia" w:ascii="仿宋_GB2312" w:hAnsi="仿宋_GB2312" w:cs="仿宋_GB2312"/>
          <w:color w:val="000000"/>
          <w:kern w:val="0"/>
          <w:sz w:val="28"/>
          <w:szCs w:val="28"/>
        </w:rPr>
        <w:t>九、</w:t>
      </w:r>
      <w:r>
        <w:rPr>
          <w:rFonts w:hint="eastAsia" w:cs="仿宋_GB2312" w:asciiTheme="minorEastAsia" w:hAnsiTheme="minorEastAsia"/>
          <w:sz w:val="28"/>
          <w:szCs w:val="28"/>
        </w:rPr>
        <w:t>国有资本经营预算财政拨款收支决算情况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十二、政府采购支出说明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ind w:firstLine="135" w:firstLineChars="48"/>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r>
        <w:rPr>
          <w:rFonts w:hint="eastAsia" w:ascii="黑体" w:hAnsi="黑体" w:eastAsia="黑体" w:cs="黑体"/>
          <w:b/>
          <w:color w:val="000000"/>
          <w:kern w:val="0"/>
          <w:sz w:val="28"/>
          <w:szCs w:val="28"/>
        </w:rPr>
        <w:t xml:space="preserve">    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1"/>
        <w:jc w:val="center"/>
        <w:rPr>
          <w:sz w:val="84"/>
          <w:szCs w:val="84"/>
        </w:rPr>
      </w:pPr>
      <w:r>
        <w:rPr>
          <w:sz w:val="84"/>
          <w:szCs w:val="84"/>
        </w:rPr>
        <w:t>第一部分</w:t>
      </w:r>
    </w:p>
    <w:p>
      <w:pPr>
        <w:pStyle w:val="11"/>
        <w:jc w:val="center"/>
        <w:rPr>
          <w:sz w:val="84"/>
          <w:szCs w:val="84"/>
        </w:rPr>
      </w:pPr>
    </w:p>
    <w:p>
      <w:pPr>
        <w:pStyle w:val="11"/>
        <w:jc w:val="center"/>
        <w:rPr>
          <w:sz w:val="84"/>
          <w:szCs w:val="84"/>
        </w:rPr>
      </w:pPr>
      <w:r>
        <w:rPr>
          <w:rFonts w:hint="eastAsia" w:hAnsi="黑体"/>
          <w:sz w:val="84"/>
          <w:szCs w:val="84"/>
        </w:rPr>
        <w:t>中共怀化市鹤城区委老干部服务中心</w:t>
      </w:r>
      <w:r>
        <w:rPr>
          <w:rFonts w:hint="eastAsia" w:hAnsi="黑体"/>
          <w:sz w:val="84"/>
          <w:szCs w:val="84"/>
          <w:lang w:val="en-US" w:eastAsia="zh-CN"/>
        </w:rPr>
        <w:t>单位</w:t>
      </w:r>
      <w:r>
        <w:rPr>
          <w:sz w:val="84"/>
          <w:szCs w:val="84"/>
        </w:rPr>
        <w:t>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2"/>
        <w:ind w:left="720" w:firstLine="0" w:firstLineChars="0"/>
        <w:jc w:val="left"/>
        <w:rPr>
          <w:rFonts w:ascii="黑体" w:hAnsi="黑体" w:eastAsia="黑体"/>
          <w:sz w:val="32"/>
          <w:szCs w:val="32"/>
        </w:rPr>
      </w:pPr>
    </w:p>
    <w:p>
      <w:pPr>
        <w:pStyle w:val="14"/>
        <w:tabs>
          <w:tab w:val="left" w:pos="0"/>
        </w:tabs>
        <w:ind w:left="0" w:leftChars="0" w:firstLine="0" w:firstLineChars="0"/>
        <w:rPr>
          <w:rFonts w:ascii="黑体" w:hAnsi="黑体" w:eastAsia="黑体"/>
          <w:sz w:val="32"/>
          <w:szCs w:val="32"/>
        </w:rPr>
      </w:pPr>
      <w:r>
        <w:rPr>
          <w:rFonts w:ascii="黑体" w:hAnsi="黑体" w:eastAsia="黑体"/>
          <w:sz w:val="32"/>
          <w:szCs w:val="32"/>
        </w:rPr>
        <w:t>一、部门职责</w:t>
      </w:r>
    </w:p>
    <w:p>
      <w:pPr>
        <w:pStyle w:val="15"/>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宋体" w:hAnsi="宋体" w:eastAsia="宋体" w:cs="宋体"/>
          <w:sz w:val="32"/>
          <w:szCs w:val="32"/>
        </w:rPr>
      </w:pPr>
      <w:r>
        <w:rPr>
          <w:rFonts w:hint="eastAsia" w:ascii="宋体" w:hAnsi="宋体" w:eastAsia="宋体" w:cs="宋体"/>
          <w:sz w:val="32"/>
          <w:szCs w:val="32"/>
          <w:lang w:eastAsia="zh-CN"/>
        </w:rPr>
        <w:t>（</w:t>
      </w:r>
      <w:r>
        <w:rPr>
          <w:rFonts w:hint="eastAsia" w:ascii="宋体" w:hAnsi="宋体" w:eastAsia="宋体" w:cs="宋体"/>
          <w:sz w:val="32"/>
          <w:szCs w:val="32"/>
          <w:lang w:val="en-US" w:eastAsia="zh-CN"/>
        </w:rPr>
        <w:t>一</w:t>
      </w:r>
      <w:r>
        <w:rPr>
          <w:rFonts w:hint="eastAsia" w:ascii="宋体" w:hAnsi="宋体" w:eastAsia="宋体" w:cs="宋体"/>
          <w:sz w:val="32"/>
          <w:szCs w:val="32"/>
          <w:lang w:eastAsia="zh-CN"/>
        </w:rPr>
        <w:t>）</w:t>
      </w:r>
      <w:r>
        <w:rPr>
          <w:rFonts w:hint="eastAsia" w:ascii="宋体" w:hAnsi="宋体" w:eastAsia="宋体" w:cs="宋体"/>
          <w:sz w:val="32"/>
          <w:szCs w:val="32"/>
        </w:rPr>
        <w:t>负责全区离休干部和副处级以上退休干部的服务工作。</w:t>
      </w:r>
    </w:p>
    <w:p>
      <w:pPr>
        <w:pStyle w:val="15"/>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宋体" w:hAnsi="宋体" w:eastAsia="宋体" w:cs="宋体"/>
          <w:sz w:val="32"/>
          <w:szCs w:val="32"/>
        </w:rPr>
      </w:pPr>
      <w:r>
        <w:rPr>
          <w:rFonts w:hint="eastAsia" w:ascii="宋体" w:hAnsi="宋体" w:eastAsia="宋体" w:cs="宋体"/>
          <w:sz w:val="32"/>
          <w:szCs w:val="32"/>
        </w:rPr>
        <w:t>（</w:t>
      </w:r>
      <w:r>
        <w:rPr>
          <w:rFonts w:hint="eastAsia" w:ascii="宋体" w:hAnsi="宋体" w:eastAsia="宋体" w:cs="宋体"/>
          <w:sz w:val="32"/>
          <w:szCs w:val="32"/>
          <w:lang w:val="en-US" w:eastAsia="zh-CN"/>
        </w:rPr>
        <w:t>二</w:t>
      </w:r>
      <w:r>
        <w:rPr>
          <w:rFonts w:hint="eastAsia" w:ascii="宋体" w:hAnsi="宋体" w:eastAsia="宋体" w:cs="宋体"/>
          <w:sz w:val="32"/>
          <w:szCs w:val="32"/>
        </w:rPr>
        <w:t>）协助督促各单位落实好老干部政治和生活待遇。</w:t>
      </w:r>
    </w:p>
    <w:p>
      <w:pPr>
        <w:pStyle w:val="15"/>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宋体" w:hAnsi="宋体" w:eastAsia="宋体" w:cs="宋体"/>
          <w:sz w:val="32"/>
          <w:szCs w:val="32"/>
        </w:rPr>
      </w:pPr>
      <w:r>
        <w:rPr>
          <w:rFonts w:hint="eastAsia" w:ascii="宋体" w:hAnsi="宋体" w:eastAsia="宋体" w:cs="宋体"/>
          <w:sz w:val="32"/>
          <w:szCs w:val="32"/>
        </w:rPr>
        <w:t>（</w:t>
      </w:r>
      <w:r>
        <w:rPr>
          <w:rFonts w:hint="eastAsia" w:ascii="宋体" w:hAnsi="宋体" w:eastAsia="宋体" w:cs="宋体"/>
          <w:sz w:val="32"/>
          <w:szCs w:val="32"/>
          <w:lang w:val="en-US" w:eastAsia="zh-CN"/>
        </w:rPr>
        <w:t>三</w:t>
      </w:r>
      <w:r>
        <w:rPr>
          <w:rFonts w:hint="eastAsia" w:ascii="宋体" w:hAnsi="宋体" w:eastAsia="宋体" w:cs="宋体"/>
          <w:sz w:val="32"/>
          <w:szCs w:val="32"/>
        </w:rPr>
        <w:t>）负责老年教育工作，指导涉老组织工作，组织引导老干部发挥作用。</w:t>
      </w:r>
    </w:p>
    <w:p>
      <w:pPr>
        <w:pStyle w:val="15"/>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宋体" w:hAnsi="宋体" w:eastAsia="宋体" w:cs="宋体"/>
          <w:sz w:val="32"/>
          <w:szCs w:val="32"/>
        </w:rPr>
      </w:pPr>
      <w:r>
        <w:rPr>
          <w:rFonts w:hint="eastAsia" w:ascii="宋体" w:hAnsi="宋体" w:eastAsia="宋体" w:cs="宋体"/>
          <w:sz w:val="32"/>
          <w:szCs w:val="32"/>
        </w:rPr>
        <w:t>（</w:t>
      </w:r>
      <w:r>
        <w:rPr>
          <w:rFonts w:hint="eastAsia" w:ascii="宋体" w:hAnsi="宋体" w:eastAsia="宋体" w:cs="宋体"/>
          <w:sz w:val="32"/>
          <w:szCs w:val="32"/>
          <w:lang w:val="en-US" w:eastAsia="zh-CN"/>
        </w:rPr>
        <w:t>四</w:t>
      </w:r>
      <w:r>
        <w:rPr>
          <w:rFonts w:hint="eastAsia" w:ascii="宋体" w:hAnsi="宋体" w:eastAsia="宋体" w:cs="宋体"/>
          <w:sz w:val="32"/>
          <w:szCs w:val="32"/>
        </w:rPr>
        <w:t>）协助区委组织部做好老干部工作的调查、研究、检查、评比，并</w:t>
      </w:r>
      <w:r>
        <w:rPr>
          <w:rFonts w:hint="eastAsia" w:ascii="宋体" w:hAnsi="宋体" w:eastAsia="宋体" w:cs="宋体"/>
          <w:sz w:val="32"/>
          <w:szCs w:val="32"/>
          <w:lang w:eastAsia="zh-CN"/>
        </w:rPr>
        <w:t>推广</w:t>
      </w:r>
      <w:r>
        <w:rPr>
          <w:rFonts w:hint="eastAsia" w:ascii="宋体" w:hAnsi="宋体" w:eastAsia="宋体" w:cs="宋体"/>
          <w:sz w:val="32"/>
          <w:szCs w:val="32"/>
        </w:rPr>
        <w:t>各单位各部门的典型经验。</w:t>
      </w:r>
    </w:p>
    <w:p>
      <w:pPr>
        <w:pStyle w:val="15"/>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宋体" w:hAnsi="宋体" w:eastAsia="宋体" w:cs="宋体"/>
          <w:sz w:val="32"/>
          <w:szCs w:val="32"/>
        </w:rPr>
      </w:pPr>
      <w:r>
        <w:rPr>
          <w:rFonts w:hint="eastAsia" w:ascii="宋体" w:hAnsi="宋体" w:eastAsia="宋体" w:cs="宋体"/>
          <w:sz w:val="32"/>
          <w:szCs w:val="32"/>
        </w:rPr>
        <w:t>（</w:t>
      </w:r>
      <w:r>
        <w:rPr>
          <w:rFonts w:hint="eastAsia" w:ascii="宋体" w:hAnsi="宋体" w:eastAsia="宋体" w:cs="宋体"/>
          <w:sz w:val="32"/>
          <w:szCs w:val="32"/>
          <w:lang w:val="en-US" w:eastAsia="zh-CN"/>
        </w:rPr>
        <w:t>五</w:t>
      </w:r>
      <w:r>
        <w:rPr>
          <w:rFonts w:hint="eastAsia" w:ascii="宋体" w:hAnsi="宋体" w:eastAsia="宋体" w:cs="宋体"/>
          <w:sz w:val="32"/>
          <w:szCs w:val="32"/>
        </w:rPr>
        <w:t>）负责易地安置老干部的服务与联络。</w:t>
      </w:r>
    </w:p>
    <w:p>
      <w:pPr>
        <w:pStyle w:val="15"/>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rPr>
          <w:rFonts w:ascii="宋体" w:hAnsi="宋体" w:eastAsia="宋体" w:cs="宋体"/>
          <w:sz w:val="32"/>
          <w:szCs w:val="32"/>
        </w:rPr>
      </w:pPr>
      <w:r>
        <w:rPr>
          <w:rFonts w:hint="eastAsia" w:ascii="宋体" w:hAnsi="宋体" w:eastAsia="宋体" w:cs="宋体"/>
          <w:sz w:val="32"/>
          <w:szCs w:val="32"/>
        </w:rPr>
        <w:t>（</w:t>
      </w:r>
      <w:r>
        <w:rPr>
          <w:rFonts w:hint="eastAsia" w:ascii="宋体" w:hAnsi="宋体" w:eastAsia="宋体" w:cs="宋体"/>
          <w:sz w:val="32"/>
          <w:szCs w:val="32"/>
          <w:lang w:val="en-US" w:eastAsia="zh-CN"/>
        </w:rPr>
        <w:t>六</w:t>
      </w:r>
      <w:r>
        <w:rPr>
          <w:rFonts w:hint="eastAsia" w:ascii="宋体" w:hAnsi="宋体" w:eastAsia="宋体" w:cs="宋体"/>
          <w:sz w:val="32"/>
          <w:szCs w:val="32"/>
        </w:rPr>
        <w:t>）完成区委及区委组织部交办的其他任务。</w:t>
      </w:r>
    </w:p>
    <w:p>
      <w:pPr>
        <w:pStyle w:val="15"/>
        <w:widowControl/>
        <w:spacing w:line="600" w:lineRule="exact"/>
        <w:rPr>
          <w:rFonts w:ascii="黑体" w:hAnsi="黑体" w:eastAsia="黑体"/>
          <w:bCs/>
          <w:kern w:val="0"/>
          <w:sz w:val="32"/>
          <w:szCs w:val="32"/>
        </w:rPr>
      </w:pPr>
      <w:r>
        <w:rPr>
          <w:rFonts w:ascii="黑体" w:hAnsi="黑体" w:eastAsia="黑体"/>
          <w:bCs/>
          <w:kern w:val="0"/>
          <w:sz w:val="32"/>
          <w:szCs w:val="32"/>
        </w:rPr>
        <w:t>二、机构设置及决算单位构成</w:t>
      </w:r>
    </w:p>
    <w:p>
      <w:pPr>
        <w:pStyle w:val="15"/>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Theme="minorEastAsia" w:hAnsiTheme="minorEastAsia"/>
          <w:bCs/>
          <w:kern w:val="0"/>
          <w:sz w:val="32"/>
          <w:szCs w:val="32"/>
        </w:rPr>
      </w:pPr>
      <w:r>
        <w:rPr>
          <w:rFonts w:asciiTheme="minorEastAsia" w:hAnsiTheme="minorEastAsia"/>
          <w:bCs/>
          <w:kern w:val="0"/>
          <w:sz w:val="32"/>
          <w:szCs w:val="32"/>
        </w:rPr>
        <w:t>（一）内设机构设置。鹤城区委老干部服务中心内设机构包括：</w:t>
      </w:r>
      <w:r>
        <w:rPr>
          <w:rFonts w:cs="宋体" w:asciiTheme="minorEastAsia" w:hAnsiTheme="minorEastAsia"/>
          <w:bCs/>
          <w:kern w:val="0"/>
          <w:sz w:val="32"/>
          <w:szCs w:val="32"/>
        </w:rPr>
        <w:t>办公室、人事财务室、老干部待遇服务室、老干部活动指导室、主任室。</w:t>
      </w:r>
    </w:p>
    <w:p>
      <w:pPr>
        <w:pStyle w:val="15"/>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Theme="minorEastAsia" w:hAnsiTheme="minorEastAsia"/>
          <w:bCs/>
          <w:kern w:val="0"/>
          <w:sz w:val="32"/>
          <w:szCs w:val="32"/>
        </w:rPr>
      </w:pPr>
      <w:r>
        <w:rPr>
          <w:rFonts w:asciiTheme="minorEastAsia" w:hAnsiTheme="minorEastAsia"/>
          <w:bCs/>
          <w:kern w:val="0"/>
          <w:sz w:val="32"/>
          <w:szCs w:val="32"/>
        </w:rPr>
        <w:t>（二）决算单位构成。鹤城区委老干部服务中心202</w:t>
      </w:r>
      <w:r>
        <w:rPr>
          <w:rFonts w:hint="eastAsia" w:asciiTheme="minorEastAsia" w:hAnsiTheme="minorEastAsia"/>
          <w:bCs/>
          <w:kern w:val="0"/>
          <w:sz w:val="32"/>
          <w:szCs w:val="32"/>
        </w:rPr>
        <w:t>1</w:t>
      </w:r>
      <w:r>
        <w:rPr>
          <w:rFonts w:asciiTheme="minorEastAsia" w:hAnsiTheme="minorEastAsia"/>
          <w:bCs/>
          <w:kern w:val="0"/>
          <w:sz w:val="32"/>
          <w:szCs w:val="32"/>
        </w:rPr>
        <w:t>年部门决算汇总公开单位构成包括：怀化市鹤城区</w:t>
      </w:r>
      <w:r>
        <w:rPr>
          <w:rFonts w:cs="宋体" w:asciiTheme="minorEastAsia" w:hAnsiTheme="minorEastAsia"/>
          <w:bCs/>
          <w:kern w:val="0"/>
          <w:sz w:val="32"/>
          <w:szCs w:val="32"/>
        </w:rPr>
        <w:t>老干部服务中心</w:t>
      </w:r>
      <w:r>
        <w:rPr>
          <w:rFonts w:asciiTheme="minorEastAsia" w:hAnsiTheme="minorEastAsia"/>
          <w:bCs/>
          <w:kern w:val="0"/>
          <w:sz w:val="32"/>
          <w:szCs w:val="32"/>
        </w:rPr>
        <w:t>本级。</w:t>
      </w:r>
    </w:p>
    <w:p>
      <w:pPr>
        <w:pStyle w:val="15"/>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both"/>
        <w:rPr>
          <w:sz w:val="72"/>
          <w:szCs w:val="72"/>
        </w:rPr>
      </w:pPr>
    </w:p>
    <w:p>
      <w:pPr>
        <w:pStyle w:val="2"/>
      </w:pPr>
    </w:p>
    <w:p>
      <w:pPr>
        <w:pStyle w:val="11"/>
        <w:jc w:val="center"/>
        <w:rPr>
          <w:sz w:val="84"/>
          <w:szCs w:val="84"/>
        </w:rPr>
      </w:pPr>
      <w:r>
        <w:rPr>
          <w:sz w:val="84"/>
          <w:szCs w:val="84"/>
        </w:rPr>
        <w:t>第二部分</w:t>
      </w:r>
    </w:p>
    <w:p>
      <w:pPr>
        <w:pStyle w:val="11"/>
        <w:jc w:val="center"/>
        <w:rPr>
          <w:sz w:val="84"/>
          <w:szCs w:val="84"/>
        </w:rPr>
      </w:pPr>
    </w:p>
    <w:p>
      <w:pPr>
        <w:pStyle w:val="11"/>
        <w:jc w:val="center"/>
        <w:rPr>
          <w:sz w:val="84"/>
          <w:szCs w:val="84"/>
        </w:rPr>
      </w:pPr>
      <w:r>
        <w:rPr>
          <w:sz w:val="84"/>
          <w:szCs w:val="84"/>
        </w:rPr>
        <w:t>部门决算表</w:t>
      </w:r>
      <w:r>
        <w:rPr>
          <w:sz w:val="84"/>
          <w:szCs w:val="84"/>
        </w:rPr>
        <w:br w:type="textWrapping"/>
      </w:r>
      <w:r>
        <w:rPr>
          <w:sz w:val="84"/>
          <w:szCs w:val="84"/>
        </w:rPr>
        <w:t>（表格见附件）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11"/>
        <w:jc w:val="both"/>
        <w:rPr>
          <w:sz w:val="72"/>
          <w:szCs w:val="72"/>
        </w:rPr>
      </w:pPr>
    </w:p>
    <w:p>
      <w:pPr>
        <w:pStyle w:val="11"/>
        <w:jc w:val="center"/>
        <w:rPr>
          <w:rFonts w:hint="eastAsia"/>
          <w:sz w:val="84"/>
          <w:szCs w:val="84"/>
        </w:rPr>
      </w:pPr>
    </w:p>
    <w:p>
      <w:pPr>
        <w:pStyle w:val="11"/>
        <w:jc w:val="both"/>
        <w:rPr>
          <w:rFonts w:hint="eastAsia"/>
          <w:sz w:val="84"/>
          <w:szCs w:val="84"/>
        </w:rPr>
      </w:pPr>
    </w:p>
    <w:p>
      <w:pPr>
        <w:pStyle w:val="11"/>
        <w:jc w:val="center"/>
        <w:rPr>
          <w:sz w:val="84"/>
          <w:szCs w:val="84"/>
        </w:rPr>
      </w:pPr>
      <w:r>
        <w:rPr>
          <w:rFonts w:hint="eastAsia"/>
          <w:sz w:val="84"/>
          <w:szCs w:val="84"/>
        </w:rPr>
        <w:t>第三部分</w:t>
      </w:r>
    </w:p>
    <w:p>
      <w:pPr>
        <w:pStyle w:val="11"/>
        <w:jc w:val="center"/>
        <w:rPr>
          <w:sz w:val="84"/>
          <w:szCs w:val="84"/>
        </w:rPr>
      </w:pPr>
    </w:p>
    <w:p>
      <w:pPr>
        <w:pStyle w:val="11"/>
        <w:jc w:val="center"/>
        <w:rPr>
          <w:sz w:val="84"/>
          <w:szCs w:val="84"/>
        </w:rPr>
      </w:pPr>
      <w:r>
        <w:rPr>
          <w:sz w:val="84"/>
          <w:szCs w:val="84"/>
        </w:rPr>
        <w:t>20</w:t>
      </w:r>
      <w:r>
        <w:rPr>
          <w:rFonts w:hint="eastAsia"/>
          <w:sz w:val="84"/>
          <w:szCs w:val="84"/>
        </w:rPr>
        <w:t>21年度部门决算情况说明</w:t>
      </w:r>
    </w:p>
    <w:p>
      <w:pPr>
        <w:widowControl/>
        <w:jc w:val="left"/>
        <w:rPr>
          <w:rFonts w:asciiTheme="minorEastAsia" w:hAnsiTheme="minorEastAsia" w:eastAsiaTheme="minorEastAsia"/>
          <w:sz w:val="32"/>
          <w:szCs w:val="32"/>
        </w:rPr>
      </w:pPr>
      <w:r>
        <w:rPr>
          <w:sz w:val="70"/>
          <w:szCs w:val="70"/>
        </w:rPr>
        <w:br w:type="page"/>
      </w:r>
    </w:p>
    <w:p>
      <w:pPr>
        <w:pStyle w:val="11"/>
        <w:rPr>
          <w:rFonts w:hAnsi="黑体"/>
          <w:b/>
          <w:color w:val="auto"/>
          <w:sz w:val="32"/>
          <w:szCs w:val="32"/>
        </w:rPr>
      </w:pPr>
      <w:r>
        <w:rPr>
          <w:rFonts w:hint="eastAsia" w:hAnsi="黑体"/>
          <w:b/>
          <w:color w:val="auto"/>
          <w:sz w:val="32"/>
          <w:szCs w:val="32"/>
        </w:rPr>
        <w:t>一、收入支出决算总体情况说明</w:t>
      </w:r>
    </w:p>
    <w:p>
      <w:pPr>
        <w:pStyle w:val="11"/>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2021年度收入合计334.89万元</w:t>
      </w:r>
      <w:r>
        <w:rPr>
          <w:rFonts w:hint="eastAsia" w:asciiTheme="minorEastAsia" w:hAnsiTheme="minorEastAsia" w:eastAsiaTheme="minorEastAsia"/>
          <w:color w:val="auto"/>
          <w:sz w:val="32"/>
          <w:szCs w:val="32"/>
          <w:lang w:eastAsia="zh-CN"/>
        </w:rPr>
        <w:t>，年初结转和结余1.17万元，收入总计336.06万元。</w:t>
      </w:r>
      <w:r>
        <w:rPr>
          <w:rFonts w:hint="eastAsia" w:asciiTheme="minorEastAsia" w:hAnsiTheme="minorEastAsia" w:eastAsiaTheme="minorEastAsia"/>
          <w:color w:val="auto"/>
          <w:sz w:val="32"/>
          <w:szCs w:val="32"/>
        </w:rPr>
        <w:t>与上年相比，增加108.44万元，增长32%，主要是因为人员以及</w:t>
      </w:r>
      <w:r>
        <w:rPr>
          <w:rFonts w:hint="eastAsia" w:asciiTheme="minorEastAsia" w:hAnsiTheme="minorEastAsia" w:eastAsiaTheme="minorEastAsia"/>
          <w:color w:val="auto"/>
          <w:sz w:val="32"/>
          <w:szCs w:val="32"/>
          <w:lang w:eastAsia="zh-CN"/>
        </w:rPr>
        <w:t>人员</w:t>
      </w:r>
      <w:r>
        <w:rPr>
          <w:rFonts w:hint="eastAsia" w:asciiTheme="minorEastAsia" w:hAnsiTheme="minorEastAsia" w:eastAsiaTheme="minorEastAsia"/>
          <w:color w:val="auto"/>
          <w:sz w:val="32"/>
          <w:szCs w:val="32"/>
        </w:rPr>
        <w:t>待遇增加。</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2021年度支出合计336.06万元。与上年相比，增加96.17万元，增长28%，主要是因为人员增加。</w:t>
      </w:r>
    </w:p>
    <w:p>
      <w:pPr>
        <w:pStyle w:val="11"/>
        <w:rPr>
          <w:rFonts w:hAnsi="黑体"/>
          <w:b/>
          <w:sz w:val="32"/>
          <w:szCs w:val="32"/>
        </w:rPr>
      </w:pPr>
      <w:r>
        <w:rPr>
          <w:rFonts w:hint="eastAsia" w:hAnsi="黑体"/>
          <w:b/>
          <w:sz w:val="32"/>
          <w:szCs w:val="32"/>
        </w:rPr>
        <w:t>二、收入决算情况说明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2021年度收入合计334.89万元，其中：财政拨款收入334.89万元，占100%；上级补助收入0万元，占0%；事业收入0万元，占0%；经营收入0万元，占0%；附属单位上缴收入0万元，占0%；</w:t>
      </w:r>
      <w:r>
        <w:rPr>
          <w:rFonts w:asciiTheme="minorEastAsia" w:hAnsiTheme="minorEastAsia" w:eastAsiaTheme="minorEastAsia"/>
          <w:sz w:val="32"/>
          <w:szCs w:val="32"/>
        </w:rPr>
        <w:t>其他收入0万元，占0%。</w:t>
      </w:r>
    </w:p>
    <w:p>
      <w:pPr>
        <w:pStyle w:val="11"/>
        <w:rPr>
          <w:rFonts w:hAnsi="黑体"/>
          <w:b/>
          <w:sz w:val="32"/>
          <w:szCs w:val="32"/>
        </w:rPr>
      </w:pPr>
      <w:r>
        <w:rPr>
          <w:rFonts w:hint="eastAsia" w:hAnsi="黑体"/>
          <w:b/>
          <w:sz w:val="32"/>
          <w:szCs w:val="32"/>
        </w:rPr>
        <w:t>三、支出决算情况说明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2021年度支出合计336.0</w:t>
      </w:r>
      <w:r>
        <w:rPr>
          <w:rFonts w:hint="eastAsia" w:asciiTheme="minorEastAsia" w:hAnsiTheme="minorEastAsia" w:eastAsiaTheme="minorEastAsia"/>
          <w:sz w:val="32"/>
          <w:szCs w:val="32"/>
          <w:lang w:val="en-US" w:eastAsia="zh-CN"/>
        </w:rPr>
        <w:t>6</w:t>
      </w:r>
      <w:r>
        <w:rPr>
          <w:rFonts w:hint="eastAsia" w:asciiTheme="minorEastAsia" w:hAnsiTheme="minorEastAsia" w:eastAsiaTheme="minorEastAsia"/>
          <w:sz w:val="32"/>
          <w:szCs w:val="32"/>
        </w:rPr>
        <w:t>万元，其中：基本支出209.2万元，占62%；项目支出126.85万元，占XX%；上缴上级支出0万元，占0%；经营支出0万元，占0%；对附属单位补助支出0万元，占0%。</w:t>
      </w:r>
    </w:p>
    <w:p>
      <w:pPr>
        <w:pStyle w:val="11"/>
        <w:rPr>
          <w:rFonts w:hAnsi="黑体"/>
          <w:b/>
          <w:sz w:val="32"/>
          <w:szCs w:val="32"/>
        </w:rPr>
      </w:pPr>
      <w:r>
        <w:rPr>
          <w:rFonts w:hint="eastAsia" w:hAnsi="黑体"/>
          <w:b/>
          <w:sz w:val="32"/>
          <w:szCs w:val="32"/>
        </w:rPr>
        <w:t>四、财政拨款收入支出决算总体情况说明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2021年度财政拨款收入合计334.89万元</w:t>
      </w:r>
      <w:r>
        <w:rPr>
          <w:rFonts w:hint="eastAsia" w:asciiTheme="minorEastAsia" w:hAnsiTheme="minorEastAsia" w:eastAsiaTheme="minorEastAsia"/>
          <w:sz w:val="32"/>
          <w:szCs w:val="32"/>
          <w:lang w:eastAsia="zh-CN"/>
        </w:rPr>
        <w:t>，年初财政拨款结转和结余1.17万元，收入总计336.06万元</w:t>
      </w:r>
      <w:r>
        <w:rPr>
          <w:rFonts w:hint="eastAsia" w:asciiTheme="minorEastAsia" w:hAnsiTheme="minorEastAsia" w:eastAsiaTheme="minorEastAsia"/>
          <w:sz w:val="32"/>
          <w:szCs w:val="32"/>
        </w:rPr>
        <w:t>。与上年相比，增加107.27万元，增长31%，主要是因为人员经费增加。</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2021年度财政拨款支出合计336.0</w:t>
      </w:r>
      <w:r>
        <w:rPr>
          <w:rFonts w:hint="eastAsia" w:asciiTheme="minorEastAsia" w:hAnsiTheme="minorEastAsia" w:eastAsiaTheme="minorEastAsia"/>
          <w:sz w:val="32"/>
          <w:szCs w:val="32"/>
          <w:lang w:val="en-US" w:eastAsia="zh-CN"/>
        </w:rPr>
        <w:t>6</w:t>
      </w:r>
      <w:r>
        <w:rPr>
          <w:rFonts w:hint="eastAsia" w:asciiTheme="minorEastAsia" w:hAnsiTheme="minorEastAsia" w:eastAsiaTheme="minorEastAsia"/>
          <w:sz w:val="32"/>
          <w:szCs w:val="32"/>
        </w:rPr>
        <w:t>万元。与上年相比，增加94.88万元，增长28%，主要是因为人员经费增加。</w:t>
      </w:r>
    </w:p>
    <w:p>
      <w:pPr>
        <w:pStyle w:val="11"/>
        <w:rPr>
          <w:rFonts w:hAnsi="黑体"/>
          <w:b/>
          <w:sz w:val="32"/>
          <w:szCs w:val="32"/>
        </w:rPr>
      </w:pPr>
      <w:r>
        <w:rPr>
          <w:rFonts w:hint="eastAsia" w:hAnsi="黑体"/>
          <w:b/>
          <w:sz w:val="32"/>
          <w:szCs w:val="32"/>
        </w:rPr>
        <w:t>五、一般公共预算财政拨款支出决算情况说明</w:t>
      </w:r>
    </w:p>
    <w:p>
      <w:pPr>
        <w:pStyle w:val="11"/>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2021年度财政拨款支出336.0</w:t>
      </w:r>
      <w:r>
        <w:rPr>
          <w:rFonts w:hint="eastAsia" w:asciiTheme="minorEastAsia" w:hAnsiTheme="minorEastAsia" w:eastAsiaTheme="minorEastAsia"/>
          <w:sz w:val="32"/>
          <w:szCs w:val="32"/>
          <w:lang w:val="en-US" w:eastAsia="zh-CN"/>
        </w:rPr>
        <w:t>6</w:t>
      </w:r>
      <w:r>
        <w:rPr>
          <w:rFonts w:hint="eastAsia" w:asciiTheme="minorEastAsia" w:hAnsiTheme="minorEastAsia" w:eastAsiaTheme="minorEastAsia"/>
          <w:sz w:val="32"/>
          <w:szCs w:val="32"/>
        </w:rPr>
        <w:t>万元，占本年支出合计的99%，与上年相比，财政拨款支出增加94.91万元，增长28%，主要是因为人员经费增加。</w:t>
      </w:r>
    </w:p>
    <w:p>
      <w:pPr>
        <w:pStyle w:val="11"/>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2021年度财政拨款支出336.05万元，主要用于以下方面：一般公共服务（类）支出296.1</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万元，占88%；教育（类）支出9万元，占2.88%;文化旅游体育与传媒支出3万元，占1%；社会保障和就业支出22.7</w:t>
      </w:r>
      <w:r>
        <w:rPr>
          <w:rFonts w:hint="eastAsia" w:asciiTheme="minorEastAsia" w:hAnsiTheme="minorEastAsia" w:eastAsiaTheme="minorEastAsia"/>
          <w:sz w:val="32"/>
          <w:szCs w:val="32"/>
          <w:lang w:val="en-US" w:eastAsia="zh-CN"/>
        </w:rPr>
        <w:t>9</w:t>
      </w:r>
      <w:r>
        <w:rPr>
          <w:rFonts w:hint="eastAsia" w:asciiTheme="minorEastAsia" w:hAnsiTheme="minorEastAsia" w:eastAsiaTheme="minorEastAsia"/>
          <w:sz w:val="32"/>
          <w:szCs w:val="32"/>
        </w:rPr>
        <w:t>万元，占6.7%；卫生健康支出5.16万元，占1.55%。</w:t>
      </w:r>
    </w:p>
    <w:p>
      <w:pPr>
        <w:pStyle w:val="11"/>
        <w:ind w:firstLine="800" w:firstLineChars="250"/>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（三）财政拨款支出决算具体情况</w:t>
      </w:r>
    </w:p>
    <w:p>
      <w:pPr>
        <w:pStyle w:val="11"/>
        <w:ind w:firstLine="800" w:firstLineChars="250"/>
        <w:rPr>
          <w:rFonts w:hint="eastAsia"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2021年度财政拨款支出年初预算数为336.05万元，支出决算数为336.05万元，完成年初预算的100%，其中：</w:t>
      </w:r>
    </w:p>
    <w:p>
      <w:pPr>
        <w:pStyle w:val="11"/>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1、一般公共服务支出</w:t>
      </w:r>
      <w:r>
        <w:rPr>
          <w:rFonts w:hint="eastAsia" w:asciiTheme="minorEastAsia" w:hAnsiTheme="minorEastAsia" w:eastAsiaTheme="minorEastAsia"/>
          <w:color w:val="auto"/>
          <w:sz w:val="32"/>
          <w:szCs w:val="32"/>
          <w:lang w:eastAsia="zh-CN"/>
        </w:rPr>
        <w:t>（</w:t>
      </w:r>
      <w:r>
        <w:rPr>
          <w:rFonts w:hint="eastAsia" w:asciiTheme="minorEastAsia" w:hAnsiTheme="minorEastAsia" w:eastAsiaTheme="minorEastAsia"/>
          <w:color w:val="auto"/>
          <w:sz w:val="32"/>
          <w:szCs w:val="32"/>
          <w:lang w:val="en-US" w:eastAsia="zh-CN"/>
        </w:rPr>
        <w:t>类</w:t>
      </w:r>
      <w:r>
        <w:rPr>
          <w:rFonts w:hint="eastAsia" w:asciiTheme="minorEastAsia" w:hAnsiTheme="minorEastAsia" w:eastAsiaTheme="minorEastAsia"/>
          <w:color w:val="auto"/>
          <w:sz w:val="32"/>
          <w:szCs w:val="32"/>
          <w:lang w:eastAsia="zh-CN"/>
        </w:rPr>
        <w:t>）</w:t>
      </w:r>
      <w:r>
        <w:rPr>
          <w:rFonts w:asciiTheme="minorEastAsia" w:hAnsiTheme="minorEastAsia" w:eastAsiaTheme="minorEastAsia"/>
          <w:color w:val="auto"/>
          <w:sz w:val="32"/>
          <w:szCs w:val="32"/>
        </w:rPr>
        <w:t>党委办公厅及相关机构事务</w:t>
      </w:r>
      <w:r>
        <w:rPr>
          <w:rFonts w:hint="eastAsia" w:asciiTheme="minorEastAsia" w:hAnsiTheme="minorEastAsia" w:eastAsiaTheme="minorEastAsia"/>
          <w:color w:val="auto"/>
          <w:sz w:val="32"/>
          <w:szCs w:val="32"/>
          <w:lang w:eastAsia="zh-CN"/>
        </w:rPr>
        <w:t>（</w:t>
      </w:r>
      <w:r>
        <w:rPr>
          <w:rFonts w:hint="eastAsia" w:asciiTheme="minorEastAsia" w:hAnsiTheme="minorEastAsia" w:eastAsiaTheme="minorEastAsia"/>
          <w:color w:val="auto"/>
          <w:sz w:val="32"/>
          <w:szCs w:val="32"/>
          <w:lang w:val="en-US" w:eastAsia="zh-CN"/>
        </w:rPr>
        <w:t>款</w:t>
      </w:r>
      <w:r>
        <w:rPr>
          <w:rFonts w:hint="eastAsia" w:asciiTheme="minorEastAsia" w:hAnsiTheme="minorEastAsia" w:eastAsiaTheme="minorEastAsia"/>
          <w:color w:val="auto"/>
          <w:sz w:val="32"/>
          <w:szCs w:val="32"/>
          <w:lang w:eastAsia="zh-CN"/>
        </w:rPr>
        <w:t>）</w:t>
      </w:r>
      <w:r>
        <w:rPr>
          <w:rFonts w:asciiTheme="minorEastAsia" w:hAnsiTheme="minorEastAsia" w:eastAsiaTheme="minorEastAsia"/>
          <w:color w:val="auto"/>
          <w:sz w:val="32"/>
          <w:szCs w:val="32"/>
        </w:rPr>
        <w:t>行政</w:t>
      </w:r>
      <w:r>
        <w:rPr>
          <w:rFonts w:hint="eastAsia" w:asciiTheme="minorEastAsia" w:hAnsiTheme="minorEastAsia" w:eastAsiaTheme="minorEastAsia"/>
          <w:color w:val="auto"/>
          <w:sz w:val="32"/>
          <w:szCs w:val="32"/>
          <w:lang w:val="en-US" w:eastAsia="zh-CN"/>
        </w:rPr>
        <w:t>运行</w:t>
      </w:r>
      <w:r>
        <w:rPr>
          <w:rFonts w:hint="eastAsia" w:asciiTheme="minorEastAsia" w:hAnsiTheme="minorEastAsia" w:eastAsiaTheme="minorEastAsia"/>
          <w:color w:val="auto"/>
          <w:sz w:val="32"/>
          <w:szCs w:val="32"/>
          <w:lang w:eastAsia="zh-CN"/>
        </w:rPr>
        <w:t>（</w:t>
      </w:r>
      <w:r>
        <w:rPr>
          <w:rFonts w:hint="eastAsia" w:asciiTheme="minorEastAsia" w:hAnsiTheme="minorEastAsia" w:eastAsiaTheme="minorEastAsia"/>
          <w:color w:val="auto"/>
          <w:sz w:val="32"/>
          <w:szCs w:val="32"/>
          <w:lang w:val="en-US" w:eastAsia="zh-CN"/>
        </w:rPr>
        <w:t>项</w:t>
      </w:r>
      <w:r>
        <w:rPr>
          <w:rFonts w:hint="eastAsia" w:asciiTheme="minorEastAsia" w:hAnsiTheme="minorEastAsia" w:eastAsiaTheme="minorEastAsia"/>
          <w:color w:val="auto"/>
          <w:sz w:val="32"/>
          <w:szCs w:val="32"/>
          <w:lang w:eastAsia="zh-CN"/>
        </w:rPr>
        <w:t>）</w:t>
      </w:r>
      <w:r>
        <w:rPr>
          <w:rFonts w:hint="eastAsia" w:asciiTheme="minorEastAsia" w:hAnsiTheme="minorEastAsia" w:eastAsiaTheme="minorEastAsia"/>
          <w:color w:val="auto"/>
          <w:sz w:val="32"/>
          <w:szCs w:val="32"/>
        </w:rPr>
        <w:t>。</w:t>
      </w:r>
    </w:p>
    <w:p>
      <w:pPr>
        <w:pStyle w:val="11"/>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hint="eastAsia" w:asciiTheme="minorEastAsia" w:hAnsiTheme="minorEastAsia" w:eastAsiaTheme="minorEastAsia"/>
          <w:color w:val="auto"/>
          <w:sz w:val="32"/>
          <w:szCs w:val="32"/>
          <w:lang w:val="en-US" w:eastAsia="zh-CN"/>
        </w:rPr>
      </w:pPr>
      <w:r>
        <w:rPr>
          <w:rFonts w:hint="eastAsia" w:asciiTheme="minorEastAsia" w:hAnsiTheme="minorEastAsia" w:eastAsiaTheme="minorEastAsia"/>
          <w:color w:val="auto"/>
          <w:sz w:val="32"/>
          <w:szCs w:val="32"/>
        </w:rPr>
        <w:t>年初预算为169.26万元，支出决算为</w:t>
      </w:r>
      <w:r>
        <w:rPr>
          <w:rFonts w:hint="eastAsia" w:asciiTheme="minorEastAsia" w:hAnsiTheme="minorEastAsia" w:eastAsiaTheme="minorEastAsia"/>
          <w:color w:val="auto"/>
          <w:sz w:val="32"/>
          <w:szCs w:val="32"/>
          <w:lang w:val="en-US" w:eastAsia="zh-CN"/>
        </w:rPr>
        <w:t>169.26</w:t>
      </w:r>
      <w:r>
        <w:rPr>
          <w:rFonts w:hint="eastAsia" w:asciiTheme="minorEastAsia" w:hAnsiTheme="minorEastAsia" w:eastAsiaTheme="minorEastAsia"/>
          <w:color w:val="auto"/>
          <w:sz w:val="32"/>
          <w:szCs w:val="32"/>
        </w:rPr>
        <w:t>万元，完成年初预算的100%，</w:t>
      </w:r>
      <w:r>
        <w:rPr>
          <w:rFonts w:asciiTheme="minorEastAsia" w:hAnsiTheme="minorEastAsia" w:eastAsiaTheme="minorEastAsia"/>
          <w:color w:val="auto"/>
          <w:sz w:val="32"/>
          <w:szCs w:val="32"/>
        </w:rPr>
        <w:t>决算数等于年初预算数</w:t>
      </w:r>
      <w:r>
        <w:rPr>
          <w:rFonts w:hint="eastAsia" w:asciiTheme="minorEastAsia" w:hAnsiTheme="minorEastAsia" w:eastAsiaTheme="minorEastAsia"/>
          <w:color w:val="auto"/>
          <w:sz w:val="32"/>
          <w:szCs w:val="32"/>
          <w:lang w:eastAsia="zh-CN"/>
        </w:rPr>
        <w:t>，</w:t>
      </w:r>
      <w:r>
        <w:rPr>
          <w:rFonts w:hint="eastAsia" w:asciiTheme="minorEastAsia" w:hAnsiTheme="minorEastAsia" w:eastAsiaTheme="minorEastAsia"/>
          <w:color w:val="auto"/>
          <w:sz w:val="32"/>
          <w:szCs w:val="32"/>
          <w:lang w:val="en-US" w:eastAsia="zh-CN"/>
        </w:rPr>
        <w:t>决算数等于年初预算数的。</w:t>
      </w:r>
    </w:p>
    <w:p>
      <w:pPr>
        <w:pStyle w:val="11"/>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hint="eastAsia" w:asciiTheme="minorEastAsia" w:hAnsiTheme="minorEastAsia" w:eastAsiaTheme="minorEastAsia"/>
          <w:color w:val="auto"/>
          <w:sz w:val="32"/>
          <w:szCs w:val="32"/>
          <w:lang w:val="en-US" w:eastAsia="zh-CN"/>
        </w:rPr>
      </w:pPr>
      <w:r>
        <w:rPr>
          <w:rFonts w:hint="eastAsia" w:asciiTheme="minorEastAsia" w:hAnsiTheme="minorEastAsia" w:eastAsiaTheme="minorEastAsia"/>
          <w:color w:val="auto"/>
          <w:sz w:val="32"/>
          <w:szCs w:val="32"/>
          <w:lang w:val="en-US" w:eastAsia="zh-CN"/>
        </w:rPr>
        <w:t>2、一般公共服务支出（类）党委办公厅及相关机构事务（款）一般行政管理事务（项）。</w:t>
      </w:r>
    </w:p>
    <w:p>
      <w:pPr>
        <w:pStyle w:val="11"/>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hint="default" w:eastAsia="黑体" w:asciiTheme="minorEastAsia" w:hAnsiTheme="minorEastAsia"/>
          <w:color w:val="auto"/>
          <w:sz w:val="32"/>
          <w:szCs w:val="32"/>
          <w:lang w:val="en-US" w:eastAsia="zh-CN"/>
        </w:rPr>
      </w:pPr>
      <w:r>
        <w:rPr>
          <w:rFonts w:hint="eastAsia" w:asciiTheme="minorEastAsia" w:hAnsiTheme="minorEastAsia" w:eastAsiaTheme="minorEastAsia"/>
          <w:color w:val="auto"/>
          <w:sz w:val="32"/>
          <w:szCs w:val="32"/>
          <w:lang w:val="en-US" w:eastAsia="zh-CN"/>
        </w:rPr>
        <w:t>年初预算为0万元，支出决算为126.85万元，无法计算完成率，决算数大于年初预算数的主要原因是：年中调整追加了预算。</w:t>
      </w:r>
    </w:p>
    <w:p>
      <w:pPr>
        <w:pStyle w:val="11"/>
        <w:ind w:firstLine="640" w:firstLineChars="200"/>
        <w:rPr>
          <w:rFonts w:hint="eastAsia" w:eastAsiaTheme="minorEastAsia"/>
          <w:color w:val="auto"/>
          <w:lang w:eastAsia="zh-CN"/>
        </w:rPr>
      </w:pPr>
      <w:r>
        <w:rPr>
          <w:rFonts w:hint="eastAsia" w:asciiTheme="minorEastAsia" w:hAnsiTheme="minorEastAsia" w:eastAsiaTheme="minorEastAsia"/>
          <w:sz w:val="32"/>
          <w:szCs w:val="32"/>
          <w:lang w:val="en-US" w:eastAsia="zh-CN"/>
        </w:rPr>
        <w:t>3</w:t>
      </w:r>
      <w:r>
        <w:rPr>
          <w:rFonts w:hint="eastAsia" w:asciiTheme="minorEastAsia" w:hAnsiTheme="minorEastAsia" w:eastAsiaTheme="minorEastAsia"/>
          <w:sz w:val="32"/>
          <w:szCs w:val="32"/>
        </w:rPr>
        <w:t>、</w:t>
      </w:r>
      <w:r>
        <w:rPr>
          <w:rFonts w:asciiTheme="minorEastAsia" w:hAnsiTheme="minorEastAsia" w:eastAsiaTheme="minorEastAsia"/>
          <w:color w:val="auto"/>
          <w:sz w:val="32"/>
          <w:szCs w:val="32"/>
        </w:rPr>
        <w:t>教育支出</w:t>
      </w:r>
      <w:r>
        <w:rPr>
          <w:rFonts w:hint="eastAsia" w:asciiTheme="minorEastAsia" w:hAnsiTheme="minorEastAsia" w:eastAsiaTheme="minorEastAsia"/>
          <w:color w:val="auto"/>
          <w:sz w:val="32"/>
          <w:szCs w:val="32"/>
          <w:lang w:eastAsia="zh-CN"/>
        </w:rPr>
        <w:t>（</w:t>
      </w:r>
      <w:r>
        <w:rPr>
          <w:rFonts w:hint="eastAsia" w:asciiTheme="minorEastAsia" w:hAnsiTheme="minorEastAsia" w:eastAsiaTheme="minorEastAsia"/>
          <w:color w:val="auto"/>
          <w:sz w:val="32"/>
          <w:szCs w:val="32"/>
          <w:lang w:val="en-US" w:eastAsia="zh-CN"/>
        </w:rPr>
        <w:t>类</w:t>
      </w:r>
      <w:r>
        <w:rPr>
          <w:rFonts w:hint="eastAsia" w:asciiTheme="minorEastAsia" w:hAnsiTheme="minorEastAsia" w:eastAsiaTheme="minorEastAsia"/>
          <w:color w:val="auto"/>
          <w:sz w:val="32"/>
          <w:szCs w:val="32"/>
          <w:lang w:eastAsia="zh-CN"/>
        </w:rPr>
        <w:t>）</w:t>
      </w:r>
      <w:r>
        <w:rPr>
          <w:rFonts w:hint="eastAsia" w:asciiTheme="minorEastAsia" w:hAnsiTheme="minorEastAsia" w:eastAsiaTheme="minorEastAsia"/>
          <w:color w:val="auto"/>
          <w:sz w:val="32"/>
          <w:szCs w:val="32"/>
          <w:lang w:val="en-US" w:eastAsia="zh-CN"/>
        </w:rPr>
        <w:t>成人教育（款）</w:t>
      </w:r>
      <w:r>
        <w:rPr>
          <w:rFonts w:hint="eastAsia" w:asciiTheme="minorEastAsia" w:hAnsiTheme="minorEastAsia" w:eastAsiaTheme="minorEastAsia"/>
          <w:color w:val="auto"/>
          <w:sz w:val="32"/>
          <w:szCs w:val="32"/>
        </w:rPr>
        <w:t>其他成人教育支出</w:t>
      </w:r>
      <w:r>
        <w:rPr>
          <w:rFonts w:hint="eastAsia" w:asciiTheme="minorEastAsia" w:hAnsiTheme="minorEastAsia" w:eastAsiaTheme="minorEastAsia"/>
          <w:color w:val="auto"/>
          <w:sz w:val="32"/>
          <w:szCs w:val="32"/>
          <w:lang w:eastAsia="zh-CN"/>
        </w:rPr>
        <w:t>（</w:t>
      </w:r>
      <w:r>
        <w:rPr>
          <w:rFonts w:hint="eastAsia" w:asciiTheme="minorEastAsia" w:hAnsiTheme="minorEastAsia" w:eastAsiaTheme="minorEastAsia"/>
          <w:color w:val="auto"/>
          <w:sz w:val="32"/>
          <w:szCs w:val="32"/>
          <w:lang w:val="en-US" w:eastAsia="zh-CN"/>
        </w:rPr>
        <w:t>项</w:t>
      </w:r>
      <w:r>
        <w:rPr>
          <w:rFonts w:hint="eastAsia" w:asciiTheme="minorEastAsia" w:hAnsiTheme="minorEastAsia" w:eastAsiaTheme="minorEastAsia"/>
          <w:color w:val="auto"/>
          <w:sz w:val="32"/>
          <w:szCs w:val="32"/>
          <w:lang w:eastAsia="zh-CN"/>
        </w:rPr>
        <w:t>）。</w:t>
      </w:r>
    </w:p>
    <w:p>
      <w:pPr>
        <w:pStyle w:val="11"/>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asciiTheme="minorEastAsia" w:hAnsiTheme="minorEastAsia" w:eastAsiaTheme="minorEastAsia"/>
          <w:color w:val="auto"/>
          <w:sz w:val="32"/>
          <w:szCs w:val="32"/>
        </w:rPr>
      </w:pPr>
      <w:r>
        <w:rPr>
          <w:rFonts w:asciiTheme="minorEastAsia" w:hAnsiTheme="minorEastAsia" w:eastAsiaTheme="minorEastAsia"/>
          <w:color w:val="auto"/>
          <w:sz w:val="32"/>
          <w:szCs w:val="32"/>
        </w:rPr>
        <w:t>年初预算为</w:t>
      </w:r>
      <w:r>
        <w:rPr>
          <w:rFonts w:hint="eastAsia" w:asciiTheme="minorEastAsia" w:hAnsiTheme="minorEastAsia" w:eastAsiaTheme="minorEastAsia"/>
          <w:color w:val="auto"/>
          <w:sz w:val="32"/>
          <w:szCs w:val="32"/>
        </w:rPr>
        <w:t>9</w:t>
      </w:r>
      <w:r>
        <w:rPr>
          <w:rFonts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rPr>
        <w:t>9</w:t>
      </w:r>
      <w:r>
        <w:rPr>
          <w:rFonts w:asciiTheme="minorEastAsia" w:hAnsiTheme="minorEastAsia" w:eastAsiaTheme="minorEastAsia"/>
          <w:color w:val="auto"/>
          <w:sz w:val="32"/>
          <w:szCs w:val="32"/>
        </w:rPr>
        <w:t>万元，完成年初预算的100%，决算数等于年初预算数。</w:t>
      </w:r>
    </w:p>
    <w:p>
      <w:pPr>
        <w:pStyle w:val="11"/>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lang w:val="en-US" w:eastAsia="zh-CN"/>
        </w:rPr>
        <w:t>4</w:t>
      </w:r>
      <w:r>
        <w:rPr>
          <w:rFonts w:hint="eastAsia" w:asciiTheme="minorEastAsia" w:hAnsiTheme="minorEastAsia" w:eastAsiaTheme="minorEastAsia"/>
          <w:sz w:val="32"/>
          <w:szCs w:val="32"/>
        </w:rPr>
        <w:t>、文化旅游体育与传媒支出</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类</w:t>
      </w:r>
      <w:r>
        <w:rPr>
          <w:rFonts w:hint="eastAsia" w:asciiTheme="minorEastAsia" w:hAnsiTheme="minorEastAsia" w:eastAsiaTheme="minorEastAsia"/>
          <w:sz w:val="32"/>
          <w:szCs w:val="32"/>
          <w:lang w:eastAsia="zh-CN"/>
        </w:rPr>
        <w:t>）其他文化旅游体育与传媒支出（</w:t>
      </w:r>
      <w:r>
        <w:rPr>
          <w:rFonts w:hint="eastAsia" w:asciiTheme="minorEastAsia" w:hAnsiTheme="minorEastAsia" w:eastAsiaTheme="minorEastAsia"/>
          <w:sz w:val="32"/>
          <w:szCs w:val="32"/>
          <w:lang w:val="en-US" w:eastAsia="zh-CN"/>
        </w:rPr>
        <w:t>款</w:t>
      </w:r>
      <w:r>
        <w:rPr>
          <w:rFonts w:hint="eastAsia" w:asciiTheme="minorEastAsia" w:hAnsiTheme="minorEastAsia" w:eastAsiaTheme="minorEastAsia"/>
          <w:sz w:val="32"/>
          <w:szCs w:val="32"/>
          <w:lang w:eastAsia="zh-CN"/>
        </w:rPr>
        <w:t>）其他文化旅游体育与传媒支出（</w:t>
      </w:r>
      <w:r>
        <w:rPr>
          <w:rFonts w:hint="eastAsia" w:asciiTheme="minorEastAsia" w:hAnsiTheme="minorEastAsia" w:eastAsiaTheme="minorEastAsia"/>
          <w:sz w:val="32"/>
          <w:szCs w:val="32"/>
          <w:lang w:val="en-US" w:eastAsia="zh-CN"/>
        </w:rPr>
        <w:t>项</w:t>
      </w:r>
      <w:r>
        <w:rPr>
          <w:rFonts w:hint="eastAsia" w:asciiTheme="minorEastAsia" w:hAnsiTheme="minorEastAsia" w:eastAsiaTheme="minorEastAsia"/>
          <w:sz w:val="32"/>
          <w:szCs w:val="32"/>
          <w:lang w:eastAsia="zh-CN"/>
        </w:rPr>
        <w:t>）。</w:t>
      </w:r>
    </w:p>
    <w:p>
      <w:pPr>
        <w:pStyle w:val="11"/>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asciiTheme="minorEastAsia" w:hAnsiTheme="minorEastAsia" w:eastAsiaTheme="minorEastAsia"/>
          <w:color w:val="auto"/>
          <w:sz w:val="32"/>
          <w:szCs w:val="32"/>
        </w:rPr>
      </w:pPr>
      <w:r>
        <w:rPr>
          <w:rFonts w:hint="eastAsia" w:asciiTheme="minorEastAsia" w:hAnsiTheme="minorEastAsia" w:eastAsiaTheme="minorEastAsia"/>
          <w:sz w:val="32"/>
          <w:szCs w:val="32"/>
        </w:rPr>
        <w:t>年初预算为3万元，支出决算为3万元，完成年初预算的100%，</w:t>
      </w:r>
      <w:r>
        <w:rPr>
          <w:rFonts w:asciiTheme="minorEastAsia" w:hAnsiTheme="minorEastAsia" w:eastAsiaTheme="minorEastAsia"/>
          <w:color w:val="auto"/>
          <w:sz w:val="32"/>
          <w:szCs w:val="32"/>
        </w:rPr>
        <w:t>决算数等于年初预算数。</w:t>
      </w:r>
    </w:p>
    <w:p>
      <w:pPr>
        <w:pStyle w:val="11"/>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color w:val="auto"/>
          <w:sz w:val="32"/>
          <w:szCs w:val="32"/>
          <w:lang w:val="en-US" w:eastAsia="zh-CN"/>
        </w:rPr>
        <w:t>5、</w:t>
      </w:r>
      <w:r>
        <w:rPr>
          <w:rFonts w:hint="eastAsia" w:asciiTheme="minorEastAsia" w:hAnsiTheme="minorEastAsia" w:eastAsiaTheme="minorEastAsia"/>
          <w:sz w:val="32"/>
          <w:szCs w:val="32"/>
        </w:rPr>
        <w:t>社会保障和就业支出</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类</w:t>
      </w:r>
      <w:r>
        <w:rPr>
          <w:rFonts w:hint="eastAsia" w:asciiTheme="minorEastAsia" w:hAnsiTheme="minorEastAsia" w:eastAsiaTheme="minorEastAsia"/>
          <w:sz w:val="32"/>
          <w:szCs w:val="32"/>
          <w:lang w:eastAsia="zh-CN"/>
        </w:rPr>
        <w:t>）行政事业单位养老支出（</w:t>
      </w:r>
      <w:r>
        <w:rPr>
          <w:rFonts w:hint="eastAsia" w:asciiTheme="minorEastAsia" w:hAnsiTheme="minorEastAsia" w:eastAsiaTheme="minorEastAsia"/>
          <w:sz w:val="32"/>
          <w:szCs w:val="32"/>
          <w:lang w:val="en-US" w:eastAsia="zh-CN"/>
        </w:rPr>
        <w:t>款</w:t>
      </w:r>
      <w:r>
        <w:rPr>
          <w:rFonts w:hint="eastAsia" w:asciiTheme="minorEastAsia" w:hAnsiTheme="minorEastAsia" w:eastAsiaTheme="minorEastAsia"/>
          <w:sz w:val="32"/>
          <w:szCs w:val="32"/>
          <w:lang w:eastAsia="zh-CN"/>
        </w:rPr>
        <w:t>）行政单位离退休（</w:t>
      </w:r>
      <w:r>
        <w:rPr>
          <w:rFonts w:hint="eastAsia" w:asciiTheme="minorEastAsia" w:hAnsiTheme="minorEastAsia" w:eastAsiaTheme="minorEastAsia"/>
          <w:sz w:val="32"/>
          <w:szCs w:val="32"/>
          <w:lang w:val="en-US" w:eastAsia="zh-CN"/>
        </w:rPr>
        <w:t>项</w:t>
      </w:r>
      <w:r>
        <w:rPr>
          <w:rFonts w:hint="eastAsia" w:asciiTheme="minorEastAsia" w:hAnsiTheme="minorEastAsia" w:eastAsiaTheme="minorEastAsia"/>
          <w:sz w:val="32"/>
          <w:szCs w:val="32"/>
          <w:lang w:eastAsia="zh-CN"/>
        </w:rPr>
        <w:t>）。</w:t>
      </w:r>
    </w:p>
    <w:p>
      <w:pPr>
        <w:pStyle w:val="11"/>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hint="default" w:eastAsiaTheme="minorEastAsia"/>
          <w:lang w:val="en-US"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1.02</w:t>
      </w:r>
      <w:r>
        <w:rPr>
          <w:rFonts w:hint="eastAsia" w:asciiTheme="minorEastAsia" w:hAnsiTheme="minorEastAsia" w:eastAsiaTheme="minorEastAsia"/>
          <w:sz w:val="32"/>
          <w:szCs w:val="32"/>
        </w:rPr>
        <w:t>万元，无法计算完成率，决算数大于年初预算数的主要原因是：</w:t>
      </w:r>
      <w:r>
        <w:rPr>
          <w:rFonts w:hint="eastAsia" w:asciiTheme="minorEastAsia" w:hAnsiTheme="minorEastAsia" w:eastAsiaTheme="minorEastAsia"/>
          <w:sz w:val="32"/>
          <w:szCs w:val="32"/>
          <w:lang w:val="en-US" w:eastAsia="zh-CN"/>
        </w:rPr>
        <w:t>人员变化。</w:t>
      </w:r>
    </w:p>
    <w:p>
      <w:pPr>
        <w:pStyle w:val="11"/>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hint="eastAsia" w:asciiTheme="minorEastAsia" w:hAnsiTheme="minorEastAsia" w:eastAsiaTheme="minorEastAsia"/>
          <w:color w:val="auto"/>
          <w:sz w:val="32"/>
          <w:szCs w:val="32"/>
          <w:lang w:val="en-US" w:eastAsia="zh-CN"/>
        </w:rPr>
      </w:pPr>
      <w:r>
        <w:rPr>
          <w:rFonts w:hint="eastAsia" w:asciiTheme="minorEastAsia" w:hAnsiTheme="minorEastAsia" w:eastAsiaTheme="minorEastAsia"/>
          <w:color w:val="auto"/>
          <w:sz w:val="32"/>
          <w:szCs w:val="32"/>
          <w:lang w:val="en-US" w:eastAsia="zh-CN"/>
        </w:rPr>
        <w:t>6、社会保障和就业支出（类）行政事业单位养老支出（款）机关事业单位基本养老保险缴费支出（项）。</w:t>
      </w:r>
    </w:p>
    <w:p>
      <w:pPr>
        <w:pStyle w:val="11"/>
        <w:keepNext w:val="0"/>
        <w:keepLines w:val="0"/>
        <w:pageBreakBefore w:val="0"/>
        <w:widowControl w:val="0"/>
        <w:kinsoku/>
        <w:wordWrap/>
        <w:overflowPunct/>
        <w:topLinePunct w:val="0"/>
        <w:autoSpaceDE w:val="0"/>
        <w:autoSpaceDN w:val="0"/>
        <w:bidi w:val="0"/>
        <w:adjustRightInd w:val="0"/>
        <w:snapToGrid/>
        <w:ind w:firstLine="640" w:firstLineChars="200"/>
        <w:textAlignment w:val="auto"/>
      </w:pPr>
      <w:r>
        <w:rPr>
          <w:rFonts w:hint="eastAsia" w:asciiTheme="minorEastAsia" w:hAnsiTheme="minorEastAsia" w:eastAsiaTheme="minorEastAsia"/>
          <w:color w:val="auto"/>
          <w:sz w:val="32"/>
          <w:szCs w:val="32"/>
          <w:lang w:val="en-US" w:eastAsia="zh-CN"/>
        </w:rPr>
        <w:t>年初预算为0万元，支出决算为13.36万元，无法计算完成率，决算数大于年初预算数的主要原因是：</w:t>
      </w:r>
      <w:r>
        <w:rPr>
          <w:rFonts w:hint="eastAsia" w:asciiTheme="minorEastAsia" w:hAnsiTheme="minorEastAsia" w:eastAsiaTheme="minorEastAsia"/>
          <w:sz w:val="32"/>
          <w:szCs w:val="32"/>
          <w:lang w:val="en-US" w:eastAsia="zh-CN"/>
        </w:rPr>
        <w:t>人员变化。</w:t>
      </w:r>
    </w:p>
    <w:p>
      <w:pPr>
        <w:pStyle w:val="11"/>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hint="eastAsia" w:asciiTheme="minorEastAsia" w:hAnsiTheme="minorEastAsia" w:eastAsiaTheme="minorEastAsia"/>
          <w:color w:val="auto"/>
          <w:sz w:val="32"/>
          <w:szCs w:val="32"/>
          <w:lang w:val="en-US" w:eastAsia="zh-CN"/>
        </w:rPr>
      </w:pPr>
      <w:r>
        <w:rPr>
          <w:rFonts w:hint="eastAsia" w:asciiTheme="minorEastAsia" w:hAnsiTheme="minorEastAsia" w:eastAsiaTheme="minorEastAsia"/>
          <w:color w:val="auto"/>
          <w:sz w:val="32"/>
          <w:szCs w:val="32"/>
          <w:lang w:val="en-US" w:eastAsia="zh-CN"/>
        </w:rPr>
        <w:t>7、社会保障和就业支出（类）其他社会保障和就业支出（款）其他社会保障和就业支出（项）。</w:t>
      </w:r>
    </w:p>
    <w:p>
      <w:pPr>
        <w:pStyle w:val="11"/>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hint="eastAsia" w:asciiTheme="minorEastAsia" w:hAnsiTheme="minorEastAsia" w:eastAsiaTheme="minorEastAsia"/>
          <w:color w:val="auto"/>
          <w:sz w:val="32"/>
          <w:szCs w:val="32"/>
          <w:lang w:val="en-US" w:eastAsia="zh-CN"/>
        </w:rPr>
      </w:pPr>
      <w:r>
        <w:rPr>
          <w:rFonts w:hint="eastAsia" w:asciiTheme="minorEastAsia" w:hAnsiTheme="minorEastAsia" w:eastAsiaTheme="minorEastAsia"/>
          <w:color w:val="auto"/>
          <w:sz w:val="32"/>
          <w:szCs w:val="32"/>
          <w:lang w:val="en-US" w:eastAsia="zh-CN"/>
        </w:rPr>
        <w:t>年初预算为0万元，支出决算为8.40万元，无法计算完成率，决算数大于年初预算数的主要原因是：</w:t>
      </w:r>
      <w:r>
        <w:rPr>
          <w:rFonts w:hint="eastAsia" w:asciiTheme="minorEastAsia" w:hAnsiTheme="minorEastAsia" w:eastAsiaTheme="minorEastAsia"/>
          <w:sz w:val="32"/>
          <w:szCs w:val="32"/>
          <w:lang w:val="en-US" w:eastAsia="zh-CN"/>
        </w:rPr>
        <w:t>人员变化。</w:t>
      </w:r>
    </w:p>
    <w:p>
      <w:pPr>
        <w:pStyle w:val="11"/>
        <w:rPr>
          <w:rFonts w:hint="eastAsia" w:asciiTheme="minorEastAsia" w:hAnsiTheme="minorEastAsia" w:eastAsiaTheme="minorEastAsia"/>
          <w:color w:val="auto"/>
          <w:sz w:val="32"/>
          <w:szCs w:val="32"/>
          <w:lang w:eastAsia="zh-CN"/>
        </w:rPr>
      </w:pPr>
      <w:r>
        <w:rPr>
          <w:rFonts w:hint="eastAsia" w:asciiTheme="minorEastAsia" w:hAnsiTheme="minorEastAsia" w:eastAsiaTheme="minorEastAsia"/>
          <w:color w:val="auto"/>
          <w:sz w:val="32"/>
          <w:szCs w:val="32"/>
        </w:rPr>
        <w:t xml:space="preserve">    </w:t>
      </w:r>
      <w:r>
        <w:rPr>
          <w:rFonts w:hint="eastAsia" w:asciiTheme="minorEastAsia" w:hAnsiTheme="minorEastAsia" w:eastAsiaTheme="minorEastAsia"/>
          <w:color w:val="auto"/>
          <w:sz w:val="32"/>
          <w:szCs w:val="32"/>
          <w:lang w:val="en-US" w:eastAsia="zh-CN"/>
        </w:rPr>
        <w:t>8</w:t>
      </w:r>
      <w:r>
        <w:rPr>
          <w:rFonts w:hint="eastAsia" w:asciiTheme="minorEastAsia" w:hAnsiTheme="minorEastAsia" w:eastAsiaTheme="minorEastAsia"/>
          <w:color w:val="auto"/>
          <w:sz w:val="32"/>
          <w:szCs w:val="32"/>
        </w:rPr>
        <w:t>、卫生健康支出</w:t>
      </w:r>
      <w:r>
        <w:rPr>
          <w:rFonts w:hint="eastAsia" w:asciiTheme="minorEastAsia" w:hAnsiTheme="minorEastAsia" w:eastAsiaTheme="minorEastAsia"/>
          <w:color w:val="auto"/>
          <w:sz w:val="32"/>
          <w:szCs w:val="32"/>
          <w:lang w:eastAsia="zh-CN"/>
        </w:rPr>
        <w:t>（</w:t>
      </w:r>
      <w:r>
        <w:rPr>
          <w:rFonts w:hint="eastAsia" w:asciiTheme="minorEastAsia" w:hAnsiTheme="minorEastAsia" w:eastAsiaTheme="minorEastAsia"/>
          <w:color w:val="auto"/>
          <w:sz w:val="32"/>
          <w:szCs w:val="32"/>
          <w:lang w:val="en-US" w:eastAsia="zh-CN"/>
        </w:rPr>
        <w:t>类</w:t>
      </w:r>
      <w:r>
        <w:rPr>
          <w:rFonts w:hint="eastAsia" w:asciiTheme="minorEastAsia" w:hAnsiTheme="minorEastAsia" w:eastAsiaTheme="minorEastAsia"/>
          <w:color w:val="auto"/>
          <w:sz w:val="32"/>
          <w:szCs w:val="32"/>
          <w:lang w:eastAsia="zh-CN"/>
        </w:rPr>
        <w:t>）行政事业单位医疗（</w:t>
      </w:r>
      <w:r>
        <w:rPr>
          <w:rFonts w:hint="eastAsia" w:asciiTheme="minorEastAsia" w:hAnsiTheme="minorEastAsia" w:eastAsiaTheme="minorEastAsia"/>
          <w:color w:val="auto"/>
          <w:sz w:val="32"/>
          <w:szCs w:val="32"/>
          <w:lang w:val="en-US" w:eastAsia="zh-CN"/>
        </w:rPr>
        <w:t>款</w:t>
      </w:r>
      <w:r>
        <w:rPr>
          <w:rFonts w:hint="eastAsia" w:asciiTheme="minorEastAsia" w:hAnsiTheme="minorEastAsia" w:eastAsiaTheme="minorEastAsia"/>
          <w:color w:val="auto"/>
          <w:sz w:val="32"/>
          <w:szCs w:val="32"/>
          <w:lang w:eastAsia="zh-CN"/>
        </w:rPr>
        <w:t>）行政单位医疗（</w:t>
      </w:r>
      <w:r>
        <w:rPr>
          <w:rFonts w:hint="eastAsia" w:asciiTheme="minorEastAsia" w:hAnsiTheme="minorEastAsia" w:eastAsiaTheme="minorEastAsia"/>
          <w:color w:val="auto"/>
          <w:sz w:val="32"/>
          <w:szCs w:val="32"/>
          <w:lang w:val="en-US" w:eastAsia="zh-CN"/>
        </w:rPr>
        <w:t>项</w:t>
      </w:r>
      <w:r>
        <w:rPr>
          <w:rFonts w:hint="eastAsia" w:asciiTheme="minorEastAsia" w:hAnsiTheme="minorEastAsia" w:eastAsiaTheme="minorEastAsia"/>
          <w:color w:val="auto"/>
          <w:sz w:val="32"/>
          <w:szCs w:val="32"/>
          <w:lang w:eastAsia="zh-CN"/>
        </w:rPr>
        <w:t>）。</w:t>
      </w:r>
    </w:p>
    <w:p>
      <w:pPr>
        <w:pStyle w:val="11"/>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asciiTheme="minorEastAsia" w:hAnsiTheme="minorEastAsia" w:eastAsiaTheme="minorEastAsia"/>
          <w:color w:val="auto"/>
          <w:sz w:val="32"/>
          <w:szCs w:val="32"/>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3.68</w:t>
      </w:r>
      <w:r>
        <w:rPr>
          <w:rFonts w:hint="eastAsia" w:asciiTheme="minorEastAsia" w:hAnsiTheme="minorEastAsia" w:eastAsiaTheme="minorEastAsia"/>
          <w:sz w:val="32"/>
          <w:szCs w:val="32"/>
        </w:rPr>
        <w:t>万元，支出决算为3.68万元，完成年初预算的100%，</w:t>
      </w:r>
      <w:r>
        <w:rPr>
          <w:rFonts w:hint="eastAsia" w:asciiTheme="minorEastAsia" w:hAnsiTheme="minorEastAsia" w:eastAsiaTheme="minorEastAsia"/>
          <w:sz w:val="32"/>
          <w:szCs w:val="32"/>
          <w:lang w:eastAsia="zh-CN"/>
        </w:rPr>
        <w:t>决算数</w:t>
      </w:r>
      <w:r>
        <w:rPr>
          <w:rFonts w:asciiTheme="minorEastAsia" w:hAnsiTheme="minorEastAsia" w:eastAsiaTheme="minorEastAsia"/>
          <w:color w:val="auto"/>
          <w:sz w:val="32"/>
          <w:szCs w:val="32"/>
        </w:rPr>
        <w:t>等于年初预算数。</w:t>
      </w:r>
    </w:p>
    <w:p>
      <w:pPr>
        <w:pStyle w:val="11"/>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hint="eastAsia" w:asciiTheme="minorEastAsia" w:hAnsiTheme="minorEastAsia" w:eastAsiaTheme="minorEastAsia"/>
          <w:color w:val="auto"/>
          <w:sz w:val="32"/>
          <w:szCs w:val="32"/>
          <w:lang w:val="en-US" w:eastAsia="zh-CN"/>
        </w:rPr>
      </w:pPr>
      <w:r>
        <w:rPr>
          <w:rFonts w:hint="eastAsia" w:asciiTheme="minorEastAsia" w:hAnsiTheme="minorEastAsia" w:eastAsiaTheme="minorEastAsia"/>
          <w:color w:val="auto"/>
          <w:sz w:val="32"/>
          <w:szCs w:val="32"/>
          <w:lang w:val="en-US" w:eastAsia="zh-CN"/>
        </w:rPr>
        <w:t>9、卫生健康支出（类）行政事业单位医疗（款）事业单位医疗疗（项）。</w:t>
      </w:r>
    </w:p>
    <w:p>
      <w:pPr>
        <w:pStyle w:val="11"/>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hint="eastAsia" w:asciiTheme="minorEastAsia" w:hAnsiTheme="minorEastAsia" w:eastAsiaTheme="minorEastAsia"/>
          <w:color w:val="auto"/>
          <w:sz w:val="32"/>
          <w:szCs w:val="32"/>
          <w:lang w:val="en-US" w:eastAsia="zh-CN"/>
        </w:rPr>
      </w:pPr>
      <w:r>
        <w:rPr>
          <w:rFonts w:hint="eastAsia" w:asciiTheme="minorEastAsia" w:hAnsiTheme="minorEastAsia" w:eastAsiaTheme="minorEastAsia"/>
          <w:color w:val="auto"/>
          <w:sz w:val="32"/>
          <w:szCs w:val="32"/>
          <w:lang w:val="en-US" w:eastAsia="zh-CN"/>
        </w:rPr>
        <w:t>年初预算为1.49万元，支出决算为1.49万元，完成年初预算的100%，决算数等于年初预算数。</w:t>
      </w:r>
    </w:p>
    <w:p>
      <w:pPr>
        <w:pStyle w:val="11"/>
        <w:rPr>
          <w:rFonts w:hAnsi="黑体"/>
          <w:b/>
          <w:sz w:val="32"/>
          <w:szCs w:val="32"/>
        </w:rPr>
      </w:pPr>
      <w:r>
        <w:rPr>
          <w:rFonts w:hint="eastAsia" w:hAnsi="黑体"/>
          <w:b/>
          <w:sz w:val="32"/>
          <w:szCs w:val="32"/>
        </w:rPr>
        <w:t>六、一般公共预算财政拨款基本支出决算情况说明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2021年度财政拨款基本支出209.2万元，其中：人员经费143.29万元，占基本支出的68%,</w:t>
      </w:r>
      <w:r>
        <w:rPr>
          <w:rFonts w:asciiTheme="minorEastAsia" w:hAnsiTheme="minorEastAsia" w:eastAsiaTheme="minorEastAsia"/>
          <w:sz w:val="32"/>
          <w:szCs w:val="32"/>
        </w:rPr>
        <w:t>主要包括基本工资、津贴补贴、奖金、伙食补助费、职工基本医疗保险缴费、其他社会保障缴费、其他工资福利支出；</w:t>
      </w:r>
      <w:r>
        <w:rPr>
          <w:rFonts w:hint="eastAsia" w:asciiTheme="minorEastAsia" w:hAnsiTheme="minorEastAsia" w:eastAsiaTheme="minorEastAsia"/>
          <w:sz w:val="32"/>
          <w:szCs w:val="32"/>
        </w:rPr>
        <w:t>公用经费65.91万元，占基本支出的32%，</w:t>
      </w:r>
      <w:r>
        <w:rPr>
          <w:rFonts w:asciiTheme="minorEastAsia" w:hAnsiTheme="minorEastAsia" w:eastAsiaTheme="minorEastAsia"/>
          <w:sz w:val="32"/>
          <w:szCs w:val="32"/>
        </w:rPr>
        <w:t>主要包括办公费、印刷费、咨询费、手续费、水费、电费、工会经费、其他交通费用。</w:t>
      </w:r>
    </w:p>
    <w:p>
      <w:pPr>
        <w:pStyle w:val="11"/>
        <w:rPr>
          <w:rFonts w:hAnsi="黑体"/>
          <w:b/>
          <w:sz w:val="32"/>
          <w:szCs w:val="32"/>
        </w:rPr>
      </w:pPr>
      <w:r>
        <w:rPr>
          <w:rFonts w:hint="eastAsia" w:hAnsi="黑体"/>
          <w:b/>
          <w:sz w:val="32"/>
          <w:szCs w:val="32"/>
        </w:rPr>
        <w:t>七、一般公共预算财政拨款“三公”经费支出决算情况说明</w:t>
      </w:r>
    </w:p>
    <w:p>
      <w:pPr>
        <w:pStyle w:val="11"/>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2021年度“三公”经费财政拨款支出预算为0万元，支出决算为0万元，</w:t>
      </w:r>
      <w:r>
        <w:rPr>
          <w:rFonts w:hint="eastAsia" w:asciiTheme="minorEastAsia" w:hAnsiTheme="minorEastAsia" w:eastAsiaTheme="minorEastAsia"/>
          <w:sz w:val="32"/>
          <w:szCs w:val="32"/>
          <w:lang w:val="en-US" w:eastAsia="zh-CN"/>
        </w:rPr>
        <w:t>由于预算数为0，无法计算百分比</w:t>
      </w:r>
      <w:r>
        <w:rPr>
          <w:rFonts w:hint="eastAsia" w:asciiTheme="minorEastAsia" w:hAnsiTheme="minorEastAsia" w:eastAsiaTheme="minorEastAsia"/>
          <w:sz w:val="32"/>
          <w:szCs w:val="32"/>
        </w:rPr>
        <w:t>，其中：</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因公出国（境）费支出预算为0万元，支出决算为0万元，</w:t>
      </w:r>
      <w:r>
        <w:rPr>
          <w:rFonts w:hint="eastAsia" w:asciiTheme="minorEastAsia" w:hAnsiTheme="minorEastAsia" w:eastAsiaTheme="minorEastAsia"/>
          <w:sz w:val="32"/>
          <w:szCs w:val="32"/>
          <w:lang w:val="en-US" w:eastAsia="zh-CN"/>
        </w:rPr>
        <w:t>由于预算数为0，无法计算百分比</w:t>
      </w:r>
      <w:r>
        <w:rPr>
          <w:rFonts w:hint="eastAsia" w:asciiTheme="minorEastAsia" w:hAnsiTheme="minorEastAsia" w:eastAsiaTheme="minorEastAsia"/>
          <w:sz w:val="32"/>
          <w:szCs w:val="32"/>
        </w:rPr>
        <w:t>。</w:t>
      </w:r>
    </w:p>
    <w:p>
      <w:pPr>
        <w:pStyle w:val="11"/>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公务接待费支出预算为0万元，支出决算为0万元，</w:t>
      </w:r>
      <w:r>
        <w:rPr>
          <w:rFonts w:hint="eastAsia" w:asciiTheme="minorEastAsia" w:hAnsiTheme="minorEastAsia" w:eastAsiaTheme="minorEastAsia"/>
          <w:sz w:val="32"/>
          <w:szCs w:val="32"/>
          <w:lang w:val="en-US" w:eastAsia="zh-CN"/>
        </w:rPr>
        <w:t>由于预算数为0，无法计算百分比</w:t>
      </w:r>
      <w:r>
        <w:rPr>
          <w:rFonts w:hint="eastAsia" w:asciiTheme="minorEastAsia" w:hAnsiTheme="minorEastAsia" w:eastAsiaTheme="minorEastAsia"/>
          <w:sz w:val="32"/>
          <w:szCs w:val="32"/>
        </w:rPr>
        <w:t>。</w:t>
      </w:r>
    </w:p>
    <w:p>
      <w:pPr>
        <w:pStyle w:val="11"/>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公务用车购置费支出预算为0万元，支出决算为0万元，</w:t>
      </w:r>
      <w:r>
        <w:rPr>
          <w:rFonts w:hint="eastAsia" w:asciiTheme="minorEastAsia" w:hAnsiTheme="minorEastAsia" w:eastAsiaTheme="minorEastAsia"/>
          <w:sz w:val="32"/>
          <w:szCs w:val="32"/>
          <w:lang w:val="en-US" w:eastAsia="zh-CN"/>
        </w:rPr>
        <w:t>由于预算数为0，无法计算百分比</w:t>
      </w:r>
      <w:r>
        <w:rPr>
          <w:rFonts w:hint="eastAsia" w:asciiTheme="minorEastAsia" w:hAnsiTheme="minorEastAsia" w:eastAsiaTheme="minorEastAsia"/>
          <w:sz w:val="32"/>
          <w:szCs w:val="32"/>
        </w:rPr>
        <w:t>。</w:t>
      </w:r>
    </w:p>
    <w:p>
      <w:pPr>
        <w:pStyle w:val="11"/>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公务用车运行维护费支出预算为0万元，支出决算为0万元，</w:t>
      </w:r>
      <w:r>
        <w:rPr>
          <w:rFonts w:hint="eastAsia" w:asciiTheme="minorEastAsia" w:hAnsiTheme="minorEastAsia" w:eastAsiaTheme="minorEastAsia"/>
          <w:sz w:val="32"/>
          <w:szCs w:val="32"/>
          <w:lang w:val="en-US" w:eastAsia="zh-CN"/>
        </w:rPr>
        <w:t>由于预算数为0，无法计算百分比</w:t>
      </w:r>
      <w:r>
        <w:rPr>
          <w:rFonts w:hint="eastAsia" w:asciiTheme="minorEastAsia" w:hAnsiTheme="minorEastAsia" w:eastAsiaTheme="minorEastAsia"/>
          <w:sz w:val="32"/>
          <w:szCs w:val="32"/>
        </w:rPr>
        <w:t>。</w:t>
      </w:r>
    </w:p>
    <w:p>
      <w:pPr>
        <w:pStyle w:val="11"/>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2021年度“三公”经费财政拨款支出决算中，公务接待费支出决算0万元，占0%,因公出国（境）费支出决算0万元，占0%,公务用车购置费及运行维护费支出决算0万元，占0%。其中：</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1、因公出国（境）费支出决算为0万元，全年安排因公出国（境）团组0个，累计0人次。</w:t>
      </w:r>
      <w:r>
        <w:rPr>
          <w:rFonts w:asciiTheme="minorEastAsia" w:hAnsiTheme="minorEastAsia" w:eastAsiaTheme="minorEastAsia"/>
          <w:sz w:val="32"/>
          <w:szCs w:val="32"/>
        </w:rPr>
        <w:t xml:space="preserve"> </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2、公务接待费支出决算为0万元，全年共接待来访团组0个、来宾0人次，无发生的接待支出。</w:t>
      </w:r>
    </w:p>
    <w:p>
      <w:pPr>
        <w:ind w:firstLine="800" w:firstLineChars="25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3、公务用车购置费及运行维护费支出决算为0万元，其中：公务用车购置费0万元，更新公务用车0辆</w:t>
      </w:r>
      <w:r>
        <w:rPr>
          <w:rFonts w:hint="eastAsia" w:asciiTheme="minorEastAsia" w:hAnsiTheme="minorEastAsia"/>
          <w:color w:val="000000" w:themeColor="text1"/>
          <w:sz w:val="32"/>
          <w:szCs w:val="32"/>
          <w14:textFill>
            <w14:solidFill>
              <w14:schemeClr w14:val="tx1"/>
            </w14:solidFill>
          </w14:textFill>
        </w:rPr>
        <w:t>。</w:t>
      </w:r>
      <w:r>
        <w:rPr>
          <w:rFonts w:hint="eastAsia" w:asciiTheme="minorEastAsia" w:hAnsiTheme="minorEastAsia"/>
          <w:sz w:val="32"/>
          <w:szCs w:val="32"/>
        </w:rPr>
        <w:t>公务用车运行维护费0万元，主要是无支出，截止2021年12月31日，我单位开支财政拨款的公务用车保有量为0辆。</w:t>
      </w:r>
    </w:p>
    <w:p>
      <w:pPr>
        <w:pStyle w:val="11"/>
        <w:rPr>
          <w:rFonts w:hAnsi="黑体"/>
          <w:b/>
          <w:sz w:val="32"/>
          <w:szCs w:val="32"/>
        </w:rPr>
      </w:pPr>
      <w:r>
        <w:rPr>
          <w:rFonts w:hint="eastAsia" w:hAnsi="黑体"/>
          <w:b/>
          <w:sz w:val="32"/>
          <w:szCs w:val="32"/>
        </w:rPr>
        <w:t>八、政府性基金预算收入支出决算情况</w:t>
      </w:r>
    </w:p>
    <w:p>
      <w:pPr>
        <w:pStyle w:val="11"/>
        <w:rPr>
          <w:rFonts w:eastAsia="宋体" w:asciiTheme="minorEastAsia" w:hAnsiTheme="minorEastAsia"/>
          <w:i/>
          <w:color w:val="FF0000"/>
          <w:sz w:val="32"/>
          <w:szCs w:val="32"/>
        </w:rPr>
      </w:pPr>
      <w:r>
        <w:rPr>
          <w:rFonts w:hint="eastAsia" w:asciiTheme="minorEastAsia" w:hAnsiTheme="minorEastAsia" w:eastAsiaTheme="minorEastAsia"/>
          <w:sz w:val="32"/>
          <w:szCs w:val="32"/>
        </w:rPr>
        <w:t xml:space="preserve">     2021年度政府性基金预算财政拨款收入0万元；年初结转和结余0万元；支出0万元，其中基本支出0元，项目支出0元；年末结转和结余0元</w:t>
      </w:r>
      <w:r>
        <w:rPr>
          <w:rFonts w:hint="eastAsia" w:ascii="宋体" w:hAnsi="宋体" w:eastAsia="宋体" w:cs="宋体"/>
          <w:color w:val="auto"/>
          <w:sz w:val="32"/>
          <w:szCs w:val="32"/>
        </w:rPr>
        <w:t>。</w:t>
      </w:r>
    </w:p>
    <w:p>
      <w:pPr>
        <w:pStyle w:val="11"/>
        <w:rPr>
          <w:rFonts w:hAnsi="黑体"/>
          <w:b/>
          <w:sz w:val="32"/>
          <w:szCs w:val="32"/>
        </w:rPr>
      </w:pPr>
      <w:r>
        <w:rPr>
          <w:rFonts w:hint="eastAsia" w:hAnsi="黑体"/>
          <w:b/>
          <w:sz w:val="32"/>
          <w:szCs w:val="32"/>
        </w:rPr>
        <w:t>九、国有资本经营预算财政拨款支出情况</w:t>
      </w:r>
    </w:p>
    <w:p>
      <w:pPr>
        <w:pStyle w:val="11"/>
        <w:ind w:firstLine="640" w:firstLineChars="200"/>
        <w:rPr>
          <w:rFonts w:asciiTheme="minorEastAsia" w:hAnsiTheme="minorEastAsia" w:eastAsiaTheme="minorEastAsia"/>
          <w:iCs/>
          <w:color w:val="auto"/>
          <w:sz w:val="32"/>
          <w:szCs w:val="32"/>
        </w:rPr>
      </w:pPr>
      <w:r>
        <w:rPr>
          <w:rFonts w:hint="eastAsia" w:asciiTheme="minorEastAsia" w:hAnsiTheme="minorEastAsia" w:eastAsiaTheme="minorEastAsia" w:cstheme="minorBidi"/>
          <w:color w:val="auto"/>
          <w:kern w:val="2"/>
          <w:sz w:val="32"/>
          <w:szCs w:val="32"/>
          <w:lang w:val="en-US" w:eastAsia="zh-CN" w:bidi="ar-SA"/>
        </w:rPr>
        <w:t>2021年度国有资本经营预算财政拨款收入0万元；年初结转和结余0万元；支出0万元，其中基本支出0万元，项目支出0万元；年末结转和结余0万元。</w:t>
      </w:r>
      <w:bookmarkStart w:id="0" w:name="_GoBack"/>
      <w:bookmarkEnd w:id="0"/>
    </w:p>
    <w:p>
      <w:pPr>
        <w:pStyle w:val="11"/>
        <w:rPr>
          <w:rFonts w:hAnsi="黑体"/>
          <w:b/>
          <w:sz w:val="32"/>
          <w:szCs w:val="32"/>
        </w:rPr>
      </w:pPr>
      <w:r>
        <w:rPr>
          <w:rFonts w:hint="eastAsia" w:hAnsi="黑体"/>
          <w:b/>
          <w:sz w:val="32"/>
          <w:szCs w:val="32"/>
        </w:rPr>
        <w:t>十、机关运行经费支出说明</w:t>
      </w:r>
    </w:p>
    <w:p>
      <w:pPr>
        <w:pStyle w:val="11"/>
        <w:ind w:firstLine="640" w:firstLineChars="200"/>
        <w:rPr>
          <w:rFonts w:asciiTheme="minorEastAsia" w:hAnsiTheme="minorEastAsia" w:eastAsiaTheme="minorEastAsia"/>
          <w:color w:val="FF0000"/>
          <w:sz w:val="32"/>
          <w:szCs w:val="32"/>
        </w:rPr>
      </w:pPr>
      <w:r>
        <w:rPr>
          <w:rFonts w:hint="eastAsia" w:asciiTheme="minorEastAsia" w:hAnsiTheme="minorEastAsia" w:eastAsiaTheme="minorEastAsia"/>
          <w:sz w:val="32"/>
          <w:szCs w:val="32"/>
        </w:rPr>
        <w:t>本部门2021年度机关运行经费支出0万元，</w:t>
      </w:r>
      <w:r>
        <w:rPr>
          <w:rFonts w:hint="eastAsia" w:asciiTheme="minorEastAsia" w:hAnsiTheme="minorEastAsia" w:eastAsiaTheme="minorEastAsia"/>
          <w:color w:val="auto"/>
          <w:sz w:val="32"/>
          <w:szCs w:val="32"/>
        </w:rPr>
        <w:t>本单位为事业单位，机关运行经费为保障行政单位（含参照公务员法管理的事业单位）运行用于购买货物和服务的各项资金，本单位为财政补助事业单位，无机关运行经费，本单位公用经费为65.91万元，同比增加27.79 万元，原因是人员经费增加。</w:t>
      </w:r>
    </w:p>
    <w:p>
      <w:pPr>
        <w:pStyle w:val="11"/>
        <w:rPr>
          <w:rFonts w:hAnsi="黑体"/>
          <w:b/>
          <w:sz w:val="32"/>
          <w:szCs w:val="32"/>
        </w:rPr>
      </w:pPr>
      <w:r>
        <w:rPr>
          <w:rFonts w:hint="eastAsia" w:hAnsi="黑体"/>
          <w:b/>
          <w:sz w:val="32"/>
          <w:szCs w:val="32"/>
        </w:rPr>
        <w:t>十一、一般性支出情况说明</w:t>
      </w:r>
    </w:p>
    <w:p>
      <w:pPr>
        <w:pStyle w:val="11"/>
        <w:ind w:firstLine="640" w:firstLineChars="200"/>
        <w:rPr>
          <w:rFonts w:asciiTheme="minorEastAsia" w:hAnsiTheme="minorEastAsia" w:eastAsiaTheme="minorEastAsia"/>
          <w:sz w:val="32"/>
          <w:szCs w:val="32"/>
        </w:rPr>
      </w:pPr>
      <w:r>
        <w:rPr>
          <w:rFonts w:asciiTheme="minorEastAsia" w:hAnsiTheme="minorEastAsia" w:eastAsiaTheme="minorEastAsia"/>
          <w:sz w:val="32"/>
          <w:szCs w:val="32"/>
        </w:rPr>
        <w:t>202</w:t>
      </w:r>
      <w:r>
        <w:rPr>
          <w:rFonts w:hint="eastAsia" w:asciiTheme="minorEastAsia" w:hAnsiTheme="minorEastAsia" w:eastAsiaTheme="minorEastAsia"/>
          <w:sz w:val="32"/>
          <w:szCs w:val="32"/>
        </w:rPr>
        <w:t>1</w:t>
      </w:r>
      <w:r>
        <w:rPr>
          <w:rFonts w:asciiTheme="minorEastAsia" w:hAnsiTheme="minorEastAsia" w:eastAsiaTheme="minorEastAsia"/>
          <w:sz w:val="32"/>
          <w:szCs w:val="32"/>
        </w:rPr>
        <w:t>年本部门开支会议费0万元，用于召开0会议，人数0人，内容为0；开支培训费0万元，用于开展0培训，人数0人，内容为0；举办0等节庆、晚会、论坛、赛事活动，开支0万元。</w:t>
      </w:r>
    </w:p>
    <w:p>
      <w:pPr>
        <w:pStyle w:val="11"/>
        <w:rPr>
          <w:rFonts w:hAnsi="黑体"/>
          <w:b/>
          <w:sz w:val="32"/>
          <w:szCs w:val="32"/>
        </w:rPr>
      </w:pPr>
      <w:r>
        <w:rPr>
          <w:rFonts w:hint="eastAsia" w:hAnsi="黑体"/>
          <w:b/>
          <w:sz w:val="32"/>
          <w:szCs w:val="32"/>
        </w:rPr>
        <w:t>十二、政府采购支出说明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本部门2021年度政府采购支出总额0万元，其中：政府采购货物支出0 万元、政府采购工程支出0 万元、政府采购服务支出0万元。授予中小企业合同金额0万元，占政府采购支出总额的0%，其中：授予小微企业合同金额0万元，占授予中小企业合同金额的0%；货物采购授予中小企业合同金额占货物支出金额的0%，工程采购授予中小企业合同金额占工程支出金额的0%，服务采购授予中小企业合同金额占服务支出金额的0%。</w:t>
      </w:r>
    </w:p>
    <w:p>
      <w:pPr>
        <w:pStyle w:val="11"/>
        <w:rPr>
          <w:rFonts w:hAnsi="黑体"/>
          <w:b/>
          <w:sz w:val="32"/>
          <w:szCs w:val="32"/>
        </w:rPr>
      </w:pPr>
      <w:r>
        <w:rPr>
          <w:rFonts w:hint="eastAsia" w:hAnsi="黑体"/>
          <w:b/>
          <w:sz w:val="32"/>
          <w:szCs w:val="32"/>
        </w:rPr>
        <w:t>十三、国有资产占用情况说明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2021年12月31日，单位共有车辆0辆，其中，主要领导干部用车0辆，机要通信用车0辆、应急保障用车0辆、执法执勤用车0辆、特种专业技术用车0辆、其他用车0辆，无其他用车；单位价值50万元以上通用设备0台（套）；单位价值100万元以上专用设备0台（套）。</w:t>
      </w:r>
    </w:p>
    <w:p>
      <w:pPr>
        <w:pStyle w:val="11"/>
        <w:rPr>
          <w:rFonts w:hAnsi="黑体"/>
          <w:b/>
          <w:sz w:val="32"/>
          <w:szCs w:val="32"/>
        </w:rPr>
      </w:pPr>
      <w:r>
        <w:rPr>
          <w:rFonts w:hint="eastAsia" w:hAnsi="黑体"/>
          <w:b/>
          <w:sz w:val="32"/>
          <w:szCs w:val="32"/>
        </w:rPr>
        <w:t>十四、2021年度预算绩效情况说明</w:t>
      </w:r>
    </w:p>
    <w:p>
      <w:pPr>
        <w:autoSpaceDE w:val="0"/>
        <w:autoSpaceDN w:val="0"/>
        <w:adjustRightInd w:val="0"/>
        <w:ind w:firstLine="640" w:firstLineChars="200"/>
        <w:jc w:val="left"/>
        <w:rPr>
          <w:rFonts w:cs="黑体" w:asciiTheme="minorEastAsia" w:hAnsiTheme="minorEastAsia"/>
          <w:kern w:val="0"/>
          <w:sz w:val="32"/>
          <w:szCs w:val="32"/>
        </w:rPr>
      </w:pPr>
      <w:r>
        <w:rPr>
          <w:rFonts w:hint="eastAsia" w:cs="黑体" w:asciiTheme="minorEastAsia" w:hAnsiTheme="minorEastAsia"/>
          <w:b/>
          <w:kern w:val="0"/>
          <w:sz w:val="32"/>
          <w:szCs w:val="32"/>
        </w:rPr>
        <w:t>（1）绩效管理评价工作开展情况</w:t>
      </w:r>
      <w:r>
        <w:rPr>
          <w:rFonts w:hint="eastAsia" w:cs="黑体" w:asciiTheme="minorEastAsia" w:hAnsiTheme="minorEastAsia"/>
          <w:kern w:val="0"/>
          <w:sz w:val="32"/>
          <w:szCs w:val="32"/>
        </w:rPr>
        <w:t>。</w:t>
      </w:r>
    </w:p>
    <w:p>
      <w:pPr>
        <w:pStyle w:val="16"/>
        <w:spacing w:line="360" w:lineRule="auto"/>
        <w:ind w:firstLine="640"/>
        <w:rPr>
          <w:rFonts w:cs="黑体" w:asciiTheme="minorEastAsia" w:hAnsiTheme="minorEastAsia"/>
          <w:color w:val="000000"/>
          <w:kern w:val="0"/>
          <w:sz w:val="32"/>
          <w:szCs w:val="32"/>
        </w:rPr>
      </w:pPr>
      <w:r>
        <w:rPr>
          <w:rFonts w:hint="eastAsia" w:ascii="宋体" w:hAnsi="宋体" w:cs="宋体"/>
          <w:sz w:val="32"/>
          <w:szCs w:val="32"/>
        </w:rPr>
        <w:t>根据鹤财绩【2002】8号文件等相关文件精神要求，我中心</w:t>
      </w:r>
      <w:r>
        <w:rPr>
          <w:rFonts w:hint="eastAsia" w:ascii="宋体" w:hAnsi="宋体" w:cs="宋体"/>
          <w:sz w:val="32"/>
          <w:szCs w:val="32"/>
          <w:lang w:eastAsia="zh-CN"/>
        </w:rPr>
        <w:t>制定</w:t>
      </w:r>
      <w:r>
        <w:rPr>
          <w:rFonts w:hint="eastAsia" w:ascii="宋体" w:hAnsi="宋体" w:cs="宋体"/>
          <w:sz w:val="32"/>
          <w:szCs w:val="32"/>
        </w:rPr>
        <w:t>部门整体支出绩效评价的工作方案、评价指标，并成立了绩效评价工作小组。核实数据，对2020年度和2021年的部门整体支出情况进行比较分析。查阅资料，查阅2021年度预算安排、预算追加、资金管理、经费支出、资产管理等相关文件资料和财务凭证。对提供的材料以及自评报告，结合现场评价情况进行综合分析归纳汇总。绩效评价是难以客观准确的，其不准确性来自于多个方面的原因，比如不同的评价指标都是从一个侧面反映部门的业绩，它们都是有效的，但同时也都是片面的。部门整体支出绩效评价指标体系是评价工作的核心和关键，应组织专业班子对评价指标体系进行修改和完善，确定更全面的定量指标。</w:t>
      </w:r>
    </w:p>
    <w:p>
      <w:pPr>
        <w:autoSpaceDE w:val="0"/>
        <w:autoSpaceDN w:val="0"/>
        <w:adjustRightInd w:val="0"/>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（2）部门决算中项目绩效自评结果。</w:t>
      </w:r>
    </w:p>
    <w:p>
      <w:pPr>
        <w:pStyle w:val="16"/>
        <w:spacing w:line="360" w:lineRule="auto"/>
        <w:ind w:firstLine="640"/>
        <w:rPr>
          <w:rFonts w:ascii="宋体" w:hAnsi="宋体" w:cs="宋体"/>
          <w:sz w:val="32"/>
          <w:szCs w:val="32"/>
        </w:rPr>
      </w:pPr>
      <w:r>
        <w:rPr>
          <w:rFonts w:hint="eastAsia" w:cs="黑体" w:asciiTheme="minorEastAsia" w:hAnsiTheme="minorEastAsia"/>
          <w:color w:val="000000"/>
          <w:kern w:val="0"/>
          <w:sz w:val="32"/>
          <w:szCs w:val="32"/>
        </w:rPr>
        <w:t>根据年初设定的绩效目标，项目绩效自评得分为98分。项目全年预算数为</w:t>
      </w:r>
      <w:r>
        <w:rPr>
          <w:rFonts w:hint="eastAsia" w:ascii="仿宋" w:hAnsi="仿宋" w:eastAsia="仿宋" w:cs="仿宋"/>
          <w:sz w:val="32"/>
          <w:szCs w:val="32"/>
        </w:rPr>
        <w:t>126.85</w:t>
      </w:r>
      <w:r>
        <w:rPr>
          <w:rFonts w:hint="eastAsia" w:cs="黑体" w:asciiTheme="minorEastAsia" w:hAnsiTheme="minorEastAsia"/>
          <w:color w:val="000000"/>
          <w:kern w:val="0"/>
          <w:sz w:val="32"/>
          <w:szCs w:val="32"/>
        </w:rPr>
        <w:t>万元，执行数为</w:t>
      </w:r>
      <w:r>
        <w:rPr>
          <w:rFonts w:hint="eastAsia" w:ascii="仿宋" w:hAnsi="仿宋" w:eastAsia="仿宋" w:cs="仿宋"/>
          <w:sz w:val="32"/>
          <w:szCs w:val="32"/>
        </w:rPr>
        <w:t>126.85</w:t>
      </w:r>
      <w:r>
        <w:rPr>
          <w:rFonts w:hint="eastAsia" w:cs="黑体" w:asciiTheme="minorEastAsia" w:hAnsiTheme="minorEastAsia"/>
          <w:color w:val="000000"/>
          <w:kern w:val="0"/>
          <w:sz w:val="32"/>
          <w:szCs w:val="32"/>
        </w:rPr>
        <w:t>万元，完成预算的100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。项目绩效目标完成情况：</w:t>
      </w:r>
      <w:r>
        <w:rPr>
          <w:rFonts w:hint="eastAsia" w:ascii="宋体" w:hAnsi="宋体" w:cs="宋体"/>
          <w:sz w:val="32"/>
          <w:szCs w:val="32"/>
        </w:rPr>
        <w:t>1、项目资金到位情况分析专项总投资及资金来源情况财政资金126.85万元。</w:t>
      </w:r>
    </w:p>
    <w:p>
      <w:pPr>
        <w:pStyle w:val="16"/>
        <w:spacing w:line="360" w:lineRule="auto"/>
        <w:ind w:firstLine="640"/>
        <w:rPr>
          <w:rFonts w:ascii="宋体" w:hAnsi="宋体" w:cs="宋体"/>
          <w:sz w:val="32"/>
          <w:szCs w:val="32"/>
        </w:rPr>
      </w:pPr>
      <w:r>
        <w:rPr>
          <w:rFonts w:hint="eastAsia" w:ascii="宋体" w:hAnsi="宋体" w:cs="宋体"/>
          <w:sz w:val="32"/>
          <w:szCs w:val="32"/>
        </w:rPr>
        <w:t>2、项目资金使用情况分析专项资金实际支出使用126.85万元，实现了年初制定的绩效目标。</w:t>
      </w:r>
    </w:p>
    <w:p>
      <w:pPr>
        <w:pStyle w:val="16"/>
        <w:spacing w:line="360" w:lineRule="auto"/>
        <w:ind w:firstLine="640"/>
        <w:rPr>
          <w:rFonts w:ascii="宋体" w:hAnsi="宋体" w:cs="宋体"/>
          <w:color w:val="FF0000"/>
          <w:sz w:val="32"/>
          <w:szCs w:val="32"/>
        </w:rPr>
      </w:pPr>
      <w:r>
        <w:rPr>
          <w:rFonts w:hint="eastAsia" w:ascii="宋体" w:hAnsi="宋体" w:cs="宋体"/>
          <w:sz w:val="32"/>
          <w:szCs w:val="32"/>
        </w:rPr>
        <w:t>3、项目资金管理情况分析专项资金所有开支均按照财务制度执行，资金的使用全部实行专账管理，专款专用，严格把关，整个项目的运行完全按照我单位内部管理制度、区委、区政府及财政的有关规定执行。单位内部不定期进行抽查，严格人员作风，不存在违规违法的问题。各个项目资金使用与具体项目实施内容相符，绩效总目标和阶段性目标都已按照计划完成，未逾期。</w:t>
      </w:r>
    </w:p>
    <w:p>
      <w:pPr>
        <w:pStyle w:val="16"/>
        <w:spacing w:line="360" w:lineRule="auto"/>
        <w:ind w:firstLine="643"/>
        <w:rPr>
          <w:rFonts w:ascii="宋体" w:hAnsi="宋体" w:cs="宋体"/>
          <w:bCs/>
          <w:sz w:val="32"/>
          <w:szCs w:val="32"/>
        </w:rPr>
      </w:pPr>
      <w:r>
        <w:rPr>
          <w:rFonts w:hint="eastAsia" w:cs="黑体" w:asciiTheme="minorEastAsia" w:hAnsiTheme="minorEastAsia"/>
          <w:color w:val="000000"/>
          <w:kern w:val="0"/>
          <w:sz w:val="32"/>
          <w:szCs w:val="32"/>
        </w:rPr>
        <w:t>发现的主要问题及原因：</w:t>
      </w:r>
      <w:r>
        <w:rPr>
          <w:rFonts w:hint="eastAsia" w:ascii="宋体" w:hAnsi="宋体" w:cs="宋体"/>
          <w:bCs/>
          <w:sz w:val="32"/>
          <w:szCs w:val="32"/>
        </w:rPr>
        <w:t>运行实践经验还欠缺，本中心预算编制不够科学和细化，预算编制的合理性需要提高，预算执行力度还要进一步加强。下一步我们将全面编制预算项目，优先保障固定性的、相对刚性的费用支出项目，尽量压缩变动性的，有控制空间的费用项目，进一步提高预算编制的科学性、严谨性和可控性。</w:t>
      </w:r>
    </w:p>
    <w:p>
      <w:pPr>
        <w:ind w:firstLine="640" w:firstLineChars="200"/>
        <w:rPr>
          <w:rFonts w:ascii="宋体" w:hAnsi="宋体" w:eastAsia="宋体" w:cs="宋体"/>
        </w:rPr>
      </w:pPr>
      <w:r>
        <w:rPr>
          <w:rFonts w:hint="eastAsia" w:cs="黑体" w:asciiTheme="minorEastAsia" w:hAnsiTheme="minorEastAsia"/>
          <w:color w:val="000000"/>
          <w:kern w:val="0"/>
          <w:sz w:val="32"/>
          <w:szCs w:val="32"/>
        </w:rPr>
        <w:t>下一步改进措施：</w:t>
      </w:r>
      <w:r>
        <w:rPr>
          <w:rFonts w:hint="eastAsia" w:ascii="宋体" w:hAnsi="宋体" w:eastAsia="宋体" w:cs="宋体"/>
          <w:sz w:val="32"/>
          <w:szCs w:val="32"/>
        </w:rPr>
        <w:t>1.应多加强业务培训，积极学习新的财务知识和财经法规，不断提高财务人员工作能力和工作水平。</w:t>
      </w:r>
      <w:r>
        <w:rPr>
          <w:rFonts w:hint="eastAsia" w:ascii="宋体" w:hAnsi="宋体" w:eastAsia="宋体" w:cs="宋体"/>
          <w:spacing w:val="-2"/>
          <w:sz w:val="32"/>
          <w:szCs w:val="32"/>
        </w:rPr>
        <w:t>2.应强化绩效管理，切实提高资金使用的安全性、规范性和有效性。</w:t>
      </w:r>
    </w:p>
    <w:p>
      <w:pPr>
        <w:widowControl/>
        <w:shd w:val="clear" w:color="auto" w:fill="FFFFFF"/>
        <w:spacing w:line="600" w:lineRule="exact"/>
        <w:ind w:firstLine="645"/>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项目绩效自评综述：</w:t>
      </w:r>
      <w:r>
        <w:rPr>
          <w:rFonts w:hint="eastAsia" w:ascii="宋体" w:hAnsi="宋体" w:eastAsia="宋体" w:cs="宋体"/>
          <w:sz w:val="32"/>
          <w:szCs w:val="32"/>
        </w:rPr>
        <w:t>我中心定位为本着我区离退休干部服务的宗旨，落实老干部的政治待遇和生活待遇。根据有关政策规定和预定的绩效目标，基本上实现了年初制定的整体财政绩效目标，主要体现在：进一步加强了老干部工作,及时研究解决老干部工作中存在的突出问题。做好了老干部工作中的日常事务, 确保了老干部工作正常进行。2、项目管理情况分析专项资金所有开支均按照财务制度执行，资金的使用全部实行专账管理，专款专用，严格把关，整个项目的运行完全按照我单位内部管理制度、区委、区政府及财政的有关规定执行。单位内部不定期进行抽查，严格人员作风，不存在违规违法的问题。各个项目资金使用与具体项目实施内容相符，绩效总目标和阶段性目标都已按照计划完成，未逾期</w:t>
      </w:r>
      <w:r>
        <w:rPr>
          <w:rFonts w:hint="eastAsia" w:ascii="宋体" w:hAnsi="宋体" w:cs="宋体"/>
          <w:sz w:val="32"/>
          <w:szCs w:val="32"/>
        </w:rPr>
        <w:t>。</w:t>
      </w:r>
      <w:r>
        <w:rPr>
          <w:rFonts w:hint="eastAsia" w:ascii="宋体" w:hAnsi="宋体" w:eastAsia="宋体" w:cs="宋体"/>
          <w:color w:val="333333"/>
          <w:sz w:val="32"/>
          <w:szCs w:val="32"/>
        </w:rPr>
        <w:t>资产管理体制和制度建设情况。</w:t>
      </w:r>
      <w:r>
        <w:rPr>
          <w:rFonts w:hint="eastAsia" w:ascii="宋体" w:hAnsi="宋体" w:cs="宋体"/>
          <w:color w:val="333333"/>
          <w:sz w:val="32"/>
          <w:szCs w:val="32"/>
        </w:rPr>
        <w:t>我中心</w:t>
      </w:r>
      <w:r>
        <w:rPr>
          <w:rFonts w:hint="eastAsia" w:ascii="宋体" w:hAnsi="宋体" w:eastAsia="宋体" w:cs="宋体"/>
          <w:color w:val="333333"/>
          <w:sz w:val="32"/>
          <w:szCs w:val="32"/>
        </w:rPr>
        <w:t>制定了详细的内部管理制度，所有资产统一采购、专人管理、定期盘点、集中处置、严格追责，有效防止了国有资产流失。2021年进行了固定资产实地盘点，对报废固定资产按规定程序进行处理，建立了固定资产卡片和台账，确保资产</w:t>
      </w:r>
      <w:r>
        <w:rPr>
          <w:rFonts w:hint="eastAsia" w:ascii="宋体" w:hAnsi="宋体" w:eastAsia="宋体" w:cs="宋体"/>
          <w:color w:val="333333"/>
          <w:sz w:val="32"/>
          <w:szCs w:val="32"/>
          <w:lang w:eastAsia="zh-CN"/>
        </w:rPr>
        <w:t>账</w:t>
      </w:r>
      <w:r>
        <w:rPr>
          <w:rFonts w:hint="eastAsia" w:ascii="宋体" w:hAnsi="宋体" w:eastAsia="宋体" w:cs="宋体"/>
          <w:color w:val="333333"/>
          <w:sz w:val="32"/>
          <w:szCs w:val="32"/>
        </w:rPr>
        <w:t>相符、账实相符。建立健全了资产管理制度，合理配备并节约、有效使用资产，提高资产使用效率，保障资产的安全和完整。管理和使用应坚持统一政策、统一领导、分级管理、责任到人、物尽其用的原则。确定了专人负责资产的日常管理工作，包括资产的登记、统计、维护、保管等，并对所管资产的安全完整负有责任。资产管理人员相对稳定，强化运行机制和管理方式方面资产管理由财务人员进行价值核算并设置专人进行资产实物卡片管理及使用情况监督，从资产采购申请到审批，再到采购验收，都进行了明确的规定。我</w:t>
      </w:r>
      <w:r>
        <w:rPr>
          <w:rFonts w:hint="eastAsia" w:ascii="宋体" w:hAnsi="宋体" w:cs="宋体"/>
          <w:color w:val="333333"/>
          <w:sz w:val="32"/>
          <w:szCs w:val="32"/>
        </w:rPr>
        <w:t>中心</w:t>
      </w:r>
      <w:r>
        <w:rPr>
          <w:rFonts w:hint="eastAsia" w:ascii="宋体" w:hAnsi="宋体" w:eastAsia="宋体" w:cs="宋体"/>
          <w:color w:val="333333"/>
          <w:sz w:val="32"/>
          <w:szCs w:val="32"/>
        </w:rPr>
        <w:t>主要依托金财系统和湖南省行政事业资产动态管理信息系统两个系统对资产进行全面的核算及管理。</w:t>
      </w:r>
      <w:r>
        <w:rPr>
          <w:rFonts w:hint="eastAsia" w:ascii="宋体" w:hAnsi="宋体" w:eastAsia="宋体" w:cs="宋体"/>
          <w:spacing w:val="-2"/>
          <w:sz w:val="32"/>
          <w:szCs w:val="32"/>
        </w:rPr>
        <w:t>总结归纳本部门“四本预算”支出的绩效目标完成情况，实现产出和取得效益的情况。围绕部门职责、行业发展规划，以预算资金管理为主线，总结部门资产管理和开展业务情况，从运行成本、管理效率、履职效能、社会效应、可持续发展能力和服务对象满意度等方面，衡量部门整体及核心业务实施效果。</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w:t>
      </w:r>
      <w:r>
        <w:rPr>
          <w:rFonts w:cs="黑体" w:asciiTheme="minorEastAsia" w:hAnsiTheme="minorEastAsia"/>
          <w:b/>
          <w:color w:val="000000"/>
          <w:kern w:val="0"/>
          <w:sz w:val="32"/>
          <w:szCs w:val="32"/>
        </w:rPr>
        <w:t>3</w:t>
      </w:r>
      <w:r>
        <w:rPr>
          <w:rFonts w:hint="eastAsia" w:cs="黑体" w:asciiTheme="minorEastAsia" w:hAnsiTheme="minorEastAsia"/>
          <w:b/>
          <w:color w:val="000000"/>
          <w:kern w:val="0"/>
          <w:sz w:val="32"/>
          <w:szCs w:val="32"/>
        </w:rPr>
        <w:t>）部门评价项目绩效评价结果。</w:t>
      </w:r>
    </w:p>
    <w:p>
      <w:pPr>
        <w:pStyle w:val="16"/>
        <w:spacing w:line="360" w:lineRule="auto"/>
        <w:ind w:firstLine="640"/>
        <w:rPr>
          <w:rFonts w:ascii="宋体" w:hAnsi="宋体" w:cs="宋体"/>
          <w:color w:val="333333"/>
          <w:sz w:val="32"/>
          <w:szCs w:val="32"/>
        </w:rPr>
      </w:pPr>
      <w:r>
        <w:rPr>
          <w:rFonts w:hint="eastAsia" w:ascii="宋体" w:hAnsi="宋体" w:cs="宋体"/>
          <w:color w:val="333333"/>
          <w:sz w:val="32"/>
          <w:szCs w:val="32"/>
        </w:rPr>
        <w:t>专项绩效目标设定情况：专项资金安排落实126.85万元，实现了年初制定的绩效目标，确保了离退休干部的政治待遇和生活待遇的落实以及开展了老年大学、老干部党校、老年教育、老干部活动中心、关心下一代工作委员会等涉老部门的系列工作。受到广大老干部的好评，评价结果为优。</w:t>
      </w:r>
    </w:p>
    <w:p>
      <w:pPr>
        <w:autoSpaceDE w:val="0"/>
        <w:autoSpaceDN w:val="0"/>
        <w:adjustRightInd w:val="0"/>
        <w:ind w:firstLine="640" w:firstLineChars="200"/>
        <w:jc w:val="left"/>
        <w:rPr>
          <w:rFonts w:ascii="宋体" w:hAnsi="宋体" w:eastAsia="宋体" w:cs="宋体"/>
          <w:color w:val="FF0000"/>
          <w:kern w:val="0"/>
          <w:sz w:val="32"/>
          <w:szCs w:val="3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both"/>
        <w:rPr>
          <w:sz w:val="72"/>
          <w:szCs w:val="72"/>
        </w:rPr>
      </w:pPr>
    </w:p>
    <w:p>
      <w:pPr>
        <w:rPr>
          <w:rFonts w:hint="eastAsia"/>
          <w:sz w:val="84"/>
          <w:szCs w:val="84"/>
        </w:rPr>
      </w:pPr>
      <w:r>
        <w:rPr>
          <w:rFonts w:hint="eastAsia"/>
          <w:sz w:val="84"/>
          <w:szCs w:val="84"/>
        </w:rPr>
        <w:br w:type="page"/>
      </w:r>
    </w:p>
    <w:p>
      <w:pPr>
        <w:pStyle w:val="11"/>
        <w:jc w:val="center"/>
        <w:rPr>
          <w:rFonts w:hint="eastAsia"/>
          <w:sz w:val="84"/>
          <w:szCs w:val="84"/>
        </w:rPr>
      </w:pPr>
    </w:p>
    <w:p>
      <w:pPr>
        <w:pStyle w:val="11"/>
        <w:jc w:val="center"/>
        <w:rPr>
          <w:rFonts w:hint="eastAsia"/>
          <w:sz w:val="84"/>
          <w:szCs w:val="84"/>
        </w:rPr>
      </w:pPr>
    </w:p>
    <w:p>
      <w:pPr>
        <w:pStyle w:val="11"/>
        <w:jc w:val="center"/>
        <w:rPr>
          <w:rFonts w:hint="eastAsia"/>
          <w:sz w:val="84"/>
          <w:szCs w:val="84"/>
        </w:rPr>
      </w:pPr>
    </w:p>
    <w:p>
      <w:pPr>
        <w:pStyle w:val="11"/>
        <w:jc w:val="center"/>
        <w:rPr>
          <w:rFonts w:hint="eastAsia"/>
          <w:sz w:val="84"/>
          <w:szCs w:val="84"/>
        </w:rPr>
      </w:pPr>
    </w:p>
    <w:p>
      <w:pPr>
        <w:pStyle w:val="11"/>
        <w:jc w:val="center"/>
        <w:rPr>
          <w:sz w:val="84"/>
          <w:szCs w:val="84"/>
        </w:rPr>
      </w:pPr>
      <w:r>
        <w:rPr>
          <w:rFonts w:hint="eastAsia"/>
          <w:sz w:val="84"/>
          <w:szCs w:val="84"/>
        </w:rPr>
        <w:t>第四部分</w:t>
      </w:r>
    </w:p>
    <w:p>
      <w:pPr>
        <w:pStyle w:val="11"/>
        <w:jc w:val="center"/>
        <w:rPr>
          <w:sz w:val="84"/>
          <w:szCs w:val="84"/>
        </w:rPr>
      </w:pPr>
    </w:p>
    <w:p>
      <w:pPr>
        <w:pStyle w:val="11"/>
        <w:jc w:val="center"/>
        <w:rPr>
          <w:sz w:val="84"/>
          <w:szCs w:val="84"/>
        </w:rPr>
      </w:pPr>
      <w:r>
        <w:rPr>
          <w:rFonts w:hint="eastAsia"/>
          <w:sz w:val="84"/>
          <w:szCs w:val="84"/>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一、财政拨款收入：指财政当年拨付的资金。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二、事业收入：指事业单位开展专业业务活动及辅助活动所取得的收入。如：中国财政杂志社的刊物发行收入，中国注册会计师协会、中国资产评估协会、中国国债协会、中国会计学会收取的会费收入等。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三、经营收入：指事业单位在专业业务活动及其辅助活动之外开展非独立核算经营活动取得的收入。如：中国财政杂志社广告收入等。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四、其他收入：指除上述“财政拨款收入”、“事业收入”、“经营收入”等以外的收入。主要是按规定动用的售房收入、存款利息收入等。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六、年初结转和结余：指以前年度尚未完成、结转到本年按有关规定继续使用的资金。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七、结余分配：指事业单位按规定提取的职工福利基金、事业基金和缴纳的所得税，以及建设单位按规定应交回的基本建设竣工项目结余资金。</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八、年末结转和结余：指本年度或以前年度预算安排、因客观条件发生变化无法按原计划实施，需要延迟到以后年度按有关规定继续使用的资金。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九、基本支出：指为保障机构正常运转、完成日常工作任务而发生的人员支出和公用支出。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十、项目支出：指在基本支出之外为完成特定行政任务和事业发展目标所发生的支出。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十一、经营支出：指事业单位在专业业务活动及其辅助活动之外开展非独立核算经营活动发生的支出。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二、“三公”经费：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both"/>
        <w:rPr>
          <w:sz w:val="72"/>
          <w:szCs w:val="72"/>
        </w:rPr>
      </w:pPr>
    </w:p>
    <w:p>
      <w:pPr>
        <w:pStyle w:val="11"/>
        <w:jc w:val="both"/>
        <w:rPr>
          <w:sz w:val="72"/>
          <w:szCs w:val="72"/>
        </w:rPr>
      </w:pPr>
    </w:p>
    <w:p>
      <w:pPr>
        <w:pStyle w:val="11"/>
        <w:jc w:val="center"/>
        <w:rPr>
          <w:sz w:val="84"/>
          <w:szCs w:val="84"/>
        </w:rPr>
      </w:pPr>
      <w:r>
        <w:rPr>
          <w:rFonts w:hint="eastAsia"/>
          <w:sz w:val="84"/>
          <w:szCs w:val="84"/>
        </w:rPr>
        <w:t>第五部分</w:t>
      </w:r>
    </w:p>
    <w:p>
      <w:pPr>
        <w:pStyle w:val="11"/>
        <w:jc w:val="center"/>
        <w:rPr>
          <w:sz w:val="84"/>
          <w:szCs w:val="84"/>
        </w:rPr>
      </w:pPr>
    </w:p>
    <w:p>
      <w:pPr>
        <w:pStyle w:val="11"/>
        <w:jc w:val="center"/>
        <w:rPr>
          <w:sz w:val="84"/>
          <w:szCs w:val="84"/>
        </w:rPr>
      </w:pPr>
      <w:r>
        <w:rPr>
          <w:rFonts w:hint="eastAsia"/>
          <w:sz w:val="84"/>
          <w:szCs w:val="84"/>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2021年度部门整体支出绩效评价报告</w:t>
      </w:r>
    </w:p>
    <w:p>
      <w:pPr>
        <w:pStyle w:val="15"/>
        <w:ind w:firstLine="640" w:firstLineChars="200"/>
        <w:rPr>
          <w:rFonts w:cs="宋体" w:asciiTheme="minorEastAsia" w:hAnsiTheme="minorEastAsia"/>
          <w:b/>
          <w:sz w:val="32"/>
          <w:szCs w:val="32"/>
        </w:rPr>
      </w:pPr>
      <w:r>
        <w:rPr>
          <w:rFonts w:cs="宋体" w:asciiTheme="minorEastAsia" w:hAnsiTheme="minorEastAsia"/>
          <w:b/>
          <w:sz w:val="32"/>
          <w:szCs w:val="32"/>
        </w:rPr>
        <w:t>一、部门职能职责：</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lang w:val="en-US" w:eastAsia="zh-CN"/>
        </w:rPr>
      </w:pPr>
      <w:r>
        <w:rPr>
          <w:rFonts w:hint="eastAsia" w:ascii="宋体" w:hAnsi="宋体" w:cs="黑体"/>
          <w:color w:val="000000"/>
          <w:kern w:val="0"/>
          <w:sz w:val="32"/>
          <w:szCs w:val="32"/>
          <w:lang w:val="en-US" w:eastAsia="zh-CN"/>
        </w:rPr>
        <w:t>1、鹤城区委老干部服务中心负责全区离休干部和副处级以上退休干部的服务工作，协助督促各单位落实好老干部政治和生活待遇。负责老年教育工作，指导涉老组织工作，组织引导老干部发挥作用。协助区委组织部做好老干部工作的调查、研究、检查、评比，并推广各单位各部门的典型经验。负责易地安置老干部的服务与联络。完成区委及区委组织部交办的其他任务。</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lang w:val="en-US" w:eastAsia="zh-CN"/>
        </w:rPr>
      </w:pPr>
      <w:r>
        <w:rPr>
          <w:rFonts w:hint="eastAsia" w:ascii="宋体" w:hAnsi="宋体" w:cs="黑体"/>
          <w:color w:val="000000"/>
          <w:kern w:val="0"/>
          <w:sz w:val="32"/>
          <w:szCs w:val="32"/>
          <w:lang w:val="en-US" w:eastAsia="zh-CN"/>
        </w:rPr>
        <w:t>2、主要工作职责：负责落实全区离退休老干部政治和生活待遇。</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lang w:val="en-US" w:eastAsia="zh-CN"/>
        </w:rPr>
      </w:pPr>
      <w:r>
        <w:rPr>
          <w:rFonts w:hint="eastAsia" w:ascii="宋体" w:hAnsi="宋体" w:cs="黑体"/>
          <w:color w:val="000000"/>
          <w:kern w:val="0"/>
          <w:sz w:val="32"/>
          <w:szCs w:val="32"/>
          <w:lang w:val="en-US" w:eastAsia="zh-CN"/>
        </w:rPr>
        <w:t>3、编制人员情况:现实有在职人员12人（其中全额拨款10人，自收自支2人），离退休人员8人(其中财政拨款8人，自收自支0人），遗属人员0人。</w:t>
      </w:r>
    </w:p>
    <w:p>
      <w:pPr>
        <w:pStyle w:val="15"/>
        <w:rPr>
          <w:rFonts w:cs="宋体" w:asciiTheme="minorEastAsia" w:hAnsiTheme="minorEastAsia"/>
          <w:b/>
          <w:sz w:val="32"/>
          <w:szCs w:val="32"/>
        </w:rPr>
      </w:pPr>
      <w:r>
        <w:rPr>
          <w:rFonts w:cs="宋体" w:asciiTheme="minorEastAsia" w:hAnsiTheme="minorEastAsia"/>
          <w:b/>
          <w:sz w:val="32"/>
          <w:szCs w:val="32"/>
        </w:rPr>
        <w:t>二、部门收支情况：</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1、收入说明：2021年总收入为336.17万元。</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2、支出说明：2021年总支出为336.05万元，其中：人员经费支出143.29万元，日常公用经费65.91万元，项目支出为126.85万元。</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3、“三公”经费说明：2021年度“三公”经费为0万元，根据各项规定，我单位按要求厉行节约，与年初预算比，没有产生“三公”经费。</w:t>
      </w:r>
    </w:p>
    <w:p>
      <w:pPr>
        <w:pStyle w:val="15"/>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0Mjc3ZDVhOTM0NTczYTJiNzUyZTVkM2Y3OTA1OGQifQ=="/>
  </w:docVars>
  <w:rsids>
    <w:rsidRoot w:val="004506F9"/>
    <w:rsid w:val="0002229B"/>
    <w:rsid w:val="000273BD"/>
    <w:rsid w:val="000415B7"/>
    <w:rsid w:val="00041E3F"/>
    <w:rsid w:val="00055DAA"/>
    <w:rsid w:val="00061F7B"/>
    <w:rsid w:val="000658A3"/>
    <w:rsid w:val="00074155"/>
    <w:rsid w:val="00081AF1"/>
    <w:rsid w:val="000873EF"/>
    <w:rsid w:val="000A3F69"/>
    <w:rsid w:val="00103957"/>
    <w:rsid w:val="00124A1F"/>
    <w:rsid w:val="00152C6D"/>
    <w:rsid w:val="00162D39"/>
    <w:rsid w:val="001678BD"/>
    <w:rsid w:val="00176E00"/>
    <w:rsid w:val="00182373"/>
    <w:rsid w:val="00182B50"/>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A5634"/>
    <w:rsid w:val="002E0A30"/>
    <w:rsid w:val="002F53BB"/>
    <w:rsid w:val="003130C4"/>
    <w:rsid w:val="00316C4B"/>
    <w:rsid w:val="0032192B"/>
    <w:rsid w:val="00327FFA"/>
    <w:rsid w:val="003479BD"/>
    <w:rsid w:val="0037197D"/>
    <w:rsid w:val="003768D5"/>
    <w:rsid w:val="003C4197"/>
    <w:rsid w:val="003C47E6"/>
    <w:rsid w:val="003C4FC2"/>
    <w:rsid w:val="003E2331"/>
    <w:rsid w:val="003F09E1"/>
    <w:rsid w:val="003F49AD"/>
    <w:rsid w:val="00416E61"/>
    <w:rsid w:val="0042790C"/>
    <w:rsid w:val="004506F9"/>
    <w:rsid w:val="004717A2"/>
    <w:rsid w:val="00473DF3"/>
    <w:rsid w:val="00487911"/>
    <w:rsid w:val="00491741"/>
    <w:rsid w:val="00497300"/>
    <w:rsid w:val="004B0CEE"/>
    <w:rsid w:val="004E71CA"/>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0317E"/>
    <w:rsid w:val="00611D0C"/>
    <w:rsid w:val="0062378F"/>
    <w:rsid w:val="00641842"/>
    <w:rsid w:val="00651EEC"/>
    <w:rsid w:val="00683D5A"/>
    <w:rsid w:val="00686673"/>
    <w:rsid w:val="00691E8C"/>
    <w:rsid w:val="006A22C4"/>
    <w:rsid w:val="006A348B"/>
    <w:rsid w:val="006A351B"/>
    <w:rsid w:val="006B0422"/>
    <w:rsid w:val="006B0ECC"/>
    <w:rsid w:val="006C1B53"/>
    <w:rsid w:val="006D7730"/>
    <w:rsid w:val="006E5284"/>
    <w:rsid w:val="006F3EB5"/>
    <w:rsid w:val="006F6E93"/>
    <w:rsid w:val="00702E34"/>
    <w:rsid w:val="00704395"/>
    <w:rsid w:val="00710FE7"/>
    <w:rsid w:val="00717621"/>
    <w:rsid w:val="00720FF1"/>
    <w:rsid w:val="00727A53"/>
    <w:rsid w:val="0076627B"/>
    <w:rsid w:val="00767FBF"/>
    <w:rsid w:val="00787B42"/>
    <w:rsid w:val="007C4539"/>
    <w:rsid w:val="007F3657"/>
    <w:rsid w:val="00812ED5"/>
    <w:rsid w:val="008277D9"/>
    <w:rsid w:val="0084478C"/>
    <w:rsid w:val="0086638C"/>
    <w:rsid w:val="00896B37"/>
    <w:rsid w:val="008A3E8D"/>
    <w:rsid w:val="009237C4"/>
    <w:rsid w:val="00944C48"/>
    <w:rsid w:val="00950252"/>
    <w:rsid w:val="00967F5D"/>
    <w:rsid w:val="009A0F95"/>
    <w:rsid w:val="009B3ADF"/>
    <w:rsid w:val="009C3B52"/>
    <w:rsid w:val="009E6817"/>
    <w:rsid w:val="009E6E9A"/>
    <w:rsid w:val="00A01D2B"/>
    <w:rsid w:val="00A37EC9"/>
    <w:rsid w:val="00A42218"/>
    <w:rsid w:val="00A70249"/>
    <w:rsid w:val="00A70B02"/>
    <w:rsid w:val="00A71D9F"/>
    <w:rsid w:val="00A92E9F"/>
    <w:rsid w:val="00B33BEA"/>
    <w:rsid w:val="00B42C25"/>
    <w:rsid w:val="00B43F86"/>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204AD"/>
    <w:rsid w:val="00D205B4"/>
    <w:rsid w:val="00D415BA"/>
    <w:rsid w:val="00D63780"/>
    <w:rsid w:val="00D644EE"/>
    <w:rsid w:val="00D75489"/>
    <w:rsid w:val="00DD06FF"/>
    <w:rsid w:val="00DD3A35"/>
    <w:rsid w:val="00DD5FE9"/>
    <w:rsid w:val="00E00C7A"/>
    <w:rsid w:val="00E209CF"/>
    <w:rsid w:val="00E37D6C"/>
    <w:rsid w:val="00E443D2"/>
    <w:rsid w:val="00E55B68"/>
    <w:rsid w:val="00E67BE6"/>
    <w:rsid w:val="00E8683C"/>
    <w:rsid w:val="00EA2B72"/>
    <w:rsid w:val="00F74360"/>
    <w:rsid w:val="00FB462F"/>
    <w:rsid w:val="00FE16FA"/>
    <w:rsid w:val="00FE328A"/>
    <w:rsid w:val="00FE6269"/>
    <w:rsid w:val="00FF5CD6"/>
    <w:rsid w:val="04E82137"/>
    <w:rsid w:val="08E02D45"/>
    <w:rsid w:val="0C3E385D"/>
    <w:rsid w:val="16C8356B"/>
    <w:rsid w:val="1858013B"/>
    <w:rsid w:val="1A6E62FF"/>
    <w:rsid w:val="1C072BC1"/>
    <w:rsid w:val="21F62A6E"/>
    <w:rsid w:val="26003EA8"/>
    <w:rsid w:val="2C425B8E"/>
    <w:rsid w:val="35FF4A4E"/>
    <w:rsid w:val="38D92C12"/>
    <w:rsid w:val="3C2A328E"/>
    <w:rsid w:val="3C4B742A"/>
    <w:rsid w:val="3CFF2C84"/>
    <w:rsid w:val="4A642AD5"/>
    <w:rsid w:val="52A05C75"/>
    <w:rsid w:val="56202BEC"/>
    <w:rsid w:val="571957A0"/>
    <w:rsid w:val="59223955"/>
    <w:rsid w:val="5F304531"/>
    <w:rsid w:val="62470420"/>
    <w:rsid w:val="66C44D6F"/>
    <w:rsid w:val="692C510F"/>
    <w:rsid w:val="697119CE"/>
    <w:rsid w:val="6B2E31AA"/>
    <w:rsid w:val="6C1A06BB"/>
    <w:rsid w:val="6CD74E0C"/>
    <w:rsid w:val="75CB4B5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240" w:beforeLines="0" w:beforeAutospacing="0" w:after="240" w:afterLines="0" w:afterAutospacing="0" w:line="500" w:lineRule="exact"/>
      <w:ind w:firstLine="0" w:firstLineChars="0"/>
      <w:jc w:val="center"/>
      <w:outlineLvl w:val="0"/>
    </w:pPr>
    <w:rPr>
      <w:rFonts w:eastAsia="黑体" w:asciiTheme="minorAscii" w:hAnsiTheme="minorAscii" w:cstheme="minorBidi"/>
      <w:b/>
      <w:kern w:val="44"/>
      <w:sz w:val="32"/>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Balloon Text"/>
    <w:basedOn w:val="1"/>
    <w:link w:val="13"/>
    <w:semiHidden/>
    <w:unhideWhenUsed/>
    <w:qFormat/>
    <w:uiPriority w:val="99"/>
    <w:rPr>
      <w:sz w:val="18"/>
      <w:szCs w:val="18"/>
    </w:rPr>
  </w:style>
  <w:style w:type="paragraph" w:styleId="5">
    <w:name w:val="footer"/>
    <w:basedOn w:val="1"/>
    <w:link w:val="10"/>
    <w:unhideWhenUsed/>
    <w:qFormat/>
    <w:uiPriority w:val="99"/>
    <w:pPr>
      <w:tabs>
        <w:tab w:val="center" w:pos="4153"/>
        <w:tab w:val="right" w:pos="8306"/>
      </w:tabs>
      <w:snapToGrid w:val="0"/>
      <w:jc w:val="left"/>
    </w:pPr>
    <w:rPr>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8"/>
    <w:link w:val="6"/>
    <w:qFormat/>
    <w:uiPriority w:val="99"/>
    <w:rPr>
      <w:sz w:val="18"/>
      <w:szCs w:val="18"/>
    </w:rPr>
  </w:style>
  <w:style w:type="character" w:customStyle="1" w:styleId="10">
    <w:name w:val="页脚 Char"/>
    <w:basedOn w:val="8"/>
    <w:link w:val="5"/>
    <w:qFormat/>
    <w:uiPriority w:val="99"/>
    <w:rPr>
      <w:sz w:val="18"/>
      <w:szCs w:val="18"/>
    </w:rPr>
  </w:style>
  <w:style w:type="paragraph" w:customStyle="1" w:styleId="11">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2">
    <w:name w:val="List Paragraph"/>
    <w:basedOn w:val="1"/>
    <w:qFormat/>
    <w:uiPriority w:val="34"/>
    <w:pPr>
      <w:ind w:firstLine="420" w:firstLineChars="200"/>
    </w:pPr>
  </w:style>
  <w:style w:type="character" w:customStyle="1" w:styleId="13">
    <w:name w:val="批注框文本 Char"/>
    <w:basedOn w:val="8"/>
    <w:link w:val="4"/>
    <w:semiHidden/>
    <w:qFormat/>
    <w:uiPriority w:val="99"/>
    <w:rPr>
      <w:sz w:val="18"/>
      <w:szCs w:val="18"/>
    </w:rPr>
  </w:style>
  <w:style w:type="paragraph" w:customStyle="1" w:styleId="14">
    <w:name w:val="列表段落"/>
    <w:basedOn w:val="15"/>
    <w:qFormat/>
    <w:uiPriority w:val="34"/>
    <w:pPr>
      <w:ind w:firstLineChars="200"/>
    </w:pPr>
  </w:style>
  <w:style w:type="paragraph" w:customStyle="1" w:styleId="15">
    <w:name w:val="正文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
    <w:name w:val="无间隔1"/>
    <w:qFormat/>
    <w:uiPriority w:val="0"/>
    <w:pPr>
      <w:widowControl w:val="0"/>
      <w:jc w:val="both"/>
    </w:pPr>
    <w:rPr>
      <w:rFonts w:ascii="Calibri" w:hAnsi="Calibri" w:eastAsia="宋体" w:cs="Calibri"/>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20</Pages>
  <Words>6955</Words>
  <Characters>7371</Characters>
  <Lines>50</Lines>
  <Paragraphs>14</Paragraphs>
  <TotalTime>0</TotalTime>
  <ScaleCrop>false</ScaleCrop>
  <LinksUpToDate>false</LinksUpToDate>
  <CharactersWithSpaces>7401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2022-09-23T02:07:00Z</dcterms:created>
  <dc:creator>李航 null</dc:creator>
  <cp:lastModifiedBy>养鱼的猫</cp:lastModifiedBy>
  <cp:lastPrinted>2022-07-27T12:55:00Z</cp:lastPrinted>
  <dcterms:modified xsi:type="dcterms:W3CDTF">2023-09-27T19:06:59Z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CCF4F9E16A7A444D86E3FE996862A4BF_13</vt:lpwstr>
  </property>
</Properties>
</file>