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rFonts w:hint="eastAsia"/>
          <w:sz w:val="84"/>
          <w:szCs w:val="84"/>
        </w:rPr>
      </w:pPr>
      <w:r>
        <w:rPr>
          <w:rFonts w:hint="eastAsia"/>
          <w:sz w:val="84"/>
          <w:szCs w:val="84"/>
        </w:rPr>
        <w:t>怀化市红星路小学</w:t>
      </w:r>
    </w:p>
    <w:p>
      <w:pPr>
        <w:pStyle w:val="12"/>
        <w:jc w:val="center"/>
        <w:rPr>
          <w:sz w:val="84"/>
          <w:szCs w:val="84"/>
        </w:rPr>
      </w:pP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both"/>
        <w:rPr>
          <w:sz w:val="32"/>
          <w:szCs w:val="32"/>
        </w:rPr>
      </w:pPr>
    </w:p>
    <w:p>
      <w:pPr>
        <w:pStyle w:val="12"/>
        <w:spacing w:line="500" w:lineRule="exact"/>
        <w:jc w:val="center"/>
        <w:rPr>
          <w:b/>
          <w:sz w:val="36"/>
          <w:szCs w:val="28"/>
        </w:rPr>
      </w:pPr>
      <w:r>
        <w:rPr>
          <w:rFonts w:hint="eastAsia"/>
          <w:b/>
          <w:sz w:val="36"/>
          <w:szCs w:val="28"/>
        </w:rPr>
        <w:t>目录</w:t>
      </w:r>
    </w:p>
    <w:p>
      <w:pPr>
        <w:pStyle w:val="12"/>
        <w:spacing w:line="500" w:lineRule="exact"/>
        <w:rPr>
          <w:rFonts w:ascii="仿宋_GB2312" w:hAnsi="仿宋_GB2312" w:cs="仿宋_GB2312"/>
          <w:b/>
          <w:sz w:val="28"/>
          <w:szCs w:val="28"/>
        </w:rPr>
      </w:pPr>
      <w:r>
        <w:rPr>
          <w:rFonts w:hint="eastAsia"/>
          <w:b/>
          <w:sz w:val="28"/>
          <w:szCs w:val="28"/>
        </w:rPr>
        <w:t>第一部分单位概况</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rFonts w:hint="eastAsia"/>
          <w:sz w:val="84"/>
          <w:szCs w:val="84"/>
        </w:rPr>
      </w:pPr>
      <w:r>
        <w:rPr>
          <w:rFonts w:hint="eastAsia"/>
          <w:sz w:val="84"/>
          <w:szCs w:val="84"/>
        </w:rPr>
        <w:br w:type="page"/>
      </w:r>
    </w:p>
    <w:p>
      <w:pPr>
        <w:pStyle w:val="12"/>
        <w:jc w:val="center"/>
        <w:rPr>
          <w:rFonts w:hint="eastAsia"/>
          <w:sz w:val="84"/>
          <w:szCs w:val="84"/>
        </w:rPr>
      </w:pPr>
    </w:p>
    <w:p>
      <w:pPr>
        <w:pStyle w:val="12"/>
        <w:jc w:val="center"/>
        <w:rPr>
          <w:rFonts w:hint="eastAsia"/>
          <w:sz w:val="84"/>
          <w:szCs w:val="84"/>
        </w:rPr>
      </w:pPr>
    </w:p>
    <w:p>
      <w:pPr>
        <w:pStyle w:val="12"/>
        <w:jc w:val="both"/>
        <w:rPr>
          <w:rFonts w:hint="eastAsia"/>
          <w:sz w:val="84"/>
          <w:szCs w:val="84"/>
        </w:rPr>
      </w:pPr>
    </w:p>
    <w:p>
      <w:pPr>
        <w:pStyle w:val="12"/>
        <w:jc w:val="center"/>
        <w:rPr>
          <w:sz w:val="84"/>
          <w:szCs w:val="84"/>
        </w:rPr>
      </w:pPr>
      <w:r>
        <w:rPr>
          <w:rFonts w:hint="eastAsia"/>
          <w:sz w:val="84"/>
          <w:szCs w:val="84"/>
        </w:rPr>
        <w:t>第一部分</w:t>
      </w:r>
    </w:p>
    <w:p>
      <w:pPr>
        <w:pStyle w:val="12"/>
        <w:jc w:val="center"/>
        <w:rPr>
          <w:sz w:val="84"/>
          <w:szCs w:val="84"/>
        </w:rPr>
      </w:pPr>
    </w:p>
    <w:p>
      <w:pPr>
        <w:pStyle w:val="12"/>
        <w:jc w:val="center"/>
        <w:rPr>
          <w:rFonts w:hint="eastAsia"/>
          <w:sz w:val="84"/>
          <w:szCs w:val="84"/>
        </w:rPr>
      </w:pPr>
      <w:r>
        <w:rPr>
          <w:rFonts w:hint="eastAsia"/>
          <w:sz w:val="84"/>
          <w:szCs w:val="84"/>
        </w:rPr>
        <w:t>怀化市红星路小学</w:t>
      </w:r>
    </w:p>
    <w:p>
      <w:pPr>
        <w:pStyle w:val="12"/>
        <w:jc w:val="center"/>
        <w:rPr>
          <w:sz w:val="84"/>
          <w:szCs w:val="84"/>
        </w:rPr>
      </w:pP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2"/>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怀化市红星路小学是全额拨款的事业单位。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cs="仿宋" w:asciiTheme="minorEastAsia" w:hAnsiTheme="minorEastAsia"/>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正确贯彻执行党和国家的教育方针、政策、法规，承担小学学历教育。坚持教书育人，服务育人，环境育人方针，加强对学生的思想品德教育，使学生的德智体全面发展。抓好教师队伍建设，使每个教师都热心教育事业。</w:t>
      </w:r>
    </w:p>
    <w:p>
      <w:pPr>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800" w:firstLineChars="250"/>
        <w:rPr>
          <w:rFonts w:cs="仿宋" w:asciiTheme="minorEastAsia" w:hAnsiTheme="minorEastAsia"/>
          <w:sz w:val="32"/>
          <w:szCs w:val="32"/>
        </w:rPr>
      </w:pPr>
      <w:r>
        <w:rPr>
          <w:rFonts w:hint="eastAsia" w:cs="仿宋" w:asciiTheme="minorEastAsia" w:hAnsiTheme="minorEastAsia"/>
          <w:sz w:val="32"/>
          <w:szCs w:val="32"/>
        </w:rPr>
        <w:t>（一）内设机构设置。我校内设机构包括：10个职能室：校长室、副校长室、办公室、德育处、教务处、教研室、总务处、工会、大队部及财务室。</w:t>
      </w:r>
    </w:p>
    <w:p>
      <w:pPr>
        <w:spacing w:line="600" w:lineRule="exact"/>
        <w:ind w:firstLine="800" w:firstLineChars="250"/>
        <w:rPr>
          <w:rFonts w:ascii="宋体" w:hAnsi="宋体" w:eastAsia="宋体" w:cs="宋体"/>
          <w:bCs/>
          <w:kern w:val="0"/>
          <w:sz w:val="28"/>
          <w:szCs w:val="28"/>
        </w:rPr>
      </w:pPr>
      <w:r>
        <w:rPr>
          <w:rFonts w:hint="eastAsia" w:cs="仿宋" w:asciiTheme="minorEastAsia" w:hAnsiTheme="minorEastAsia"/>
          <w:sz w:val="32"/>
          <w:szCs w:val="32"/>
        </w:rPr>
        <w:t>（二）决算单位构成。我校2020年部门决算汇总公开单位构成为本单位。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pStyle w:val="2"/>
      </w:pPr>
    </w:p>
    <w:p>
      <w:pPr>
        <w:pStyle w:val="12"/>
        <w:jc w:val="center"/>
        <w:rPr>
          <w:rFonts w:hint="eastAsia"/>
          <w:sz w:val="84"/>
          <w:szCs w:val="84"/>
        </w:rPr>
      </w:pPr>
      <w:r>
        <w:rPr>
          <w:rFonts w:hint="eastAsia"/>
          <w:sz w:val="84"/>
          <w:szCs w:val="84"/>
        </w:rPr>
        <w:t>第二部分</w:t>
      </w:r>
    </w:p>
    <w:p>
      <w:pPr>
        <w:pStyle w:val="12"/>
        <w:jc w:val="center"/>
        <w:rPr>
          <w:rFonts w:hint="eastAsia"/>
          <w:sz w:val="84"/>
          <w:szCs w:val="84"/>
        </w:rPr>
      </w:pPr>
    </w:p>
    <w:p>
      <w:pPr>
        <w:pStyle w:val="12"/>
        <w:jc w:val="center"/>
        <w:rPr>
          <w:rFonts w:hint="eastAsia"/>
          <w:sz w:val="84"/>
          <w:szCs w:val="84"/>
        </w:rPr>
      </w:pPr>
      <w:r>
        <w:rPr>
          <w:rFonts w:hint="eastAsia"/>
          <w:sz w:val="84"/>
          <w:szCs w:val="84"/>
        </w:rPr>
        <w:t>部门决算表</w:t>
      </w:r>
      <w:r>
        <w:rPr>
          <w:rFonts w:hint="eastAsia"/>
          <w:sz w:val="84"/>
          <w:szCs w:val="84"/>
        </w:rPr>
        <w:br w:type="textWrapping"/>
      </w:r>
      <w:r>
        <w:rPr>
          <w:rFonts w:hint="eastAsia"/>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12"/>
        <w:rPr>
          <w:sz w:val="72"/>
          <w:szCs w:val="72"/>
        </w:rPr>
      </w:pPr>
    </w:p>
    <w:p>
      <w:pPr>
        <w:pStyle w:val="12"/>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both"/>
        <w:rPr>
          <w:sz w:val="72"/>
          <w:szCs w:val="72"/>
        </w:rPr>
      </w:pPr>
    </w:p>
    <w:p>
      <w:pPr>
        <w:pStyle w:val="12"/>
        <w:jc w:val="center"/>
        <w:rPr>
          <w:rFonts w:hint="eastAsia"/>
          <w:sz w:val="84"/>
          <w:szCs w:val="84"/>
        </w:rPr>
      </w:pPr>
      <w:r>
        <w:rPr>
          <w:rFonts w:hint="eastAsia"/>
          <w:sz w:val="84"/>
          <w:szCs w:val="84"/>
        </w:rPr>
        <w:t>第三部分</w:t>
      </w:r>
    </w:p>
    <w:p>
      <w:pPr>
        <w:pStyle w:val="12"/>
        <w:jc w:val="center"/>
        <w:rPr>
          <w:rFonts w:hint="eastAsia"/>
          <w:sz w:val="84"/>
          <w:szCs w:val="84"/>
        </w:rPr>
      </w:pPr>
    </w:p>
    <w:p>
      <w:pPr>
        <w:pStyle w:val="12"/>
        <w:jc w:val="center"/>
        <w:rPr>
          <w:rFonts w:hint="eastAsia"/>
          <w:sz w:val="84"/>
          <w:szCs w:val="84"/>
        </w:rPr>
      </w:pPr>
      <w:r>
        <w:rPr>
          <w:rFonts w:hint="eastAsia"/>
          <w:sz w:val="84"/>
          <w:szCs w:val="84"/>
        </w:rPr>
        <w:t>2021年度部门决算情况说明</w:t>
      </w:r>
    </w:p>
    <w:p>
      <w:pPr>
        <w:widowControl/>
        <w:jc w:val="left"/>
        <w:rPr>
          <w:rFonts w:asciiTheme="minorEastAsia" w:hAnsiTheme="minorEastAsia" w:eastAsiaTheme="minorEastAsia"/>
          <w:sz w:val="32"/>
          <w:szCs w:val="32"/>
        </w:rPr>
      </w:pPr>
      <w:r>
        <w:rPr>
          <w:sz w:val="70"/>
          <w:szCs w:val="70"/>
        </w:rPr>
        <w:br w:type="page"/>
      </w: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2021年度收入合计2116.56万元。与上年相比，增加604.4万元，增长39.97%，主要是因为2021年课后服务费增加了370万，教师公用经费以及人员工资的增加。</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2021年度支出合计1965.6万元</w:t>
      </w:r>
      <w:r>
        <w:rPr>
          <w:rFonts w:hint="eastAsia" w:asciiTheme="minorEastAsia" w:hAnsiTheme="minorEastAsia" w:eastAsiaTheme="minorEastAsia"/>
          <w:sz w:val="32"/>
          <w:szCs w:val="32"/>
          <w:lang w:eastAsia="zh-CN"/>
        </w:rPr>
        <w:t>，年末结转和结余150.96万元，</w:t>
      </w:r>
      <w:r>
        <w:rPr>
          <w:rFonts w:hint="eastAsia" w:asciiTheme="minorEastAsia" w:hAnsiTheme="minorEastAsia" w:eastAsiaTheme="minorEastAsia"/>
          <w:sz w:val="32"/>
          <w:szCs w:val="32"/>
          <w:lang w:val="en-US" w:eastAsia="zh-CN"/>
        </w:rPr>
        <w:t>支出</w:t>
      </w:r>
      <w:r>
        <w:rPr>
          <w:rFonts w:hint="eastAsia" w:asciiTheme="minorEastAsia" w:hAnsiTheme="minorEastAsia" w:eastAsiaTheme="minorEastAsia"/>
          <w:sz w:val="32"/>
          <w:szCs w:val="32"/>
          <w:lang w:eastAsia="zh-CN"/>
        </w:rPr>
        <w:t>总计2116.56万元。</w:t>
      </w:r>
      <w:r>
        <w:rPr>
          <w:rFonts w:hint="eastAsia" w:asciiTheme="minorEastAsia" w:hAnsiTheme="minorEastAsia" w:eastAsiaTheme="minorEastAsia"/>
          <w:sz w:val="32"/>
          <w:szCs w:val="32"/>
        </w:rPr>
        <w:t>与上年相比，增加518.1万元，增长35.79%，主要是因为课后服务费的增加。</w:t>
      </w:r>
    </w:p>
    <w:p>
      <w:pPr>
        <w:pStyle w:val="12"/>
        <w:ind w:firstLine="640" w:firstLineChars="200"/>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2021年度收入合计2116.56万元，其中：财政拨款收入1955.65万元，占92.4%；上级补助收入0万元，占0%；事业收入0万元，占0%；经营收入0万元，占0%；附属单位上缴收入0万元，占0%；其他收入160.91万元，占7.6%。</w:t>
      </w:r>
    </w:p>
    <w:p>
      <w:pPr>
        <w:pStyle w:val="12"/>
        <w:ind w:firstLine="640" w:firstLineChars="200"/>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2021年度支出合计1965.6万元，其中：基本支出1918.64万元，占97.61%；项目支出46.97万元，占2.39%；上缴上级支出0万元，占0%；经营支出0万元，占0%；对附属单位补助支出0万元，占0%。</w:t>
      </w:r>
    </w:p>
    <w:p>
      <w:pPr>
        <w:pStyle w:val="12"/>
        <w:ind w:firstLine="640" w:firstLineChars="200"/>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2021年度财政拨款收入合计1955.65万元。与上年相比，增加580.23万元，增长41.88%，主要是因为课后服务费的增加，教师公用经费及人员工资的增加。</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2021年度财政拨款支出合计1955.65万元。与上年相比，增加580.23万元，增长41.88%，主要是因为课后服务费的增加，教师公用经费及人员工资的增加。</w:t>
      </w:r>
    </w:p>
    <w:p>
      <w:pPr>
        <w:pStyle w:val="12"/>
        <w:ind w:firstLine="640" w:firstLineChars="200"/>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2021年度财政拨款支出1955.65万元，占本年支出合计的99.49%，与上年相比，财政拨款支出增加580.23万元，增长41.88，主要是因为课后服务费的增加，教师公用经费及人员工资的增加。</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2021年度财政拨款支出1955.65万元，主要用于以下方面：一般公共服务（类）支出0万元，占0%；教育（类）支出1955.65万元，占100%。</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2021年度财政拨款支出年初预算数为1545万元，支出决算数为1955.65万元，完成年初预算的126.58%，其中：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1、教育支出（类）普通教育</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款</w:t>
      </w:r>
      <w:r>
        <w:rPr>
          <w:rFonts w:hint="eastAsia" w:asciiTheme="minorEastAsia" w:hAnsiTheme="minorEastAsia" w:eastAsiaTheme="minorEastAsia"/>
          <w:sz w:val="32"/>
          <w:szCs w:val="32"/>
          <w:lang w:eastAsia="zh-CN"/>
        </w:rPr>
        <w:t>）小学教育（</w:t>
      </w:r>
      <w:r>
        <w:rPr>
          <w:rFonts w:hint="eastAsia" w:asciiTheme="minorEastAsia" w:hAnsiTheme="minorEastAsia" w:eastAsiaTheme="minorEastAsia"/>
          <w:sz w:val="32"/>
          <w:szCs w:val="32"/>
          <w:lang w:val="en-US" w:eastAsia="zh-CN"/>
        </w:rPr>
        <w:t>项</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年初预算为1291.52万元，支出决算为1908.68万元，完成年初预算的147.79%，决算数大于年初预算数的主要原因是：预决算口径不一致。</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、教育支出（类）普通教育（款）其他普通教育支出（项）。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年初预算为24.83万元，支出决算为46.97万元，完成年初预算的189.17%，决算数大于年初预算数的主要原因是：预决算口径不一致。</w:t>
      </w:r>
    </w:p>
    <w:p>
      <w:pPr>
        <w:pStyle w:val="12"/>
        <w:ind w:firstLine="640" w:firstLineChars="200"/>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1908.68万元，其中：人员经费1664.94万元，占基本支出的85.13%,主要包括基本工资、津贴补贴、奖金、绩效工资、养老保险缴费、医疗保险缴费、其他保险缴费以及对个人和家庭的生活补助（退休人员）；公用经费243.74万元，占基本支出的12.46%，主要包括办公费、咨询费、水费、电费、差旅费、维修费、租赁费、培训费、劳务费、工会经费、福利费、税金及附加费用、办公设备购置、专用设备购置及其他资本性支出。</w:t>
      </w:r>
    </w:p>
    <w:p>
      <w:pPr>
        <w:pStyle w:val="12"/>
        <w:ind w:firstLine="640" w:firstLineChars="200"/>
        <w:rPr>
          <w:rFonts w:hAnsi="黑体"/>
          <w:b/>
          <w:sz w:val="32"/>
          <w:szCs w:val="32"/>
        </w:rPr>
      </w:pPr>
      <w:r>
        <w:rPr>
          <w:rFonts w:hint="eastAsia" w:hAnsi="黑体"/>
          <w:b/>
          <w:sz w:val="32"/>
          <w:szCs w:val="32"/>
        </w:rPr>
        <w:t>七、一般公共预算财政拨款“三公”经费支出决算情况说明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bookmarkStart w:id="0" w:name="_GoBack"/>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2"/>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公务用车运行维护费支出预算为0万元，支出决算为0万元，由于预算数为0，无法计算百分比，决算数等于预算数的主要原因是未购置公务用车，与上年相比相同。</w:t>
      </w:r>
    </w:p>
    <w:bookmarkEnd w:id="0"/>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3、公务用车购置费及运行维护费支出决算为0万元，其中：公务用车购置费0万元，怀化市红星路小学更新公务用车0辆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公务用车运行维护费0万元，截止2021年12月31日，我单位开支财政拨款的公务用车保有量为0辆。</w:t>
      </w:r>
    </w:p>
    <w:p>
      <w:pPr>
        <w:pStyle w:val="12"/>
        <w:ind w:firstLine="640" w:firstLineChars="200"/>
        <w:rPr>
          <w:rFonts w:hAnsi="黑体"/>
          <w:b/>
          <w:sz w:val="32"/>
          <w:szCs w:val="32"/>
        </w:rPr>
      </w:pPr>
      <w:r>
        <w:rPr>
          <w:rFonts w:hint="eastAsia" w:hAnsi="黑体"/>
          <w:b/>
          <w:sz w:val="32"/>
          <w:szCs w:val="32"/>
        </w:rPr>
        <w:t>八、政府性基金预算收入支出决算情况</w:t>
      </w:r>
    </w:p>
    <w:p>
      <w:pPr>
        <w:pStyle w:val="12"/>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2021年度本单位政府性基金预算财政拨款收入0万元；年初结转和结余0万元；支出0万元，其中基本支出0万元，项目支出0万元；年末结转和结余0万元。</w:t>
      </w:r>
    </w:p>
    <w:p>
      <w:pPr>
        <w:pStyle w:val="12"/>
        <w:ind w:firstLine="640" w:firstLineChars="200"/>
        <w:rPr>
          <w:rFonts w:hAnsi="黑体"/>
          <w:b/>
          <w:sz w:val="32"/>
          <w:szCs w:val="32"/>
        </w:rPr>
      </w:pPr>
      <w:r>
        <w:rPr>
          <w:rFonts w:hint="eastAsia" w:hAnsi="黑体"/>
          <w:b/>
          <w:sz w:val="32"/>
          <w:szCs w:val="32"/>
        </w:rPr>
        <w:t>九、国有资本经营预算财政拨款支出情况</w:t>
      </w:r>
    </w:p>
    <w:p>
      <w:pPr>
        <w:pStyle w:val="12"/>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p>
    <w:p>
      <w:pPr>
        <w:pStyle w:val="12"/>
        <w:ind w:firstLine="640" w:firstLineChars="200"/>
        <w:rPr>
          <w:rFonts w:hAnsi="黑体"/>
          <w:b/>
          <w:sz w:val="32"/>
          <w:szCs w:val="32"/>
        </w:rPr>
      </w:pPr>
      <w:r>
        <w:rPr>
          <w:rFonts w:hint="eastAsia" w:hAnsi="黑体"/>
          <w:b/>
          <w:sz w:val="32"/>
          <w:szCs w:val="32"/>
        </w:rPr>
        <w:t>十、机关运行经费支出说明</w:t>
      </w:r>
    </w:p>
    <w:p>
      <w:pPr>
        <w:pStyle w:val="12"/>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机关运行经费为保障行政单位（含参照公务员法管理的事业单位）运行用于购买货物和服务的各项资金，本单位为财政补助事业单位，无机关运行经费，本单位公用经费为243.74万元，同比增加34.33万元，原因是办公设备购置增加。</w:t>
      </w:r>
    </w:p>
    <w:p>
      <w:pPr>
        <w:pStyle w:val="12"/>
        <w:ind w:firstLine="640" w:firstLineChars="200"/>
        <w:rPr>
          <w:rFonts w:hAnsi="黑体"/>
          <w:b/>
          <w:sz w:val="32"/>
          <w:szCs w:val="32"/>
        </w:rPr>
      </w:pPr>
      <w:r>
        <w:rPr>
          <w:rFonts w:hint="eastAsia" w:hAnsi="黑体"/>
          <w:b/>
          <w:sz w:val="32"/>
          <w:szCs w:val="32"/>
        </w:rPr>
        <w:t>十一、一般性支出情况说明</w:t>
      </w:r>
    </w:p>
    <w:p>
      <w:pPr>
        <w:pStyle w:val="12"/>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会议，人数0人，内容为0；开支培训费3.8万元，用于开展教师培训，人数138人，内容为和美课堂培训、美育培训、暑期培训、党史学习及其他；举办0次节庆、晚会、论坛、赛事活动，开支0万元。</w:t>
      </w:r>
    </w:p>
    <w:p>
      <w:pPr>
        <w:pStyle w:val="12"/>
        <w:ind w:firstLine="640" w:firstLineChars="200"/>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2"/>
        <w:ind w:firstLine="640" w:firstLineChars="200"/>
        <w:rPr>
          <w:rFonts w:hAnsi="黑体"/>
          <w:b/>
          <w:sz w:val="32"/>
          <w:szCs w:val="32"/>
        </w:rPr>
      </w:pPr>
      <w:r>
        <w:rPr>
          <w:rFonts w:hint="eastAsia" w:hAnsi="黑体"/>
          <w:b/>
          <w:sz w:val="32"/>
          <w:szCs w:val="32"/>
        </w:rPr>
        <w:t>十三、国有资产占用情况说明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0；单位价值50万元以上通用设备0台（套）；单位价值100万元以上专用设备0台（套）。</w:t>
      </w:r>
    </w:p>
    <w:p>
      <w:pPr>
        <w:pStyle w:val="12"/>
        <w:ind w:firstLine="640" w:firstLineChars="20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年度一般公共预算项目支出全面开展绩效自评，其中，一级项目2个，二级项目0个，共涉及资金156.42万元，占一般公共预算项目支出总额的7.96</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安保工资”“临聘教师工资”等2个项目开展了部门评价，涉及一般公共预算支出156.42万元，政府性基金预算支出0万元，国有资本经营预算支出0万元。从评价情况来看，项目所有开支均按照我单位财务管理制度执行，资金的使用严格把关，专款专用。项目资金使用与具体项目实施内容相符，绩效总目标和阶段性目标都已按照计划完成，未逾期。</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保证了学校教学工作顺利开展。2021年我校各项工作开展的有生有色，取得了较好的社会效应，周边群众及服务对象满意度较高。项目支出合理、规范、有效，项目目标全部完成，2021年，项目支出绩效评价单位自评得分：99分，等级为优秀。</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（2）部门决算中项目绩效自评结果（如有）。</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“安保工资”项目绩效自评综述：根据年初设定的绩效目标，项目绩效自评得分为100分。项目全年预算数为12.42万元，执行数为12.42万元，完成预算的104.16</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雇佣保安人数为5人；二是确保学校安全事故发生率为0。发现的主要问题及原因：我校是始建于1973年，校舍陈旧，楼梯狭窄，易发生安全事故，下课时保安要负责各个楼梯口的守护工作，责任重大。下一步改进措施：进一步加强安保工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“临聘工资”项目绩效自评综述：根据年初设定的绩效目标，项目绩效自评得分为100分。项目全年预算数为144万元，执行数为150万元，完成预算的100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弥补了师资力量的不足，协助完成我校2723名校学生52个班级的教学及班级管理工作。发现的主要问题是临聘教师师资补稳定，教师培训工作每个学期都要进行，主要原因的很多临聘教师考上了编制。下一步改进措施：加强师资力量的培训，以维持较高的教学及管理水平。</w:t>
      </w:r>
    </w:p>
    <w:p>
      <w:pPr>
        <w:ind w:firstLine="640" w:firstLineChars="200"/>
        <w:jc w:val="left"/>
        <w:rPr>
          <w:rFonts w:cs="黑体" w:asciiTheme="minorEastAsia" w:hAnsiTheme="minorEastAsia"/>
          <w:color w:val="000000"/>
          <w:kern w:val="0"/>
          <w:sz w:val="32"/>
          <w:szCs w:val="32"/>
        </w:rPr>
      </w:pPr>
      <w:r>
        <w:rPr>
          <w:rFonts w:hint="eastAsia" w:asciiTheme="minorEastAsia" w:hAnsiTheme="minorEastAsia"/>
          <w:sz w:val="32"/>
          <w:szCs w:val="32"/>
        </w:rPr>
        <w:t>2</w:t>
      </w:r>
      <w:r>
        <w:rPr>
          <w:rFonts w:hint="eastAsia" w:cs="黑体" w:asciiTheme="minorEastAsia" w:hAnsiTheme="minorEastAsia"/>
          <w:color w:val="000000"/>
          <w:kern w:val="0"/>
          <w:sz w:val="32"/>
          <w:szCs w:val="32"/>
        </w:rPr>
        <w:t>021年在上级部门的正确领导下，保证各项资金使用的真实、合法、有效，充分发挥资金使用效率。年初制定的支出绩效目标总体完成情况良好，学校实现平稳运行，各项教育教学工作正常有序。</w:t>
      </w:r>
    </w:p>
    <w:p>
      <w:pPr>
        <w:numPr>
          <w:ilvl w:val="0"/>
          <w:numId w:val="2"/>
        </w:numPr>
        <w:autoSpaceDE w:val="0"/>
        <w:autoSpaceDN w:val="0"/>
        <w:adjustRightInd w:val="0"/>
        <w:ind w:firstLine="64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部门评价项目绩效评价结果。</w:t>
      </w:r>
    </w:p>
    <w:p>
      <w:pPr>
        <w:ind w:firstLine="640" w:firstLineChars="200"/>
        <w:jc w:val="left"/>
        <w:rPr>
          <w:rFonts w:cs="仿宋" w:asciiTheme="minorEastAsia" w:hAnsiTheme="minorEastAsia"/>
          <w:bCs/>
          <w:sz w:val="30"/>
          <w:szCs w:val="30"/>
        </w:rPr>
      </w:pPr>
      <w:r>
        <w:rPr>
          <w:rFonts w:hint="eastAsia" w:cs="黑体" w:asciiTheme="minorEastAsia" w:hAnsiTheme="minorEastAsia"/>
          <w:color w:val="000000"/>
          <w:kern w:val="0"/>
          <w:sz w:val="32"/>
          <w:szCs w:val="32"/>
        </w:rPr>
        <w:t>“临聘工资”项目已经单独在绩效评价中公开。</w:t>
      </w:r>
    </w:p>
    <w:p>
      <w:pPr>
        <w:autoSpaceDE w:val="0"/>
        <w:autoSpaceDN w:val="0"/>
        <w:adjustRightInd w:val="0"/>
        <w:jc w:val="left"/>
        <w:rPr>
          <w:rFonts w:cs="黑体" w:asciiTheme="minorEastAsia" w:hAnsiTheme="minorEastAsia"/>
          <w:color w:val="000000"/>
          <w:kern w:val="0"/>
          <w:sz w:val="32"/>
          <w:szCs w:val="3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rFonts w:hint="eastAsia"/>
          <w:sz w:val="84"/>
          <w:szCs w:val="84"/>
        </w:rPr>
      </w:pPr>
      <w:r>
        <w:rPr>
          <w:rFonts w:hint="eastAsia"/>
          <w:sz w:val="84"/>
          <w:szCs w:val="84"/>
        </w:rPr>
        <w:t>第四部分</w:t>
      </w:r>
    </w:p>
    <w:p>
      <w:pPr>
        <w:pStyle w:val="12"/>
        <w:jc w:val="center"/>
        <w:rPr>
          <w:rFonts w:hint="eastAsia"/>
          <w:sz w:val="84"/>
          <w:szCs w:val="84"/>
        </w:rPr>
      </w:pPr>
    </w:p>
    <w:p>
      <w:pPr>
        <w:pStyle w:val="12"/>
        <w:jc w:val="center"/>
        <w:rPr>
          <w:rFonts w:hint="eastAsia"/>
          <w:sz w:val="84"/>
          <w:szCs w:val="84"/>
        </w:rPr>
      </w:pPr>
      <w:r>
        <w:rPr>
          <w:rFonts w:hint="eastAsia"/>
          <w:sz w:val="84"/>
          <w:szCs w:val="84"/>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rFonts w:hint="eastAsia"/>
          <w:sz w:val="84"/>
          <w:szCs w:val="84"/>
        </w:rPr>
      </w:pPr>
      <w:r>
        <w:rPr>
          <w:rFonts w:hint="eastAsia"/>
          <w:sz w:val="84"/>
          <w:szCs w:val="84"/>
        </w:rPr>
        <w:t>第五部分</w:t>
      </w:r>
    </w:p>
    <w:p>
      <w:pPr>
        <w:pStyle w:val="12"/>
        <w:jc w:val="center"/>
        <w:rPr>
          <w:rFonts w:hint="eastAsia"/>
          <w:sz w:val="84"/>
          <w:szCs w:val="84"/>
        </w:rPr>
      </w:pPr>
    </w:p>
    <w:p>
      <w:pPr>
        <w:pStyle w:val="12"/>
        <w:jc w:val="center"/>
        <w:rPr>
          <w:rFonts w:hint="eastAsia"/>
          <w:sz w:val="84"/>
          <w:szCs w:val="84"/>
        </w:rPr>
      </w:pPr>
      <w:r>
        <w:rPr>
          <w:rFonts w:hint="eastAsia"/>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500" w:lineRule="exact"/>
        <w:jc w:val="center"/>
        <w:rPr>
          <w:rFonts w:ascii="宋体" w:hAnsi="宋体"/>
          <w:b/>
          <w:sz w:val="44"/>
          <w:szCs w:val="44"/>
        </w:rPr>
      </w:pPr>
      <w:r>
        <w:rPr>
          <w:rFonts w:hint="eastAsia" w:ascii="宋体" w:hAnsi="宋体"/>
          <w:b/>
          <w:sz w:val="44"/>
          <w:szCs w:val="44"/>
        </w:rPr>
        <w:t>怀化市鹤城区红星路小学</w:t>
      </w:r>
    </w:p>
    <w:p>
      <w:pPr>
        <w:spacing w:line="500" w:lineRule="exact"/>
        <w:jc w:val="center"/>
        <w:rPr>
          <w:rFonts w:ascii="楷体" w:hAnsi="楷体" w:eastAsia="楷体"/>
          <w:sz w:val="28"/>
          <w:szCs w:val="28"/>
        </w:rPr>
      </w:pPr>
      <w:r>
        <w:rPr>
          <w:rFonts w:hint="eastAsia" w:ascii="宋体" w:hAnsi="宋体"/>
          <w:b/>
          <w:sz w:val="44"/>
          <w:szCs w:val="44"/>
        </w:rPr>
        <w:t>2021年部门整体绩效目标指标评价报告</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一、部门职能职责：</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怀化市鹤城区红星路小学成立于1975年，承担了小学教育事务。</w:t>
      </w:r>
    </w:p>
    <w:p>
      <w:pPr>
        <w:spacing w:line="500" w:lineRule="exact"/>
        <w:ind w:firstLine="1280" w:firstLineChars="400"/>
        <w:jc w:val="left"/>
        <w:outlineLvl w:val="0"/>
        <w:rPr>
          <w:rFonts w:ascii="仿宋" w:hAnsi="仿宋" w:eastAsia="仿宋"/>
          <w:b/>
          <w:sz w:val="28"/>
          <w:szCs w:val="28"/>
        </w:rPr>
      </w:pPr>
      <w:r>
        <w:rPr>
          <w:rFonts w:hint="eastAsia" w:cs="黑体" w:asciiTheme="minorEastAsia" w:hAnsiTheme="minorEastAsia"/>
          <w:b/>
          <w:color w:val="000000"/>
          <w:kern w:val="0"/>
          <w:sz w:val="32"/>
          <w:szCs w:val="32"/>
        </w:rPr>
        <w:t>部门基本概况：</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2021年部门预算编报范围包括一个机构。单位有编制数122人，在编88人，领导班子成员8人，离退休59人。一个党支部，共有党员32人。</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二、一般公共预算支出情况</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2021年一般公共财政拨款预算支出1965.64万元，实际支出1965.64万元。其中：</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基本支出1908.68万元，包括人员支出1664.94万元（其中基本工资422.38万元，津贴补贴24.23万元，奖金262.48万元，伙食费补助0万元，绩效工资204.26万元，基本养老保险支出115.15万元，基本医疗保险支出59.58万元，其他社会保障及工资福利支出475.5万元。）和公用支出243.73万元（其中办公费18.34万元，印刷费0万元，咨询费2.22万元，水电费38.2万元，差旅费3.99万元，维修费19.41万元，租赁费32万元，培训费3.8万元，劳务费4.37万元，工会会费43.14万元,福利费9.8万元，其他商品及服务支出0万元。）</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二）项目支出46.97万元，包括铸行楼抢险工程项目5.22万元；铸行楼、勤工俭学楼屋顶防漏、厕所防漏、铸行楼后面草坪硬化维修项目9.8万元；红星路小学教学楼及运动场改造项目（该项目2021年12月31日尚未完工结算）31.95万元。</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（三）“三公”经费增减情况，我校2021年度“三公”经费标准为0万元，2021年核定标准为0万元，“三公”经费控制率100%。</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（四）政府采购执行情况，2021年我校政府采购预算为0万元，其中：0万元属于办公设备购置；0万元用于采购，政府采购执行率无。</w:t>
      </w:r>
    </w:p>
    <w:p>
      <w:pPr>
        <w:ind w:firstLine="640" w:firstLineChars="200"/>
        <w:rPr>
          <w:rFonts w:ascii="宋体" w:hAnsi="宋体" w:cs="黑体"/>
          <w:color w:val="000000"/>
          <w:kern w:val="0"/>
          <w:sz w:val="32"/>
          <w:szCs w:val="32"/>
        </w:rPr>
      </w:pPr>
      <w:r>
        <w:rPr>
          <w:rFonts w:hint="eastAsia" w:cs="黑体" w:asciiTheme="minorEastAsia" w:hAnsiTheme="minorEastAsia"/>
          <w:b/>
          <w:color w:val="000000"/>
          <w:kern w:val="0"/>
          <w:sz w:val="32"/>
          <w:szCs w:val="32"/>
        </w:rPr>
        <w:t>三、财务管理及内控建设</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整个项目的运行完全按照我校内部管理制度、区教育局及财政的有关规定执行，所有开支均按照财务管理制度严格执行，不存在违规违法的问题。</w:t>
      </w:r>
    </w:p>
    <w:p>
      <w:pPr>
        <w:numPr>
          <w:ilvl w:val="0"/>
          <w:numId w:val="3"/>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绩效目标完成情况</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2021年在上级部门的正确领导下，保证各项资金使用的真实、合法、有效，充分发挥资金使用效率。年初制定的支出绩效目标总体完成情况良好，学校实现平稳运行，各项教育教学工作正常有序。</w:t>
      </w:r>
    </w:p>
    <w:p>
      <w:pPr>
        <w:numPr>
          <w:ilvl w:val="0"/>
          <w:numId w:val="4"/>
        </w:numPr>
        <w:spacing w:line="360" w:lineRule="auto"/>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存在的不足和建议</w:t>
      </w:r>
    </w:p>
    <w:p>
      <w:pPr>
        <w:spacing w:line="360" w:lineRule="auto"/>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不足之处：</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1、学校的固定资产管理有待加强，下年度将加强人员配备，按要求逐步完善固定资产实物管理。</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2、更加科学合理编制预算，今后努力学习预算制度，更加合理地编制预算，提高预算管理效率。</w:t>
      </w:r>
    </w:p>
    <w:p>
      <w:pPr>
        <w:widowControl/>
        <w:shd w:val="clear" w:color="auto" w:fill="FFFFFF"/>
        <w:spacing w:line="600" w:lineRule="atLeast"/>
        <w:ind w:firstLine="632" w:firstLineChars="200"/>
        <w:rPr>
          <w:rFonts w:ascii="宋体" w:hAnsi="宋体" w:eastAsia="宋体" w:cs="宋体"/>
          <w:b/>
          <w:spacing w:val="-2"/>
          <w:sz w:val="32"/>
          <w:szCs w:val="32"/>
        </w:rPr>
      </w:pPr>
      <w:r>
        <w:rPr>
          <w:rFonts w:hint="eastAsia" w:ascii="宋体" w:hAnsi="宋体" w:eastAsia="宋体" w:cs="宋体"/>
          <w:b/>
          <w:spacing w:val="-2"/>
          <w:sz w:val="32"/>
          <w:szCs w:val="32"/>
        </w:rPr>
        <w:t>建议：</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预算前增加各部门预算汇总上报环节；</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加强预算的前瞻性和指导性，提高预算的指导性作用。</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3</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加强资产管理人员配备，专项工作落实落细。</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4</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加强相关人员业务培训，学习预算及绩效评价管理水平，提升业务能力。</w:t>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8CACC6"/>
    <w:multiLevelType w:val="singleLevel"/>
    <w:tmpl w:val="B48CACC6"/>
    <w:lvl w:ilvl="0" w:tentative="0">
      <w:start w:val="3"/>
      <w:numFmt w:val="decimal"/>
      <w:suff w:val="nothing"/>
      <w:lvlText w:val="（%1）"/>
      <w:lvlJc w:val="left"/>
      <w:pPr>
        <w:ind w:left="200"/>
      </w:pPr>
    </w:lvl>
  </w:abstractNum>
  <w:abstractNum w:abstractNumId="1">
    <w:nsid w:val="19F992D7"/>
    <w:multiLevelType w:val="singleLevel"/>
    <w:tmpl w:val="19F992D7"/>
    <w:lvl w:ilvl="0" w:tentative="0">
      <w:start w:val="4"/>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990B0E"/>
    <w:multiLevelType w:val="singleLevel"/>
    <w:tmpl w:val="71990B0E"/>
    <w:lvl w:ilvl="0" w:tentative="0">
      <w:start w:val="5"/>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43AC9"/>
    <w:rsid w:val="00152C6D"/>
    <w:rsid w:val="00156117"/>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15FAA"/>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54D1573"/>
    <w:rsid w:val="0C2818C8"/>
    <w:rsid w:val="13F06918"/>
    <w:rsid w:val="22631951"/>
    <w:rsid w:val="2F692ADB"/>
    <w:rsid w:val="35060416"/>
    <w:rsid w:val="3DD725AA"/>
    <w:rsid w:val="450610C6"/>
    <w:rsid w:val="49725756"/>
    <w:rsid w:val="61D73615"/>
    <w:rsid w:val="66ED0F5A"/>
    <w:rsid w:val="6ADE5D6A"/>
    <w:rsid w:val="6D1E0EA2"/>
    <w:rsid w:val="6DCB7E55"/>
    <w:rsid w:val="70EB7C9C"/>
    <w:rsid w:val="74442868"/>
    <w:rsid w:val="7FCF7F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5838</Words>
  <Characters>6383</Characters>
  <Lines>49</Lines>
  <Paragraphs>13</Paragraphs>
  <TotalTime>0</TotalTime>
  <ScaleCrop>false</ScaleCrop>
  <LinksUpToDate>false</LinksUpToDate>
  <CharactersWithSpaces>6437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2023-09-27T18:41:40Z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DE9531980A4D452A9C9FE9E276523EF3</vt:lpwstr>
  </property>
</Properties>
</file>