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2021年度</w:t>
      </w:r>
    </w:p>
    <w:p>
      <w:pPr>
        <w:pStyle w:val="11"/>
        <w:jc w:val="center"/>
        <w:rPr>
          <w:sz w:val="72"/>
          <w:szCs w:val="72"/>
        </w:rPr>
      </w:pPr>
      <w:r>
        <w:rPr>
          <w:rFonts w:hint="eastAsia"/>
          <w:sz w:val="72"/>
          <w:szCs w:val="72"/>
        </w:rPr>
        <w:t>怀化市鹤城区总工会部门决算</w:t>
      </w:r>
    </w:p>
    <w:p>
      <w:pPr>
        <w:pStyle w:val="11"/>
        <w:spacing w:line="500" w:lineRule="exact"/>
        <w:jc w:val="center"/>
        <w:rPr>
          <w:sz w:val="32"/>
          <w:szCs w:val="32"/>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both"/>
        <w:rPr>
          <w:b/>
          <w:sz w:val="36"/>
          <w:szCs w:val="28"/>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第一部分怀化市鹤城区总工会单位概况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697" w:firstLineChars="2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第一部分</w:t>
      </w:r>
    </w:p>
    <w:p>
      <w:pPr>
        <w:pStyle w:val="11"/>
        <w:jc w:val="center"/>
        <w:rPr>
          <w:sz w:val="84"/>
          <w:szCs w:val="84"/>
        </w:rPr>
      </w:pPr>
      <w:r>
        <w:rPr>
          <w:rFonts w:hint="eastAsia"/>
          <w:sz w:val="84"/>
          <w:szCs w:val="84"/>
        </w:rPr>
        <w:t>怀化市鹤城区总工会</w:t>
      </w:r>
      <w:r>
        <w:rPr>
          <w:rFonts w:hint="eastAsia"/>
          <w:sz w:val="84"/>
          <w:szCs w:val="84"/>
          <w:lang w:val="en-US" w:eastAsia="zh-CN"/>
        </w:rPr>
        <w:t>单位</w:t>
      </w:r>
      <w:r>
        <w:rPr>
          <w:rFonts w:hint="eastAsia"/>
          <w:sz w:val="84"/>
          <w:szCs w:val="84"/>
        </w:rPr>
        <w:t>概况</w:t>
      </w:r>
    </w:p>
    <w:p>
      <w:pPr>
        <w:pStyle w:val="12"/>
        <w:ind w:left="720" w:firstLine="0" w:firstLineChars="0"/>
        <w:jc w:val="left"/>
        <w:rPr>
          <w:rFonts w:ascii="黑体" w:hAnsi="黑体" w:eastAsia="黑体"/>
          <w:sz w:val="32"/>
          <w:szCs w:val="32"/>
        </w:rPr>
      </w:pPr>
    </w:p>
    <w:p>
      <w:pPr>
        <w:pStyle w:val="12"/>
        <w:ind w:firstLine="0" w:firstLineChars="0"/>
        <w:jc w:val="left"/>
        <w:rPr>
          <w:rFonts w:ascii="黑体" w:hAnsi="黑体" w:eastAsia="黑体"/>
          <w:sz w:val="32"/>
          <w:szCs w:val="32"/>
        </w:rPr>
      </w:pPr>
    </w:p>
    <w:p>
      <w:pPr>
        <w:pStyle w:val="12"/>
        <w:ind w:firstLine="0" w:firstLineChars="0"/>
        <w:jc w:val="left"/>
        <w:rPr>
          <w:rFonts w:ascii="黑体" w:hAnsi="黑体" w:eastAsia="黑体"/>
          <w:sz w:val="32"/>
          <w:szCs w:val="32"/>
        </w:rPr>
      </w:pPr>
    </w:p>
    <w:p>
      <w:pPr>
        <w:pStyle w:val="12"/>
        <w:ind w:firstLine="0" w:firstLineChars="0"/>
        <w:jc w:val="left"/>
        <w:rPr>
          <w:rFonts w:ascii="黑体" w:hAnsi="黑体" w:eastAsia="黑体"/>
          <w:sz w:val="32"/>
          <w:szCs w:val="32"/>
        </w:rPr>
      </w:pPr>
    </w:p>
    <w:p>
      <w:pPr>
        <w:pStyle w:val="12"/>
        <w:ind w:firstLine="0" w:firstLineChars="0"/>
        <w:jc w:val="left"/>
        <w:rPr>
          <w:rFonts w:ascii="黑体" w:hAnsi="黑体" w:eastAsia="黑体"/>
          <w:sz w:val="32"/>
          <w:szCs w:val="32"/>
        </w:rPr>
      </w:pPr>
    </w:p>
    <w:p>
      <w:pPr>
        <w:pStyle w:val="12"/>
        <w:ind w:firstLine="0" w:firstLineChars="0"/>
        <w:jc w:val="left"/>
        <w:rPr>
          <w:rFonts w:ascii="黑体" w:hAnsi="黑体" w:eastAsia="黑体"/>
          <w:sz w:val="32"/>
          <w:szCs w:val="32"/>
        </w:rPr>
      </w:pPr>
    </w:p>
    <w:p>
      <w:pPr>
        <w:pStyle w:val="12"/>
        <w:ind w:firstLine="0" w:firstLineChars="0"/>
        <w:jc w:val="left"/>
        <w:rPr>
          <w:rFonts w:ascii="黑体" w:hAnsi="黑体" w:eastAsia="黑体"/>
          <w:sz w:val="32"/>
          <w:szCs w:val="32"/>
        </w:rPr>
      </w:pPr>
    </w:p>
    <w:p>
      <w:pPr>
        <w:pStyle w:val="12"/>
        <w:ind w:firstLine="0" w:firstLineChars="0"/>
        <w:jc w:val="left"/>
        <w:rPr>
          <w:rFonts w:ascii="黑体" w:hAnsi="黑体" w:eastAsia="黑体"/>
          <w:sz w:val="32"/>
          <w:szCs w:val="32"/>
        </w:rPr>
      </w:pPr>
    </w:p>
    <w:p>
      <w:pPr>
        <w:pStyle w:val="12"/>
        <w:ind w:firstLine="0" w:firstLineChars="0"/>
        <w:jc w:val="left"/>
        <w:rPr>
          <w:rFonts w:hint="eastAsia" w:ascii="黑体" w:hAnsi="黑体" w:eastAsia="黑体"/>
          <w:sz w:val="32"/>
          <w:szCs w:val="32"/>
        </w:rPr>
      </w:pPr>
    </w:p>
    <w:p>
      <w:pPr>
        <w:pStyle w:val="12"/>
        <w:ind w:firstLine="0" w:firstLineChars="0"/>
        <w:jc w:val="left"/>
        <w:rPr>
          <w:rFonts w:ascii="黑体" w:hAnsi="黑体" w:eastAsia="黑体"/>
          <w:sz w:val="32"/>
          <w:szCs w:val="32"/>
        </w:rPr>
      </w:pPr>
    </w:p>
    <w:p>
      <w:pPr>
        <w:pStyle w:val="12"/>
        <w:ind w:firstLine="0" w:firstLineChars="0"/>
        <w:jc w:val="left"/>
        <w:rPr>
          <w:rFonts w:ascii="黑体" w:hAnsi="黑体" w:eastAsia="黑体"/>
          <w:sz w:val="32"/>
          <w:szCs w:val="32"/>
        </w:rPr>
      </w:pPr>
    </w:p>
    <w:p>
      <w:pPr>
        <w:pStyle w:val="12"/>
        <w:ind w:firstLine="640"/>
        <w:jc w:val="left"/>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部门职责</w:t>
      </w:r>
    </w:p>
    <w:p>
      <w:pPr>
        <w:widowControl/>
        <w:shd w:val="clear" w:color="auto" w:fill="FFFFFF"/>
        <w:spacing w:line="330" w:lineRule="atLeast"/>
        <w:ind w:firstLine="627" w:firstLineChars="196"/>
        <w:jc w:val="left"/>
        <w:rPr>
          <w:rFonts w:hint="eastAsia" w:ascii="仿宋" w:hAnsi="仿宋" w:eastAsia="仿宋" w:cs="仿宋"/>
          <w:color w:val="333333"/>
          <w:sz w:val="32"/>
          <w:szCs w:val="32"/>
          <w:lang w:eastAsia="zh-CN"/>
        </w:rPr>
      </w:pPr>
      <w:r>
        <w:rPr>
          <w:rFonts w:hint="eastAsia" w:ascii="仿宋" w:hAnsi="仿宋" w:eastAsia="仿宋" w:cs="仿宋"/>
          <w:color w:val="333333"/>
          <w:kern w:val="0"/>
          <w:sz w:val="32"/>
          <w:szCs w:val="32"/>
          <w:shd w:val="clear" w:color="auto" w:fill="FFFFFF"/>
        </w:rPr>
        <w:t>(一)依据党的基本理论、基本路线、基本纲领和工运方针，围绕党和国家的工作大局，贯彻执行中国工会全国代表大会和执委会议确定的方针任务和作出的决议</w:t>
      </w:r>
      <w:r>
        <w:rPr>
          <w:rFonts w:hint="eastAsia" w:ascii="仿宋" w:hAnsi="仿宋" w:eastAsia="仿宋" w:cs="仿宋"/>
          <w:color w:val="333333"/>
          <w:kern w:val="0"/>
          <w:sz w:val="32"/>
          <w:szCs w:val="32"/>
          <w:shd w:val="clear" w:color="auto" w:fill="FFFFFF"/>
          <w:lang w:eastAsia="zh-CN"/>
        </w:rPr>
        <w:t>；</w:t>
      </w:r>
    </w:p>
    <w:p>
      <w:pPr>
        <w:widowControl/>
        <w:shd w:val="clear" w:color="auto" w:fill="FFFFFF"/>
        <w:spacing w:line="330" w:lineRule="atLeast"/>
        <w:ind w:firstLine="640" w:firstLineChars="200"/>
        <w:jc w:val="left"/>
        <w:rPr>
          <w:rFonts w:hint="eastAsia" w:ascii="仿宋" w:hAnsi="仿宋" w:eastAsia="仿宋" w:cs="仿宋"/>
          <w:color w:val="333333"/>
          <w:kern w:val="0"/>
          <w:sz w:val="32"/>
          <w:szCs w:val="32"/>
          <w:shd w:val="clear" w:color="auto" w:fill="FFFFFF"/>
          <w:lang w:eastAsia="zh-CN"/>
        </w:rPr>
      </w:pPr>
      <w:r>
        <w:rPr>
          <w:rFonts w:hint="eastAsia" w:ascii="仿宋" w:hAnsi="仿宋" w:eastAsia="仿宋" w:cs="仿宋"/>
          <w:color w:val="333333"/>
          <w:kern w:val="0"/>
          <w:sz w:val="32"/>
          <w:szCs w:val="32"/>
          <w:shd w:val="clear" w:color="auto" w:fill="FFFFFF"/>
        </w:rPr>
        <w:t>(二)依照法律和中国工会章程，领导全区各级工会组织围绕党的中心开展工会各项工作，组织和指导全区各级工会坚定不移地推动党的全心全意依靠工人阶级根本指导方针的贯彻落实，进一步突出和履行维护职能。通过维护，更好地保护、调动和发挥广大职工的积极性、创造性，并把这种积极性、创造性，通过各种形式组织和引导到完成党和政府提出的各项任务上来</w:t>
      </w:r>
      <w:r>
        <w:rPr>
          <w:rFonts w:hint="eastAsia" w:ascii="仿宋" w:hAnsi="仿宋" w:eastAsia="仿宋" w:cs="仿宋"/>
          <w:color w:val="333333"/>
          <w:kern w:val="0"/>
          <w:sz w:val="32"/>
          <w:szCs w:val="32"/>
          <w:shd w:val="clear" w:color="auto" w:fill="FFFFFF"/>
          <w:lang w:eastAsia="zh-CN"/>
        </w:rPr>
        <w:t>；</w:t>
      </w:r>
    </w:p>
    <w:p>
      <w:pPr>
        <w:widowControl/>
        <w:shd w:val="clear" w:color="auto" w:fill="FFFFFF"/>
        <w:spacing w:line="330" w:lineRule="atLeast"/>
        <w:jc w:val="left"/>
        <w:rPr>
          <w:rFonts w:hint="eastAsia" w:ascii="仿宋" w:hAnsi="仿宋" w:eastAsia="仿宋" w:cs="仿宋"/>
          <w:color w:val="333333"/>
          <w:sz w:val="32"/>
          <w:szCs w:val="32"/>
          <w:lang w:eastAsia="zh-CN"/>
        </w:rPr>
      </w:pPr>
      <w:r>
        <w:rPr>
          <w:rFonts w:hint="eastAsia" w:ascii="仿宋" w:hAnsi="仿宋" w:eastAsia="仿宋" w:cs="仿宋"/>
          <w:color w:val="333333"/>
          <w:kern w:val="0"/>
          <w:sz w:val="32"/>
          <w:szCs w:val="32"/>
          <w:shd w:val="clear" w:color="auto" w:fill="FFFFFF"/>
        </w:rPr>
        <w:t xml:space="preserve"> </w:t>
      </w:r>
      <w:r>
        <w:rPr>
          <w:rFonts w:hint="eastAsia" w:ascii="仿宋" w:hAnsi="仿宋" w:eastAsia="仿宋" w:cs="仿宋"/>
          <w:color w:val="333333"/>
          <w:kern w:val="0"/>
          <w:sz w:val="32"/>
          <w:szCs w:val="32"/>
          <w:shd w:val="clear" w:color="auto" w:fill="FFFFFF"/>
          <w:lang w:val="en-US" w:eastAsia="zh-CN"/>
        </w:rPr>
        <w:t xml:space="preserve">   </w:t>
      </w:r>
      <w:r>
        <w:rPr>
          <w:rFonts w:hint="eastAsia" w:ascii="仿宋" w:hAnsi="仿宋" w:eastAsia="仿宋" w:cs="仿宋"/>
          <w:color w:val="333333"/>
          <w:kern w:val="0"/>
          <w:sz w:val="32"/>
          <w:szCs w:val="32"/>
          <w:shd w:val="clear" w:color="auto" w:fill="FFFFFF"/>
        </w:rPr>
        <w:t>(三)围绕职工合法权益的重大问题进行调查研究，向区委和政府反映职工群众的思想、愿望和要求，提出意见和建议；参与涉及职工切身利益的有关立法和政策、措施、制度的制定；对侵犯职工合法权益重大事件进行调查并提出处理意见，参与职工重大伤亡事故的调查处理</w:t>
      </w:r>
      <w:r>
        <w:rPr>
          <w:rFonts w:hint="eastAsia" w:ascii="仿宋" w:hAnsi="仿宋" w:eastAsia="仿宋" w:cs="仿宋"/>
          <w:color w:val="333333"/>
          <w:kern w:val="0"/>
          <w:sz w:val="32"/>
          <w:szCs w:val="32"/>
          <w:shd w:val="clear" w:color="auto" w:fill="FFFFFF"/>
          <w:lang w:eastAsia="zh-CN"/>
        </w:rPr>
        <w:t>；</w:t>
      </w:r>
    </w:p>
    <w:p>
      <w:pPr>
        <w:widowControl/>
        <w:shd w:val="clear" w:color="auto" w:fill="FFFFFF"/>
        <w:spacing w:line="330" w:lineRule="atLeast"/>
        <w:ind w:firstLine="640"/>
        <w:jc w:val="left"/>
        <w:rPr>
          <w:rFonts w:hint="eastAsia" w:ascii="仿宋" w:hAnsi="仿宋" w:eastAsia="仿宋" w:cs="仿宋"/>
          <w:color w:val="333333"/>
          <w:kern w:val="0"/>
          <w:sz w:val="32"/>
          <w:szCs w:val="32"/>
          <w:shd w:val="clear" w:color="auto" w:fill="FFFFFF"/>
          <w:lang w:eastAsia="zh-CN"/>
        </w:rPr>
      </w:pPr>
      <w:r>
        <w:rPr>
          <w:rFonts w:hint="eastAsia" w:ascii="仿宋" w:hAnsi="仿宋" w:eastAsia="仿宋" w:cs="仿宋"/>
          <w:color w:val="333333"/>
          <w:kern w:val="0"/>
          <w:sz w:val="32"/>
          <w:szCs w:val="32"/>
          <w:shd w:val="clear" w:color="auto" w:fill="FFFFFF"/>
        </w:rPr>
        <w:t>(四)负责工会理论政策研究，为全区各级工会提供理论政策服务；研究制定工会的组织制度和民主制度，监督检查《工会法》和《中国工会章程》的贯彻执行；研究指导工会自身改革和建设；指导基层工会组织职工开展以职工代表大会为基本制度的民主选举、民主决策、民主管理和民主监督工作，研究和推动基层工会建立平等协商、集体合同制度和监督保证机制；指导基层工会协助行政不断提高职工的思想道德和科学文化技术素质及组织、指导基层工会开展职工文体活动</w:t>
      </w:r>
      <w:r>
        <w:rPr>
          <w:rFonts w:hint="eastAsia" w:ascii="仿宋" w:hAnsi="仿宋" w:eastAsia="仿宋" w:cs="仿宋"/>
          <w:color w:val="333333"/>
          <w:kern w:val="0"/>
          <w:sz w:val="32"/>
          <w:szCs w:val="32"/>
          <w:shd w:val="clear" w:color="auto" w:fill="FFFFFF"/>
          <w:lang w:eastAsia="zh-CN"/>
        </w:rPr>
        <w:t>；</w:t>
      </w:r>
    </w:p>
    <w:p>
      <w:pPr>
        <w:widowControl/>
        <w:shd w:val="clear" w:color="auto" w:fill="FFFFFF"/>
        <w:spacing w:line="330" w:lineRule="atLeast"/>
        <w:ind w:firstLine="640"/>
        <w:jc w:val="left"/>
        <w:rPr>
          <w:rFonts w:hint="eastAsia" w:ascii="仿宋" w:hAnsi="仿宋" w:eastAsia="仿宋" w:cs="仿宋"/>
          <w:color w:val="333333"/>
          <w:sz w:val="32"/>
          <w:szCs w:val="32"/>
          <w:lang w:eastAsia="zh-CN"/>
        </w:rPr>
      </w:pPr>
      <w:r>
        <w:rPr>
          <w:rFonts w:hint="eastAsia" w:ascii="仿宋" w:hAnsi="仿宋" w:eastAsia="仿宋" w:cs="仿宋"/>
          <w:color w:val="333333"/>
          <w:kern w:val="0"/>
          <w:sz w:val="32"/>
          <w:szCs w:val="32"/>
          <w:shd w:val="clear" w:color="auto" w:fill="FFFFFF"/>
        </w:rPr>
        <w:t>(五)承担全国、全区、全市劳动模范的推荐、评选和管理工作；负责全国、全区五一劳动奖章、奖状获得者的评选表彰和管理工作</w:t>
      </w:r>
      <w:r>
        <w:rPr>
          <w:rFonts w:hint="eastAsia" w:ascii="仿宋" w:hAnsi="仿宋" w:eastAsia="仿宋" w:cs="仿宋"/>
          <w:color w:val="333333"/>
          <w:kern w:val="0"/>
          <w:sz w:val="32"/>
          <w:szCs w:val="32"/>
          <w:shd w:val="clear" w:color="auto" w:fill="FFFFFF"/>
          <w:lang w:eastAsia="zh-CN"/>
        </w:rPr>
        <w:t>；</w:t>
      </w:r>
    </w:p>
    <w:p>
      <w:pPr>
        <w:widowControl/>
        <w:shd w:val="clear" w:color="auto" w:fill="FFFFFF"/>
        <w:spacing w:line="330" w:lineRule="atLeast"/>
        <w:jc w:val="left"/>
        <w:rPr>
          <w:rFonts w:hint="eastAsia" w:ascii="仿宋" w:hAnsi="仿宋" w:eastAsia="仿宋" w:cs="仿宋"/>
          <w:color w:val="333333"/>
          <w:sz w:val="32"/>
          <w:szCs w:val="32"/>
          <w:lang w:eastAsia="zh-CN"/>
        </w:rPr>
      </w:pPr>
      <w:r>
        <w:rPr>
          <w:rFonts w:hint="eastAsia" w:ascii="仿宋" w:hAnsi="仿宋" w:eastAsia="仿宋" w:cs="仿宋"/>
          <w:color w:val="333333"/>
          <w:kern w:val="0"/>
          <w:sz w:val="32"/>
          <w:szCs w:val="32"/>
          <w:shd w:val="clear" w:color="auto" w:fill="FFFFFF"/>
        </w:rPr>
        <w:t xml:space="preserve">    (六)负责全区工会经费和工会资产的管理、审查、审计工作；研究制定兴办职工劳动福利事业的有关制度和规定，负责对职工劳动福利事业的指导、协调工作</w:t>
      </w:r>
      <w:r>
        <w:rPr>
          <w:rFonts w:hint="eastAsia" w:ascii="仿宋" w:hAnsi="仿宋" w:eastAsia="仿宋" w:cs="仿宋"/>
          <w:color w:val="333333"/>
          <w:kern w:val="0"/>
          <w:sz w:val="32"/>
          <w:szCs w:val="32"/>
          <w:shd w:val="clear" w:color="auto" w:fill="FFFFFF"/>
          <w:lang w:eastAsia="zh-CN"/>
        </w:rPr>
        <w:t>；</w:t>
      </w:r>
    </w:p>
    <w:p>
      <w:pPr>
        <w:widowControl/>
        <w:shd w:val="clear" w:color="auto" w:fill="FFFFFF"/>
        <w:spacing w:line="330" w:lineRule="atLeast"/>
        <w:jc w:val="left"/>
        <w:rPr>
          <w:rFonts w:hint="eastAsia" w:ascii="仿宋" w:hAnsi="仿宋" w:eastAsia="仿宋" w:cs="仿宋"/>
          <w:color w:val="333333"/>
          <w:sz w:val="32"/>
          <w:szCs w:val="32"/>
          <w:lang w:eastAsia="zh-CN"/>
        </w:rPr>
      </w:pPr>
      <w:r>
        <w:rPr>
          <w:rFonts w:hint="eastAsia" w:ascii="仿宋" w:hAnsi="仿宋" w:eastAsia="仿宋" w:cs="仿宋"/>
          <w:color w:val="333333"/>
          <w:kern w:val="0"/>
          <w:sz w:val="32"/>
          <w:szCs w:val="32"/>
          <w:shd w:val="clear" w:color="auto" w:fill="FFFFFF"/>
        </w:rPr>
        <w:t xml:space="preserve">    (七)负责全区工会国际交流工作，发展同各国工会的友好关系；负责与港澳台工会的交流合作工作</w:t>
      </w:r>
      <w:r>
        <w:rPr>
          <w:rFonts w:hint="eastAsia" w:ascii="仿宋" w:hAnsi="仿宋" w:eastAsia="仿宋" w:cs="仿宋"/>
          <w:color w:val="333333"/>
          <w:kern w:val="0"/>
          <w:sz w:val="32"/>
          <w:szCs w:val="32"/>
          <w:shd w:val="clear" w:color="auto" w:fill="FFFFFF"/>
          <w:lang w:eastAsia="zh-CN"/>
        </w:rPr>
        <w:t>；</w:t>
      </w:r>
    </w:p>
    <w:p>
      <w:pPr>
        <w:ind w:firstLine="435"/>
        <w:rPr>
          <w:rFonts w:ascii="仿宋" w:hAnsi="仿宋" w:eastAsia="仿宋" w:cs="仿宋"/>
          <w:color w:val="333333"/>
          <w:kern w:val="0"/>
          <w:sz w:val="32"/>
          <w:szCs w:val="32"/>
          <w:shd w:val="clear" w:color="auto" w:fill="FFFFFF"/>
        </w:rPr>
      </w:pPr>
      <w:r>
        <w:rPr>
          <w:rFonts w:hint="eastAsia" w:ascii="仿宋" w:hAnsi="仿宋" w:eastAsia="仿宋" w:cs="仿宋"/>
          <w:color w:val="333333"/>
          <w:kern w:val="0"/>
          <w:sz w:val="32"/>
          <w:szCs w:val="32"/>
          <w:shd w:val="clear" w:color="auto" w:fill="FFFFFF"/>
        </w:rPr>
        <w:t xml:space="preserve"> (八)承担区委交办的其他事项和人民政府委托处理的有关问题。</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ascii="宋体" w:hAnsi="宋体"/>
          <w:bCs/>
          <w:kern w:val="0"/>
          <w:sz w:val="32"/>
          <w:szCs w:val="32"/>
        </w:rPr>
      </w:pPr>
      <w:r>
        <w:rPr>
          <w:rFonts w:hint="eastAsia" w:ascii="宋体" w:hAnsi="宋体"/>
          <w:bCs/>
          <w:kern w:val="0"/>
          <w:sz w:val="32"/>
          <w:szCs w:val="32"/>
        </w:rPr>
        <w:t>（一）内设机构设置。总工会作为一级部门预算单位，总工会内设4个部室，分别为：办公室</w:t>
      </w:r>
      <w:r>
        <w:rPr>
          <w:rFonts w:hint="eastAsia" w:ascii="宋体" w:hAnsi="宋体"/>
          <w:b/>
          <w:bCs/>
          <w:kern w:val="0"/>
          <w:sz w:val="32"/>
          <w:szCs w:val="32"/>
        </w:rPr>
        <w:t>、</w:t>
      </w:r>
      <w:r>
        <w:rPr>
          <w:rFonts w:hint="eastAsia" w:ascii="宋体" w:hAnsi="宋体"/>
          <w:bCs/>
          <w:kern w:val="0"/>
          <w:sz w:val="32"/>
          <w:szCs w:val="32"/>
        </w:rPr>
        <w:t>法保部、组宣部、财务部。2019年我会编制人数为在职编制数11人（其中行政编制3人，事业编制6人，自收自支编制2人）,离退休人员12人（离休1人，退休11人）。</w:t>
      </w:r>
    </w:p>
    <w:p>
      <w:pPr>
        <w:widowControl/>
        <w:spacing w:line="600" w:lineRule="exact"/>
        <w:ind w:firstLine="640" w:firstLineChars="200"/>
        <w:rPr>
          <w:rFonts w:ascii="宋体" w:hAnsi="宋体"/>
          <w:bCs/>
          <w:kern w:val="0"/>
          <w:sz w:val="32"/>
          <w:szCs w:val="32"/>
        </w:rPr>
      </w:pPr>
      <w:r>
        <w:rPr>
          <w:rFonts w:hint="eastAsia" w:ascii="宋体" w:hAnsi="宋体"/>
          <w:bCs/>
          <w:kern w:val="0"/>
          <w:sz w:val="32"/>
          <w:szCs w:val="32"/>
        </w:rPr>
        <w:t>（二）决算单位构成。鹤城区总工会</w:t>
      </w:r>
      <w:r>
        <w:rPr>
          <w:rFonts w:ascii="宋体" w:hAnsi="宋体"/>
          <w:bCs/>
          <w:kern w:val="0"/>
          <w:sz w:val="32"/>
          <w:szCs w:val="32"/>
        </w:rPr>
        <w:t>20</w:t>
      </w:r>
      <w:r>
        <w:rPr>
          <w:rFonts w:hint="eastAsia" w:ascii="宋体" w:hAnsi="宋体"/>
          <w:bCs/>
          <w:kern w:val="0"/>
          <w:sz w:val="32"/>
          <w:szCs w:val="32"/>
        </w:rPr>
        <w:t>20年部门决算汇总公开单位构成包括：鹤城区总工会本级。</w:t>
      </w:r>
    </w:p>
    <w:p>
      <w:pPr>
        <w:jc w:val="left"/>
        <w:rPr>
          <w:rFonts w:ascii="仿宋_GB2312" w:hAnsi="宋体" w:eastAsia="仿宋_GB2312"/>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both"/>
        <w:rPr>
          <w:rFonts w:hint="eastAsia"/>
          <w:sz w:val="72"/>
          <w:szCs w:val="72"/>
        </w:rPr>
      </w:pPr>
    </w:p>
    <w:p>
      <w:pPr>
        <w:jc w:val="center"/>
        <w:rPr>
          <w:rFonts w:hint="eastAsia"/>
          <w:sz w:val="72"/>
          <w:szCs w:val="72"/>
        </w:rPr>
      </w:pPr>
    </w:p>
    <w:p>
      <w:pPr>
        <w:jc w:val="center"/>
        <w:rPr>
          <w:rFonts w:hint="eastAsia"/>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宋体" w:hAnsi="宋体"/>
          <w:sz w:val="32"/>
          <w:szCs w:val="32"/>
        </w:rPr>
        <w:sectPr>
          <w:pgSz w:w="11906" w:h="16838"/>
          <w:pgMar w:top="720" w:right="720" w:bottom="720" w:left="720" w:header="851" w:footer="992" w:gutter="0"/>
          <w:cols w:space="720" w:num="1"/>
          <w:docGrid w:type="lines" w:linePitch="312" w:charSpace="0"/>
        </w:sectPr>
      </w:pPr>
    </w:p>
    <w:p>
      <w:pPr>
        <w:pStyle w:val="11"/>
        <w:ind w:firstLine="360" w:firstLineChars="50"/>
        <w:jc w:val="center"/>
        <w:rPr>
          <w:sz w:val="72"/>
          <w:szCs w:val="72"/>
        </w:rPr>
      </w:pPr>
    </w:p>
    <w:p>
      <w:pPr>
        <w:pStyle w:val="11"/>
        <w:ind w:firstLine="360" w:firstLineChars="50"/>
        <w:jc w:val="center"/>
        <w:rPr>
          <w:sz w:val="72"/>
          <w:szCs w:val="72"/>
        </w:rPr>
      </w:pPr>
    </w:p>
    <w:p>
      <w:pPr>
        <w:pStyle w:val="11"/>
        <w:ind w:firstLine="360" w:firstLineChars="50"/>
        <w:jc w:val="center"/>
        <w:rPr>
          <w:sz w:val="72"/>
          <w:szCs w:val="72"/>
        </w:rPr>
      </w:pPr>
    </w:p>
    <w:p>
      <w:pPr>
        <w:pStyle w:val="11"/>
        <w:ind w:firstLine="360" w:firstLineChars="50"/>
        <w:jc w:val="center"/>
        <w:rPr>
          <w:sz w:val="72"/>
          <w:szCs w:val="72"/>
        </w:rPr>
      </w:pPr>
    </w:p>
    <w:p>
      <w:pPr>
        <w:pStyle w:val="11"/>
        <w:ind w:firstLine="360" w:firstLineChars="50"/>
        <w:jc w:val="center"/>
        <w:rPr>
          <w:sz w:val="72"/>
          <w:szCs w:val="72"/>
        </w:rPr>
      </w:pPr>
    </w:p>
    <w:p>
      <w:pPr>
        <w:pStyle w:val="11"/>
        <w:ind w:firstLine="360" w:firstLineChars="50"/>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ind w:firstLine="640" w:firstLineChars="200"/>
        <w:jc w:val="left"/>
        <w:rPr>
          <w:rFonts w:hAnsi="黑体"/>
          <w:b/>
          <w:sz w:val="32"/>
          <w:szCs w:val="32"/>
        </w:rPr>
      </w:pPr>
    </w:p>
    <w:p>
      <w:pPr>
        <w:widowControl/>
        <w:ind w:firstLine="640" w:firstLineChars="200"/>
        <w:jc w:val="left"/>
        <w:rPr>
          <w:rFonts w:hAnsi="黑体"/>
          <w:b/>
          <w:sz w:val="32"/>
          <w:szCs w:val="32"/>
        </w:rPr>
      </w:pPr>
    </w:p>
    <w:p>
      <w:pPr>
        <w:widowControl/>
        <w:ind w:firstLine="640" w:firstLineChars="200"/>
        <w:jc w:val="left"/>
        <w:rPr>
          <w:rFonts w:hAnsi="黑体"/>
          <w:b/>
          <w:sz w:val="32"/>
          <w:szCs w:val="32"/>
        </w:rPr>
      </w:pPr>
    </w:p>
    <w:p>
      <w:pPr>
        <w:widowControl/>
        <w:ind w:firstLine="640" w:firstLineChars="200"/>
        <w:jc w:val="left"/>
        <w:rPr>
          <w:rFonts w:hAnsi="黑体"/>
          <w:b/>
          <w:sz w:val="32"/>
          <w:szCs w:val="32"/>
        </w:rPr>
      </w:pPr>
    </w:p>
    <w:p>
      <w:pPr>
        <w:widowControl/>
        <w:ind w:firstLine="640" w:firstLineChars="200"/>
        <w:jc w:val="left"/>
        <w:rPr>
          <w:rFonts w:hAnsi="黑体"/>
          <w:b/>
          <w:sz w:val="32"/>
          <w:szCs w:val="32"/>
        </w:rPr>
      </w:pPr>
    </w:p>
    <w:p>
      <w:pPr>
        <w:widowControl/>
        <w:ind w:firstLine="640" w:firstLineChars="200"/>
        <w:jc w:val="left"/>
        <w:rPr>
          <w:rFonts w:hAnsi="黑体"/>
          <w:b/>
          <w:sz w:val="32"/>
          <w:szCs w:val="32"/>
        </w:rPr>
      </w:pPr>
    </w:p>
    <w:p>
      <w:pPr>
        <w:widowControl/>
        <w:ind w:firstLine="640" w:firstLineChars="200"/>
        <w:jc w:val="left"/>
        <w:rPr>
          <w:rFonts w:hAnsi="黑体"/>
          <w:b/>
          <w:sz w:val="32"/>
          <w:szCs w:val="32"/>
        </w:rPr>
      </w:pPr>
    </w:p>
    <w:p>
      <w:pPr>
        <w:widowControl/>
        <w:ind w:firstLine="640" w:firstLineChars="200"/>
        <w:jc w:val="left"/>
        <w:rPr>
          <w:rFonts w:hAnsi="黑体"/>
          <w:b/>
          <w:sz w:val="32"/>
          <w:szCs w:val="32"/>
        </w:rPr>
      </w:pPr>
    </w:p>
    <w:p>
      <w:pPr>
        <w:widowControl/>
        <w:ind w:firstLine="640" w:firstLineChars="200"/>
        <w:jc w:val="left"/>
        <w:rPr>
          <w:rFonts w:hAnsi="黑体"/>
          <w:b/>
          <w:sz w:val="32"/>
          <w:szCs w:val="32"/>
        </w:rPr>
      </w:pPr>
    </w:p>
    <w:p>
      <w:pPr>
        <w:widowControl/>
        <w:ind w:firstLine="640" w:firstLineChars="200"/>
        <w:jc w:val="left"/>
        <w:rPr>
          <w:rFonts w:hAnsi="黑体"/>
          <w:b/>
          <w:sz w:val="32"/>
          <w:szCs w:val="32"/>
        </w:rPr>
      </w:pPr>
    </w:p>
    <w:p>
      <w:pPr>
        <w:widowControl/>
        <w:ind w:firstLine="640" w:firstLineChars="200"/>
        <w:jc w:val="left"/>
        <w:rPr>
          <w:rFonts w:hAnsi="黑体"/>
          <w:b/>
          <w:sz w:val="32"/>
          <w:szCs w:val="32"/>
        </w:rPr>
      </w:pPr>
    </w:p>
    <w:p>
      <w:pPr>
        <w:widowControl/>
        <w:ind w:firstLine="640" w:firstLineChars="200"/>
        <w:jc w:val="left"/>
        <w:rPr>
          <w:rFonts w:hAnsi="黑体"/>
          <w:b/>
          <w:sz w:val="32"/>
          <w:szCs w:val="32"/>
        </w:rPr>
      </w:pPr>
    </w:p>
    <w:p>
      <w:pPr>
        <w:widowControl/>
        <w:ind w:firstLine="640" w:firstLineChars="200"/>
        <w:jc w:val="left"/>
        <w:rPr>
          <w:rFonts w:ascii="黑体" w:eastAsia="黑体" w:cs="黑体"/>
          <w:color w:val="000000"/>
          <w:kern w:val="0"/>
          <w:sz w:val="70"/>
          <w:szCs w:val="70"/>
        </w:rPr>
      </w:pPr>
      <w:r>
        <w:rPr>
          <w:rFonts w:hint="eastAsia" w:hAnsi="黑体"/>
          <w:b/>
          <w:sz w:val="32"/>
          <w:szCs w:val="32"/>
        </w:rPr>
        <w:t>一、收入支出决算总体情况说明</w:t>
      </w:r>
    </w:p>
    <w:p>
      <w:pPr>
        <w:pStyle w:val="11"/>
        <w:ind w:firstLine="640" w:firstLineChars="200"/>
        <w:rPr>
          <w:rFonts w:ascii="宋体" w:hAnsi="宋体" w:eastAsia="宋体"/>
          <w:sz w:val="32"/>
          <w:szCs w:val="32"/>
        </w:rPr>
      </w:pPr>
      <w:r>
        <w:rPr>
          <w:rFonts w:hint="eastAsia" w:ascii="宋体" w:hAnsi="宋体" w:eastAsia="宋体"/>
          <w:sz w:val="32"/>
          <w:szCs w:val="32"/>
        </w:rPr>
        <w:t>2021年度收入总计238.38万元。与上年相比，增加15.17万元，增长6.79%，主要是因为人员经费增加了。</w:t>
      </w:r>
    </w:p>
    <w:p>
      <w:pPr>
        <w:pStyle w:val="11"/>
        <w:ind w:firstLine="640" w:firstLineChars="200"/>
        <w:rPr>
          <w:rFonts w:ascii="宋体" w:hAnsi="宋体" w:eastAsia="宋体"/>
          <w:sz w:val="32"/>
          <w:szCs w:val="32"/>
        </w:rPr>
      </w:pPr>
      <w:r>
        <w:rPr>
          <w:rFonts w:hint="eastAsia" w:ascii="宋体" w:hAnsi="宋体" w:eastAsia="宋体"/>
          <w:sz w:val="32"/>
          <w:szCs w:val="32"/>
        </w:rPr>
        <w:t>2021年度支出总计238.38万元。与上年相比，增加15.17万元，增长6.79%，主要是因为人员经费增加了。</w:t>
      </w:r>
    </w:p>
    <w:p>
      <w:pPr>
        <w:pStyle w:val="11"/>
        <w:ind w:firstLine="640" w:firstLineChars="200"/>
        <w:rPr>
          <w:rFonts w:hAnsi="黑体"/>
          <w:b/>
          <w:sz w:val="32"/>
          <w:szCs w:val="32"/>
        </w:rPr>
      </w:pPr>
      <w:r>
        <w:rPr>
          <w:rFonts w:hint="eastAsia" w:hAnsi="黑体"/>
          <w:b/>
          <w:sz w:val="32"/>
          <w:szCs w:val="32"/>
        </w:rPr>
        <w:t>二、收入决算情况说明</w:t>
      </w:r>
    </w:p>
    <w:p>
      <w:pPr>
        <w:pStyle w:val="11"/>
        <w:ind w:firstLine="640" w:firstLineChars="200"/>
        <w:rPr>
          <w:rFonts w:ascii="宋体" w:hAnsi="宋体" w:eastAsia="宋体"/>
          <w:sz w:val="32"/>
          <w:szCs w:val="32"/>
        </w:rPr>
      </w:pPr>
      <w:r>
        <w:rPr>
          <w:rFonts w:hint="eastAsia" w:ascii="宋体" w:hAnsi="宋体" w:eastAsia="宋体"/>
          <w:sz w:val="32"/>
          <w:szCs w:val="32"/>
        </w:rPr>
        <w:t>本年收入合计238.38万元，其中：财政拨款收入238.38万元，占100%；上级补助收入0万元，占0%；事业收入0万元，占0%；经营收入0万元，占0%；附属单位上缴收入0万元，占0%；其他收入0万元，占0%。</w:t>
      </w:r>
    </w:p>
    <w:p>
      <w:pPr>
        <w:pStyle w:val="11"/>
        <w:ind w:firstLine="640" w:firstLineChars="200"/>
        <w:rPr>
          <w:rFonts w:hAnsi="黑体"/>
          <w:b/>
          <w:sz w:val="32"/>
          <w:szCs w:val="32"/>
        </w:rPr>
      </w:pPr>
      <w:r>
        <w:rPr>
          <w:rFonts w:hint="eastAsia" w:hAnsi="黑体"/>
          <w:b/>
          <w:sz w:val="32"/>
          <w:szCs w:val="32"/>
        </w:rPr>
        <w:t>三、支出决算情况说明</w:t>
      </w:r>
    </w:p>
    <w:p>
      <w:pPr>
        <w:pStyle w:val="11"/>
        <w:ind w:firstLine="640" w:firstLineChars="200"/>
        <w:rPr>
          <w:rFonts w:ascii="宋体" w:hAnsi="宋体" w:eastAsia="宋体"/>
          <w:sz w:val="32"/>
          <w:szCs w:val="32"/>
        </w:rPr>
      </w:pPr>
      <w:r>
        <w:rPr>
          <w:rFonts w:hint="eastAsia" w:ascii="宋体" w:hAnsi="宋体" w:eastAsia="宋体"/>
          <w:sz w:val="32"/>
          <w:szCs w:val="32"/>
        </w:rPr>
        <w:t>本年支出合计238.38万元，其中：基本支出150.38万元，占63.09%；项目支出88万元，占36.92%；上缴上级支出88万元，占36.92%；经营支出0万元，占0%；对附属单位补助支出0万元，占0%。</w:t>
      </w:r>
    </w:p>
    <w:p>
      <w:pPr>
        <w:pStyle w:val="11"/>
        <w:ind w:firstLine="640" w:firstLineChars="200"/>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宋体" w:hAnsi="宋体" w:eastAsia="宋体"/>
          <w:sz w:val="32"/>
          <w:szCs w:val="32"/>
        </w:rPr>
      </w:pPr>
      <w:r>
        <w:rPr>
          <w:rFonts w:hint="eastAsia" w:ascii="宋体" w:hAnsi="宋体" w:eastAsia="宋体"/>
          <w:sz w:val="32"/>
          <w:szCs w:val="32"/>
        </w:rPr>
        <w:t>2021年度财政拨款收入总计238.38万元。与上年相比，增加15.17万元，增长6.79%，主要是因为人员经费增加了。</w:t>
      </w:r>
    </w:p>
    <w:p>
      <w:pPr>
        <w:pStyle w:val="11"/>
        <w:ind w:firstLine="640" w:firstLineChars="200"/>
        <w:rPr>
          <w:rFonts w:ascii="宋体" w:hAnsi="宋体" w:eastAsia="宋体"/>
          <w:sz w:val="32"/>
          <w:szCs w:val="32"/>
        </w:rPr>
      </w:pPr>
      <w:r>
        <w:rPr>
          <w:rFonts w:hint="eastAsia" w:ascii="宋体" w:hAnsi="宋体" w:eastAsia="宋体"/>
          <w:sz w:val="32"/>
          <w:szCs w:val="32"/>
        </w:rPr>
        <w:t>2021年度财政拨款支出总计238.38万元。与上年相比，增加15.17万元，增长6.79%，主要是因为人员经费增加了。</w:t>
      </w:r>
    </w:p>
    <w:p>
      <w:pPr>
        <w:pStyle w:val="11"/>
        <w:ind w:firstLine="640" w:firstLineChars="200"/>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宋体" w:hAnsi="宋体" w:eastAsia="宋体"/>
          <w:b/>
          <w:sz w:val="32"/>
          <w:szCs w:val="32"/>
        </w:rPr>
      </w:pPr>
      <w:r>
        <w:rPr>
          <w:rFonts w:hint="eastAsia" w:ascii="宋体" w:hAnsi="宋体" w:eastAsia="宋体"/>
          <w:b/>
          <w:sz w:val="32"/>
          <w:szCs w:val="32"/>
        </w:rPr>
        <w:t>（一）财政拨款支出决算总体情况</w:t>
      </w:r>
    </w:p>
    <w:p>
      <w:pPr>
        <w:pStyle w:val="11"/>
        <w:ind w:firstLine="800" w:firstLineChars="250"/>
        <w:rPr>
          <w:rFonts w:ascii="宋体" w:hAnsi="宋体" w:eastAsia="宋体"/>
          <w:sz w:val="32"/>
          <w:szCs w:val="32"/>
        </w:rPr>
      </w:pPr>
      <w:r>
        <w:rPr>
          <w:rFonts w:hint="eastAsia" w:ascii="宋体" w:hAnsi="宋体" w:eastAsia="宋体"/>
          <w:sz w:val="32"/>
          <w:szCs w:val="32"/>
        </w:rPr>
        <w:t>2021年度财政拨款支出238.38万元，占本年支出合计的100%，与上年相比，财政拨款支出增加15.17万元，增长6.79%，主要是因为人员经费增加了。</w:t>
      </w:r>
    </w:p>
    <w:p>
      <w:pPr>
        <w:pStyle w:val="11"/>
        <w:ind w:firstLine="640" w:firstLineChars="200"/>
        <w:rPr>
          <w:rFonts w:ascii="宋体" w:hAnsi="宋体" w:eastAsia="宋体"/>
          <w:b/>
          <w:sz w:val="32"/>
          <w:szCs w:val="32"/>
        </w:rPr>
      </w:pPr>
      <w:r>
        <w:rPr>
          <w:rFonts w:hint="eastAsia" w:ascii="宋体" w:hAnsi="宋体" w:eastAsia="宋体"/>
          <w:b/>
          <w:sz w:val="32"/>
          <w:szCs w:val="32"/>
        </w:rPr>
        <w:t>（二）财政拨款支出决算结构情况</w:t>
      </w:r>
    </w:p>
    <w:p>
      <w:pPr>
        <w:pStyle w:val="11"/>
        <w:ind w:firstLine="640" w:firstLineChars="200"/>
        <w:rPr>
          <w:rFonts w:hint="eastAsia" w:ascii="宋体" w:hAnsi="宋体" w:eastAsia="宋体"/>
          <w:sz w:val="32"/>
          <w:szCs w:val="32"/>
        </w:rPr>
      </w:pPr>
      <w:r>
        <w:rPr>
          <w:rFonts w:hint="eastAsia" w:ascii="宋体" w:hAnsi="宋体" w:eastAsia="宋体"/>
          <w:sz w:val="32"/>
          <w:szCs w:val="32"/>
        </w:rPr>
        <w:t>2021年度财政拨款支出238.38万元，主要用于以下方面：一般公共服务（类）支出191.62万元，占80.38%；教育（类）支出0万元，占0%;社会保障和就业支出</w:t>
      </w:r>
      <w:r>
        <w:rPr>
          <w:rFonts w:hint="eastAsia" w:ascii="宋体" w:hAnsi="宋体" w:eastAsia="宋体"/>
          <w:sz w:val="32"/>
          <w:szCs w:val="32"/>
          <w:lang w:val="en-US" w:eastAsia="zh-CN"/>
        </w:rPr>
        <w:t>39.92</w:t>
      </w:r>
      <w:r>
        <w:rPr>
          <w:rFonts w:hint="eastAsia" w:ascii="宋体" w:hAnsi="宋体" w:eastAsia="宋体"/>
          <w:sz w:val="32"/>
          <w:szCs w:val="32"/>
        </w:rPr>
        <w:t>万元，占</w:t>
      </w:r>
      <w:r>
        <w:rPr>
          <w:rFonts w:hint="eastAsia" w:ascii="宋体" w:hAnsi="宋体" w:eastAsia="宋体"/>
          <w:sz w:val="32"/>
          <w:szCs w:val="32"/>
          <w:lang w:val="en-US" w:eastAsia="zh-CN"/>
        </w:rPr>
        <w:t>16.75</w:t>
      </w:r>
      <w:r>
        <w:rPr>
          <w:rFonts w:hint="eastAsia" w:ascii="宋体" w:hAnsi="宋体" w:eastAsia="宋体"/>
          <w:sz w:val="32"/>
          <w:szCs w:val="32"/>
        </w:rPr>
        <w:t>%</w:t>
      </w:r>
      <w:r>
        <w:rPr>
          <w:rFonts w:hint="eastAsia" w:ascii="宋体" w:hAnsi="宋体" w:eastAsia="宋体"/>
          <w:sz w:val="32"/>
          <w:szCs w:val="32"/>
          <w:lang w:eastAsia="zh-CN"/>
        </w:rPr>
        <w:t>；</w:t>
      </w:r>
      <w:r>
        <w:rPr>
          <w:rFonts w:hint="eastAsia" w:ascii="宋体" w:hAnsi="宋体" w:eastAsia="宋体"/>
          <w:sz w:val="32"/>
          <w:szCs w:val="32"/>
          <w:lang w:val="en-US" w:eastAsia="zh-CN"/>
        </w:rPr>
        <w:t>卫生健康支出6.85万元，</w:t>
      </w:r>
      <w:r>
        <w:rPr>
          <w:rFonts w:hint="eastAsia" w:ascii="宋体" w:hAnsi="宋体" w:eastAsia="宋体"/>
          <w:sz w:val="32"/>
          <w:szCs w:val="32"/>
        </w:rPr>
        <w:t>占</w:t>
      </w:r>
      <w:r>
        <w:rPr>
          <w:rFonts w:hint="eastAsia" w:ascii="宋体" w:hAnsi="宋体" w:eastAsia="宋体"/>
          <w:sz w:val="32"/>
          <w:szCs w:val="32"/>
          <w:lang w:val="en-US" w:eastAsia="zh-CN"/>
        </w:rPr>
        <w:t>2.87</w:t>
      </w:r>
      <w:r>
        <w:rPr>
          <w:rFonts w:hint="eastAsia" w:ascii="宋体" w:hAnsi="宋体" w:eastAsia="宋体"/>
          <w:sz w:val="32"/>
          <w:szCs w:val="32"/>
        </w:rPr>
        <w:t>%。</w:t>
      </w:r>
    </w:p>
    <w:p>
      <w:pPr>
        <w:pStyle w:val="11"/>
        <w:ind w:firstLine="640" w:firstLineChars="200"/>
        <w:rPr>
          <w:rFonts w:hint="default" w:ascii="宋体" w:hAnsi="宋体" w:eastAsia="宋体"/>
          <w:b/>
          <w:sz w:val="32"/>
          <w:szCs w:val="32"/>
          <w:lang w:val="en-US" w:eastAsia="zh-CN"/>
        </w:rPr>
      </w:pPr>
      <w:r>
        <w:rPr>
          <w:rFonts w:hint="eastAsia" w:ascii="宋体" w:hAnsi="宋体" w:eastAsia="宋体"/>
          <w:b/>
          <w:sz w:val="32"/>
          <w:szCs w:val="32"/>
        </w:rPr>
        <w:t>（三）财政拨款支出决算具体情况</w:t>
      </w:r>
    </w:p>
    <w:p>
      <w:pPr>
        <w:pStyle w:val="11"/>
        <w:ind w:firstLine="800" w:firstLineChars="250"/>
        <w:rPr>
          <w:rFonts w:ascii="宋体" w:hAnsi="宋体" w:eastAsia="宋体"/>
          <w:sz w:val="32"/>
          <w:szCs w:val="32"/>
        </w:rPr>
      </w:pPr>
      <w:r>
        <w:rPr>
          <w:rFonts w:hint="eastAsia" w:ascii="宋体" w:hAnsi="宋体" w:eastAsia="宋体"/>
          <w:sz w:val="32"/>
          <w:szCs w:val="32"/>
        </w:rPr>
        <w:t>2021年度财政拨款支出年初预算数为238.38万元，支出决算数为238.38万元，完成年初预算的100%，其中：</w:t>
      </w:r>
    </w:p>
    <w:p>
      <w:pPr>
        <w:pStyle w:val="11"/>
        <w:ind w:firstLine="800" w:firstLineChars="250"/>
        <w:rPr>
          <w:rFonts w:ascii="宋体" w:hAnsi="宋体" w:eastAsia="宋体"/>
          <w:sz w:val="32"/>
          <w:szCs w:val="32"/>
        </w:rPr>
      </w:pPr>
      <w:r>
        <w:rPr>
          <w:rFonts w:hint="eastAsia" w:ascii="宋体" w:hAnsi="宋体" w:eastAsia="宋体"/>
          <w:sz w:val="32"/>
          <w:szCs w:val="32"/>
        </w:rPr>
        <w:t>1、一般公共服务（类）群众团体事务（款）行政运行（项）。</w:t>
      </w:r>
    </w:p>
    <w:p>
      <w:pPr>
        <w:pStyle w:val="11"/>
        <w:ind w:firstLine="800" w:firstLineChars="250"/>
        <w:rPr>
          <w:rFonts w:ascii="宋体" w:hAnsi="宋体" w:eastAsia="宋体"/>
          <w:sz w:val="32"/>
          <w:szCs w:val="32"/>
        </w:rPr>
      </w:pPr>
      <w:r>
        <w:rPr>
          <w:rFonts w:hint="eastAsia" w:ascii="宋体" w:hAnsi="宋体" w:eastAsia="宋体"/>
          <w:sz w:val="32"/>
          <w:szCs w:val="32"/>
        </w:rPr>
        <w:t>年初预算为191.62万元，支出决算为191.62万元，完成年初预算的100%，决算数与预算数持平。</w:t>
      </w:r>
    </w:p>
    <w:p>
      <w:pPr>
        <w:pStyle w:val="11"/>
        <w:ind w:firstLine="800" w:firstLineChars="250"/>
        <w:rPr>
          <w:rFonts w:ascii="宋体" w:hAnsi="宋体" w:eastAsia="宋体"/>
          <w:sz w:val="32"/>
          <w:szCs w:val="32"/>
        </w:rPr>
      </w:pPr>
      <w:r>
        <w:rPr>
          <w:rFonts w:hint="eastAsia" w:ascii="宋体" w:hAnsi="宋体" w:eastAsia="宋体"/>
          <w:sz w:val="32"/>
          <w:szCs w:val="32"/>
        </w:rPr>
        <w:t>2、行政事业单位养老支出（类）机关事业单位基本养老保险费支出（款）社会保障和就业支出（项）。</w:t>
      </w:r>
    </w:p>
    <w:p>
      <w:pPr>
        <w:pStyle w:val="11"/>
        <w:ind w:firstLine="800" w:firstLineChars="250"/>
        <w:rPr>
          <w:rFonts w:ascii="宋体" w:hAnsi="宋体" w:eastAsia="宋体"/>
          <w:sz w:val="32"/>
          <w:szCs w:val="32"/>
        </w:rPr>
      </w:pPr>
      <w:r>
        <w:rPr>
          <w:rFonts w:hint="eastAsia" w:ascii="宋体" w:hAnsi="宋体" w:eastAsia="宋体"/>
          <w:sz w:val="32"/>
          <w:szCs w:val="32"/>
        </w:rPr>
        <w:t>年初预算为46.77元，支出决算为46.77万元，完成年初预算的100%，决算数与年初预算数持平。</w:t>
      </w:r>
    </w:p>
    <w:p>
      <w:pPr>
        <w:pStyle w:val="11"/>
        <w:ind w:firstLine="640" w:firstLineChars="200"/>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宋体" w:hAnsi="宋体" w:eastAsia="宋体"/>
          <w:sz w:val="32"/>
          <w:szCs w:val="32"/>
        </w:rPr>
      </w:pPr>
      <w:r>
        <w:rPr>
          <w:rFonts w:hint="eastAsia" w:ascii="宋体" w:hAnsi="宋体" w:eastAsia="宋体"/>
          <w:sz w:val="32"/>
          <w:szCs w:val="32"/>
        </w:rPr>
        <w:t>2021年度财政拨款基本支出</w:t>
      </w:r>
      <w:r>
        <w:rPr>
          <w:rFonts w:hint="eastAsia" w:ascii="宋体" w:hAnsi="宋体"/>
          <w:sz w:val="32"/>
          <w:szCs w:val="32"/>
          <w:lang w:val="en-US" w:eastAsia="zh-CN"/>
        </w:rPr>
        <w:t>150.38</w:t>
      </w:r>
      <w:r>
        <w:rPr>
          <w:rFonts w:hint="eastAsia" w:ascii="宋体" w:hAnsi="宋体" w:eastAsia="宋体"/>
          <w:sz w:val="32"/>
          <w:szCs w:val="32"/>
        </w:rPr>
        <w:t>万元，其中：人员经费1</w:t>
      </w:r>
      <w:r>
        <w:rPr>
          <w:rFonts w:hint="eastAsia" w:ascii="宋体" w:hAnsi="宋体"/>
          <w:sz w:val="32"/>
          <w:szCs w:val="32"/>
          <w:lang w:val="en-US" w:eastAsia="zh-CN"/>
        </w:rPr>
        <w:t>37.62</w:t>
      </w:r>
      <w:r>
        <w:rPr>
          <w:rFonts w:hint="eastAsia" w:ascii="宋体" w:hAnsi="宋体" w:eastAsia="宋体"/>
          <w:sz w:val="32"/>
          <w:szCs w:val="32"/>
        </w:rPr>
        <w:t>万元，占基本支出的</w:t>
      </w:r>
      <w:r>
        <w:rPr>
          <w:rFonts w:hint="eastAsia" w:ascii="宋体" w:hAnsi="宋体" w:eastAsia="宋体"/>
          <w:sz w:val="32"/>
          <w:szCs w:val="32"/>
          <w:lang w:val="en-US" w:eastAsia="zh-CN"/>
        </w:rPr>
        <w:t>91.51</w:t>
      </w:r>
      <w:r>
        <w:rPr>
          <w:rFonts w:hint="eastAsia" w:ascii="宋体" w:hAnsi="宋体" w:eastAsia="宋体"/>
          <w:sz w:val="32"/>
          <w:szCs w:val="32"/>
        </w:rPr>
        <w:t>%,主要包括基本工资、津贴补贴、奖金、伙食补助费、机关事业单位基本养老保险缴费、奖励金、其他工资福利支出、奖励金；公用经费</w:t>
      </w:r>
      <w:r>
        <w:rPr>
          <w:rFonts w:hint="eastAsia" w:ascii="宋体" w:hAnsi="宋体"/>
          <w:sz w:val="32"/>
          <w:szCs w:val="32"/>
          <w:lang w:val="en-US" w:eastAsia="zh-CN"/>
        </w:rPr>
        <w:t>12.76</w:t>
      </w:r>
      <w:r>
        <w:rPr>
          <w:rFonts w:hint="eastAsia" w:ascii="宋体" w:hAnsi="宋体" w:eastAsia="宋体"/>
          <w:sz w:val="32"/>
          <w:szCs w:val="32"/>
        </w:rPr>
        <w:t>万元，占基本支出的</w:t>
      </w:r>
      <w:r>
        <w:rPr>
          <w:rFonts w:hint="eastAsia" w:ascii="宋体" w:hAnsi="宋体" w:eastAsia="宋体"/>
          <w:sz w:val="32"/>
          <w:szCs w:val="32"/>
          <w:lang w:val="en-US" w:eastAsia="zh-CN"/>
        </w:rPr>
        <w:t>8.49</w:t>
      </w:r>
      <w:r>
        <w:rPr>
          <w:rFonts w:hint="eastAsia" w:ascii="宋体" w:hAnsi="宋体" w:eastAsia="宋体"/>
          <w:sz w:val="32"/>
          <w:szCs w:val="32"/>
        </w:rPr>
        <w:t>%，主要包括办公费、水费、电费、差旅费、公务接待费。</w:t>
      </w:r>
    </w:p>
    <w:p>
      <w:pPr>
        <w:pStyle w:val="11"/>
        <w:ind w:firstLine="640" w:firstLineChars="200"/>
        <w:rPr>
          <w:rFonts w:hAnsi="黑体"/>
          <w:b/>
          <w:sz w:val="32"/>
          <w:szCs w:val="32"/>
        </w:rPr>
      </w:pPr>
      <w:r>
        <w:rPr>
          <w:rFonts w:hint="eastAsia" w:hAnsi="黑体"/>
          <w:b/>
          <w:sz w:val="32"/>
          <w:szCs w:val="32"/>
        </w:rPr>
        <w:t>七、一般公共预算财政拨款三公经费支出决算情况说明</w:t>
      </w:r>
    </w:p>
    <w:p>
      <w:pPr>
        <w:pStyle w:val="11"/>
        <w:ind w:firstLine="640" w:firstLineChars="200"/>
        <w:rPr>
          <w:rFonts w:ascii="宋体" w:hAnsi="宋体" w:eastAsia="宋体"/>
          <w:b/>
          <w:sz w:val="32"/>
          <w:szCs w:val="32"/>
        </w:rPr>
      </w:pPr>
      <w:r>
        <w:rPr>
          <w:rFonts w:hint="eastAsia" w:ascii="宋体" w:hAnsi="宋体" w:eastAsia="宋体"/>
          <w:b/>
          <w:sz w:val="32"/>
          <w:szCs w:val="32"/>
        </w:rPr>
        <w:t>（一）“三公”经费财政拨款支出决算总体情况说明</w:t>
      </w:r>
    </w:p>
    <w:p>
      <w:pPr>
        <w:pStyle w:val="11"/>
        <w:ind w:firstLine="800" w:firstLineChars="250"/>
        <w:rPr>
          <w:rFonts w:ascii="宋体" w:hAnsi="宋体" w:eastAsia="宋体"/>
          <w:sz w:val="32"/>
          <w:szCs w:val="32"/>
        </w:rPr>
      </w:pPr>
      <w:r>
        <w:rPr>
          <w:rFonts w:hint="eastAsia" w:ascii="宋体" w:hAnsi="宋体" w:eastAsia="宋体"/>
          <w:sz w:val="32"/>
          <w:szCs w:val="32"/>
        </w:rPr>
        <w:t>“三公”经费财政拨款支出预算为</w:t>
      </w:r>
      <w:r>
        <w:rPr>
          <w:rFonts w:hint="eastAsia" w:ascii="宋体" w:hAnsi="宋体"/>
          <w:sz w:val="32"/>
          <w:szCs w:val="32"/>
          <w:lang w:val="en-US" w:eastAsia="zh-CN"/>
        </w:rPr>
        <w:t>2</w:t>
      </w:r>
      <w:r>
        <w:rPr>
          <w:rFonts w:hint="eastAsia" w:ascii="宋体" w:hAnsi="宋体" w:eastAsia="宋体"/>
          <w:sz w:val="32"/>
          <w:szCs w:val="32"/>
        </w:rPr>
        <w:t>万元，支出决算为</w:t>
      </w:r>
      <w:r>
        <w:rPr>
          <w:rFonts w:hint="eastAsia" w:ascii="宋体" w:hAnsi="宋体"/>
          <w:sz w:val="32"/>
          <w:szCs w:val="32"/>
          <w:lang w:val="en-US" w:eastAsia="zh-CN"/>
        </w:rPr>
        <w:t>0.49</w:t>
      </w:r>
      <w:r>
        <w:rPr>
          <w:rFonts w:hint="eastAsia" w:ascii="宋体" w:hAnsi="宋体" w:eastAsia="宋体"/>
          <w:sz w:val="32"/>
          <w:szCs w:val="32"/>
        </w:rPr>
        <w:t>万元，完成预算的</w:t>
      </w:r>
      <w:r>
        <w:rPr>
          <w:rFonts w:hint="eastAsia" w:ascii="宋体" w:hAnsi="宋体" w:eastAsia="宋体"/>
          <w:sz w:val="32"/>
          <w:szCs w:val="32"/>
          <w:lang w:val="en-US" w:eastAsia="zh-CN"/>
        </w:rPr>
        <w:t>0.25</w:t>
      </w:r>
      <w:r>
        <w:rPr>
          <w:rFonts w:hint="eastAsia" w:ascii="宋体" w:hAnsi="宋体" w:eastAsia="宋体"/>
          <w:sz w:val="32"/>
          <w:szCs w:val="32"/>
        </w:rPr>
        <w:t>%，其中：</w:t>
      </w:r>
    </w:p>
    <w:p>
      <w:pPr>
        <w:pStyle w:val="11"/>
        <w:ind w:firstLine="800" w:firstLineChars="250"/>
        <w:rPr>
          <w:rFonts w:ascii="宋体" w:hAnsi="宋体" w:eastAsia="宋体"/>
          <w:sz w:val="32"/>
          <w:szCs w:val="32"/>
        </w:rPr>
      </w:pPr>
      <w:r>
        <w:rPr>
          <w:rFonts w:hint="eastAsia" w:ascii="宋体" w:hAnsi="宋体" w:eastAsia="宋体"/>
          <w:sz w:val="32"/>
          <w:szCs w:val="32"/>
        </w:rPr>
        <w:t>因公出国（境）费支出预算为0万元，支出决算为0万元，由于预算数为0，无法计算百分比，决算数与预算数持平，与上年持平,没有这项开支。</w:t>
      </w:r>
    </w:p>
    <w:p>
      <w:pPr>
        <w:pStyle w:val="11"/>
        <w:ind w:firstLine="800" w:firstLineChars="250"/>
        <w:rPr>
          <w:rFonts w:ascii="宋体" w:hAnsi="宋体" w:eastAsia="宋体"/>
          <w:sz w:val="32"/>
          <w:szCs w:val="32"/>
        </w:rPr>
      </w:pPr>
      <w:r>
        <w:rPr>
          <w:rFonts w:hint="eastAsia" w:ascii="宋体" w:hAnsi="宋体" w:eastAsia="宋体"/>
          <w:sz w:val="32"/>
          <w:szCs w:val="32"/>
        </w:rPr>
        <w:t>公务接待费支出预算为</w:t>
      </w:r>
      <w:r>
        <w:rPr>
          <w:rFonts w:hint="eastAsia" w:ascii="宋体" w:hAnsi="宋体" w:eastAsia="宋体"/>
          <w:sz w:val="32"/>
          <w:szCs w:val="32"/>
          <w:lang w:val="en-US" w:eastAsia="zh-CN"/>
        </w:rPr>
        <w:t>2</w:t>
      </w:r>
      <w:r>
        <w:rPr>
          <w:rFonts w:hint="eastAsia" w:ascii="宋体" w:hAnsi="宋体" w:eastAsia="宋体"/>
          <w:sz w:val="32"/>
          <w:szCs w:val="32"/>
        </w:rPr>
        <w:t>万元，支出决算为</w:t>
      </w:r>
      <w:r>
        <w:rPr>
          <w:rFonts w:hint="eastAsia" w:ascii="宋体" w:hAnsi="宋体"/>
          <w:sz w:val="32"/>
          <w:szCs w:val="32"/>
          <w:lang w:val="en-US" w:eastAsia="zh-CN"/>
        </w:rPr>
        <w:t>0.49</w:t>
      </w:r>
      <w:r>
        <w:rPr>
          <w:rFonts w:hint="eastAsia" w:ascii="宋体" w:hAnsi="宋体" w:eastAsia="宋体"/>
          <w:sz w:val="32"/>
          <w:szCs w:val="32"/>
        </w:rPr>
        <w:t>万元，完成预算的96.69%，决算数比预算数减少的主要原因是减少了公务接待，与上年相比上年增加了0.67万元，增加57.26%,增加的主要原因是县市区来鹤城交流学习增加了公务接待。</w:t>
      </w:r>
    </w:p>
    <w:p>
      <w:pPr>
        <w:pStyle w:val="11"/>
        <w:ind w:firstLine="640" w:firstLineChars="200"/>
        <w:rPr>
          <w:rFonts w:hint="eastAsia" w:ascii="宋体" w:hAnsi="宋体" w:eastAsia="宋体"/>
          <w:sz w:val="32"/>
          <w:szCs w:val="32"/>
          <w:lang w:eastAsia="zh-CN"/>
        </w:rPr>
      </w:pPr>
      <w:r>
        <w:rPr>
          <w:rFonts w:hint="eastAsia" w:ascii="宋体" w:hAnsi="宋体" w:eastAsia="宋体"/>
          <w:sz w:val="32"/>
          <w:szCs w:val="32"/>
        </w:rPr>
        <w:t>公务用车购置费及运行维护费支出预算为0万元，支出决算为0万元，由于预算数为0，无法计算百分比</w:t>
      </w:r>
      <w:r>
        <w:rPr>
          <w:rFonts w:hint="eastAsia" w:ascii="宋体" w:hAnsi="宋体" w:eastAsia="宋体"/>
          <w:sz w:val="32"/>
          <w:szCs w:val="32"/>
          <w:lang w:eastAsia="zh-CN"/>
        </w:rPr>
        <w:t>。</w:t>
      </w:r>
    </w:p>
    <w:p>
      <w:pPr>
        <w:pStyle w:val="11"/>
        <w:ind w:firstLine="640" w:firstLineChars="200"/>
        <w:rPr>
          <w:rFonts w:hint="eastAsia" w:ascii="宋体" w:hAnsi="宋体" w:eastAsia="宋体"/>
          <w:sz w:val="32"/>
          <w:szCs w:val="32"/>
        </w:rPr>
      </w:pPr>
      <w:r>
        <w:rPr>
          <w:rFonts w:hint="eastAsia" w:asciiTheme="minorEastAsia" w:hAnsiTheme="minorEastAsia" w:eastAsiaTheme="minorEastAsia"/>
          <w:sz w:val="32"/>
          <w:szCs w:val="32"/>
        </w:rPr>
        <w:t>公务用车运行维护费支出预算为0万元，支出决算为0万元，</w:t>
      </w:r>
      <w:r>
        <w:rPr>
          <w:rFonts w:hint="eastAsia" w:asciiTheme="minorEastAsia" w:hAnsiTheme="minorEastAsia" w:eastAsiaTheme="minorEastAsia"/>
          <w:color w:val="000000"/>
          <w:sz w:val="32"/>
          <w:szCs w:val="32"/>
        </w:rPr>
        <w:t>由于预算数为0，无法计算百分比</w:t>
      </w:r>
      <w:r>
        <w:rPr>
          <w:rFonts w:hint="eastAsia" w:asciiTheme="minorEastAsia" w:hAnsiTheme="minorEastAsia" w:eastAsiaTheme="minorEastAsia"/>
          <w:sz w:val="32"/>
          <w:szCs w:val="32"/>
        </w:rPr>
        <w:t>。</w:t>
      </w:r>
    </w:p>
    <w:p>
      <w:pPr>
        <w:pStyle w:val="11"/>
        <w:ind w:firstLine="640" w:firstLineChars="200"/>
        <w:rPr>
          <w:rFonts w:ascii="宋体" w:hAnsi="宋体" w:eastAsia="宋体"/>
          <w:b/>
          <w:sz w:val="32"/>
          <w:szCs w:val="32"/>
        </w:rPr>
      </w:pPr>
      <w:r>
        <w:rPr>
          <w:rFonts w:hint="eastAsia" w:ascii="宋体" w:hAnsi="宋体" w:eastAsia="宋体"/>
          <w:b/>
          <w:sz w:val="32"/>
          <w:szCs w:val="32"/>
        </w:rPr>
        <w:t>（二）“三公”经费财政拨款支出决算具体情况说明</w:t>
      </w:r>
    </w:p>
    <w:p>
      <w:pPr>
        <w:pStyle w:val="11"/>
        <w:ind w:firstLine="640" w:firstLineChars="200"/>
        <w:rPr>
          <w:rFonts w:ascii="宋体" w:hAnsi="宋体" w:eastAsia="宋体"/>
          <w:sz w:val="32"/>
          <w:szCs w:val="32"/>
        </w:rPr>
      </w:pPr>
      <w:r>
        <w:rPr>
          <w:rFonts w:hint="eastAsia" w:ascii="宋体" w:hAnsi="宋体" w:eastAsia="宋体"/>
          <w:sz w:val="32"/>
          <w:szCs w:val="32"/>
        </w:rPr>
        <w:t>2021年度“三公”经费财政拨款支出决算中，公务接待费支出决算</w:t>
      </w:r>
      <w:r>
        <w:rPr>
          <w:rFonts w:hint="eastAsia" w:ascii="宋体" w:hAnsi="宋体"/>
          <w:sz w:val="32"/>
          <w:szCs w:val="32"/>
          <w:lang w:val="en-US" w:eastAsia="zh-CN"/>
        </w:rPr>
        <w:t>0.49</w:t>
      </w:r>
      <w:r>
        <w:rPr>
          <w:rFonts w:hint="eastAsia" w:ascii="宋体" w:hAnsi="宋体" w:eastAsia="宋体"/>
          <w:sz w:val="32"/>
          <w:szCs w:val="32"/>
        </w:rPr>
        <w:t>万元，占0.49%,因公出国（境）费支出决算0万元，占0%,公务用车购置费及运行维护费支出决算0万元，占0%。其中：</w:t>
      </w:r>
    </w:p>
    <w:p>
      <w:pPr>
        <w:pStyle w:val="11"/>
        <w:ind w:firstLine="640" w:firstLineChars="200"/>
        <w:rPr>
          <w:rFonts w:ascii="宋体" w:hAnsi="宋体" w:eastAsia="宋体"/>
          <w:b/>
          <w:sz w:val="32"/>
          <w:szCs w:val="32"/>
        </w:rPr>
      </w:pPr>
      <w:r>
        <w:rPr>
          <w:rFonts w:hint="eastAsia" w:ascii="宋体" w:hAnsi="宋体" w:eastAsia="宋体"/>
          <w:sz w:val="32"/>
          <w:szCs w:val="32"/>
        </w:rPr>
        <w:t>1、因公出国（境）费支出决算为0万元，全年安排因公出国（境）团组0个，累计0人次,无因公出国（境）支出。</w:t>
      </w:r>
    </w:p>
    <w:p>
      <w:pPr>
        <w:pStyle w:val="11"/>
        <w:ind w:firstLine="640" w:firstLineChars="200"/>
        <w:rPr>
          <w:rFonts w:hint="eastAsia" w:ascii="宋体" w:hAnsi="宋体" w:eastAsia="宋体"/>
          <w:sz w:val="32"/>
          <w:szCs w:val="32"/>
        </w:rPr>
      </w:pPr>
      <w:r>
        <w:rPr>
          <w:rFonts w:hint="eastAsia" w:ascii="宋体" w:hAnsi="宋体" w:eastAsia="宋体"/>
          <w:sz w:val="32"/>
          <w:szCs w:val="32"/>
        </w:rPr>
        <w:t>2、公务接待费支出决算为</w:t>
      </w:r>
      <w:r>
        <w:rPr>
          <w:rFonts w:hint="eastAsia" w:ascii="宋体" w:hAnsi="宋体" w:eastAsia="宋体"/>
          <w:sz w:val="32"/>
          <w:szCs w:val="32"/>
          <w:lang w:val="en-US" w:eastAsia="zh-CN"/>
        </w:rPr>
        <w:t>0.49</w:t>
      </w:r>
      <w:r>
        <w:rPr>
          <w:rFonts w:hint="eastAsia" w:ascii="宋体" w:hAnsi="宋体" w:eastAsia="宋体"/>
          <w:sz w:val="32"/>
          <w:szCs w:val="32"/>
        </w:rPr>
        <w:t>万元，全年共接待来访团组15个、来宾156人次，主要是县级工会之间交流学习的接待支出。</w:t>
      </w:r>
    </w:p>
    <w:p>
      <w:pPr>
        <w:pStyle w:val="11"/>
        <w:ind w:firstLine="640" w:firstLineChars="200"/>
        <w:rPr>
          <w:rFonts w:hint="eastAsia" w:ascii="宋体" w:hAnsi="宋体" w:eastAsia="宋体"/>
          <w:sz w:val="32"/>
          <w:szCs w:val="32"/>
        </w:rPr>
      </w:pPr>
      <w:r>
        <w:rPr>
          <w:rFonts w:hint="eastAsia" w:ascii="宋体" w:hAnsi="宋体" w:eastAsia="宋体"/>
          <w:sz w:val="32"/>
          <w:szCs w:val="32"/>
        </w:rPr>
        <w:t>3、公务用车购置费及运行维护费支出决算为0万元，其中：公务用车购置费0万元，更新公务用车0辆。公务用车运行维护费0万元，没有这项支出，截止2020年12月31日，我单位开支财政拨款的公务用车保有量为0辆。</w:t>
      </w:r>
    </w:p>
    <w:p>
      <w:pPr>
        <w:pStyle w:val="11"/>
        <w:ind w:firstLine="640" w:firstLineChars="200"/>
        <w:rPr>
          <w:rFonts w:hAnsi="黑体"/>
          <w:b/>
          <w:sz w:val="32"/>
          <w:szCs w:val="32"/>
        </w:rPr>
      </w:pPr>
      <w:r>
        <w:rPr>
          <w:rFonts w:hint="eastAsia" w:hAnsi="黑体"/>
          <w:b/>
          <w:sz w:val="32"/>
          <w:szCs w:val="32"/>
        </w:rPr>
        <w:t>八、政府性基金预算收入支出决算情况</w:t>
      </w:r>
    </w:p>
    <w:p>
      <w:pPr>
        <w:pStyle w:val="11"/>
        <w:rPr>
          <w:rFonts w:ascii="宋体" w:hAnsi="宋体" w:eastAsia="宋体"/>
          <w:i/>
          <w:color w:val="FF0000"/>
          <w:sz w:val="32"/>
          <w:szCs w:val="32"/>
        </w:rPr>
      </w:pPr>
      <w:r>
        <w:rPr>
          <w:rFonts w:hint="eastAsia" w:ascii="宋体" w:hAnsi="宋体" w:eastAsia="宋体"/>
          <w:sz w:val="32"/>
          <w:szCs w:val="32"/>
        </w:rPr>
        <w:t xml:space="preserve">     2021年度政府性基金预算财政拨款收入0万元；年初结转和结余0万元；支出0万元，其中基本支出0万元，项目支出0万元；年末结转和结余0万元。</w:t>
      </w:r>
    </w:p>
    <w:p>
      <w:pPr>
        <w:pStyle w:val="11"/>
        <w:ind w:firstLine="640" w:firstLineChars="200"/>
        <w:rPr>
          <w:rFonts w:hAnsi="黑体"/>
          <w:b/>
          <w:sz w:val="32"/>
          <w:szCs w:val="32"/>
        </w:rPr>
      </w:pPr>
      <w:r>
        <w:rPr>
          <w:rFonts w:hint="eastAsia" w:hAnsi="黑体"/>
          <w:b/>
          <w:sz w:val="32"/>
          <w:szCs w:val="32"/>
        </w:rPr>
        <w:t>九、国有资本经营预算财政拨款支出情况</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cstheme="minorBidi"/>
          <w:color w:val="auto"/>
          <w:kern w:val="2"/>
          <w:sz w:val="32"/>
          <w:szCs w:val="32"/>
          <w:lang w:val="en-US" w:eastAsia="zh-CN" w:bidi="ar-SA"/>
        </w:rPr>
        <w:t>2021年度国有资本经营预算财政拨款收入0万元；年初结转和结余0万元；支出0万元，其中基本支出0万元，项目支出0万元；年末结转和结余0万元。</w:t>
      </w:r>
    </w:p>
    <w:p>
      <w:pPr>
        <w:pStyle w:val="11"/>
        <w:ind w:firstLine="640" w:firstLineChars="200"/>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12.76</w:t>
      </w:r>
      <w:r>
        <w:rPr>
          <w:rFonts w:hint="eastAsia" w:asciiTheme="minorEastAsia" w:hAnsiTheme="minorEastAsia" w:eastAsiaTheme="minorEastAsia"/>
          <w:sz w:val="32"/>
          <w:szCs w:val="32"/>
        </w:rPr>
        <w:t>万元与年初预算数一致。</w:t>
      </w:r>
    </w:p>
    <w:p>
      <w:pPr>
        <w:pStyle w:val="11"/>
        <w:ind w:firstLine="640" w:firstLineChars="200"/>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sz w:val="32"/>
          <w:szCs w:val="32"/>
        </w:rPr>
        <w:t>2021年本部门开支会议费0万元，用于召开0会议，人数0人，内容为无；开支培训费0万元，用于开展0培训，人数0人，内容为无；举办0场节庆、晚会、论坛、赛事等活动，开支0万元。</w:t>
      </w:r>
      <w:bookmarkStart w:id="0" w:name="_GoBack"/>
      <w:bookmarkEnd w:id="0"/>
    </w:p>
    <w:p>
      <w:pPr>
        <w:pStyle w:val="11"/>
        <w:ind w:firstLine="640" w:firstLineChars="200"/>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我会2021年没有政府采购项目。</w:t>
      </w:r>
    </w:p>
    <w:p>
      <w:pPr>
        <w:pStyle w:val="11"/>
        <w:ind w:firstLine="640" w:firstLineChars="200"/>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我会没有公务用车。单位价值50万元以上通用设备0台（套）；单位价值100万元以上专用设备0台（套）。</w:t>
      </w:r>
    </w:p>
    <w:p>
      <w:pPr>
        <w:pStyle w:val="11"/>
        <w:ind w:firstLine="640" w:firstLineChars="20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pStyle w:val="11"/>
        <w:ind w:firstLine="640" w:firstLineChars="200"/>
        <w:rPr>
          <w:rFonts w:hint="eastAsia" w:ascii="宋体" w:hAnsi="宋体" w:eastAsia="宋体"/>
          <w:sz w:val="32"/>
          <w:szCs w:val="32"/>
        </w:rPr>
      </w:pPr>
      <w:r>
        <w:rPr>
          <w:rFonts w:hint="eastAsia" w:ascii="宋体" w:hAnsi="宋体" w:eastAsia="宋体" w:cs="宋体"/>
          <w:sz w:val="32"/>
          <w:szCs w:val="32"/>
        </w:rPr>
        <w:t>根据预算绩效管理要求，</w:t>
      </w:r>
      <w:r>
        <w:rPr>
          <w:rFonts w:hint="eastAsia" w:ascii="宋体" w:hAnsi="宋体" w:eastAsia="宋体"/>
          <w:sz w:val="32"/>
          <w:szCs w:val="32"/>
        </w:rPr>
        <w:t>2021年，我单位积极推进预算绩效管理，合理制定和编报年度预算，加强资金管理，提高资金使用效益，建立完善内部监督机制，合理列支年度经费支出。按照我区预算绩效管理工作的总体要求，2021年我单位全部实行整体支出绩效目标管理，我部门组织对2021 年度一般公共预算项目支出全面开展绩效自评，其中，一级项目1个，二级项目0个，共涉及资金88万元，占一般公共预算项目支出总额的45.92%。</w:t>
      </w:r>
    </w:p>
    <w:p>
      <w:pPr>
        <w:autoSpaceDE w:val="0"/>
        <w:autoSpaceDN w:val="0"/>
        <w:adjustRightInd w:val="0"/>
        <w:ind w:firstLine="320" w:firstLineChars="1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（2）部门决算中项目绩效自评结果（如有）。</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工会经费项目绩效自评综述：根据年初设定的绩效目标，项目绩效自评得分为100分。项目全年预算数为88万元，执行数为88万元，完成预算的100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。项目绩效目标完成情况：完成了全度工会经费上缴上级工会的目标任务。</w:t>
      </w:r>
    </w:p>
    <w:p>
      <w:pPr>
        <w:autoSpaceDE w:val="0"/>
        <w:autoSpaceDN w:val="0"/>
        <w:adjustRightInd w:val="0"/>
        <w:ind w:firstLine="320" w:firstLineChars="1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11"/>
        <w:jc w:val="both"/>
        <w:rPr>
          <w:rFonts w:ascii="宋体" w:hAnsi="宋体" w:eastAsia="宋体" w:cs="宋体"/>
          <w:sz w:val="32"/>
          <w:szCs w:val="32"/>
        </w:rPr>
      </w:pPr>
      <w:r>
        <w:rPr>
          <w:rFonts w:hint="eastAsia" w:ascii="宋体" w:hAnsi="宋体" w:eastAsia="宋体" w:cs="宋体"/>
          <w:sz w:val="32"/>
          <w:szCs w:val="32"/>
        </w:rPr>
        <w:t xml:space="preserve">   绩效评价报告附后。</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eastAsia="宋体" w:cs="黑体"/>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ind w:firstLine="3600" w:firstLineChars="500"/>
        <w:jc w:val="both"/>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center"/>
        <w:rPr>
          <w:rFonts w:ascii="宋体" w:hAnsi="宋体" w:cs="黑体"/>
          <w:b/>
          <w:color w:val="000000"/>
          <w:kern w:val="0"/>
          <w:sz w:val="32"/>
          <w:szCs w:val="32"/>
        </w:rPr>
      </w:pPr>
      <w:r>
        <w:rPr>
          <w:rFonts w:hint="eastAsia" w:ascii="宋体" w:hAnsi="宋体" w:cs="黑体"/>
          <w:b/>
          <w:color w:val="000000"/>
          <w:kern w:val="0"/>
          <w:sz w:val="32"/>
          <w:szCs w:val="32"/>
        </w:rPr>
        <w:t>2021年度部门整体支出绩效评价报告</w:t>
      </w:r>
    </w:p>
    <w:p>
      <w:pPr>
        <w:spacing w:line="600" w:lineRule="exact"/>
        <w:jc w:val="center"/>
        <w:rPr>
          <w:rFonts w:eastAsia="方正小标宋_GBK"/>
          <w:sz w:val="32"/>
          <w:szCs w:val="32"/>
        </w:rPr>
      </w:pPr>
      <w:r>
        <w:rPr>
          <w:rFonts w:eastAsia="方正小标宋_GBK"/>
          <w:sz w:val="36"/>
          <w:szCs w:val="36"/>
        </w:rPr>
        <w:t>部门整体支出绩效评价报告</w:t>
      </w:r>
    </w:p>
    <w:p>
      <w:pPr>
        <w:pStyle w:val="12"/>
        <w:widowControl/>
        <w:spacing w:line="600" w:lineRule="exact"/>
        <w:ind w:left="640" w:firstLine="0" w:firstLineChars="0"/>
        <w:rPr>
          <w:rFonts w:ascii="Times New Roman" w:hAnsi="Times New Roman" w:eastAsia="黑体"/>
          <w:sz w:val="32"/>
          <w:szCs w:val="32"/>
        </w:rPr>
      </w:pPr>
      <w:r>
        <w:rPr>
          <w:rFonts w:hint="eastAsia" w:eastAsia="黑体"/>
          <w:sz w:val="32"/>
          <w:szCs w:val="32"/>
        </w:rPr>
        <w:t>一、</w:t>
      </w:r>
      <w:r>
        <w:rPr>
          <w:rFonts w:eastAsia="黑体"/>
          <w:sz w:val="32"/>
          <w:szCs w:val="32"/>
        </w:rPr>
        <w:t>部门</w:t>
      </w:r>
      <w:r>
        <w:rPr>
          <w:rFonts w:hint="eastAsia" w:ascii="仿宋" w:hAnsi="仿宋" w:eastAsia="仿宋" w:cs="仿宋"/>
          <w:color w:val="333333"/>
          <w:kern w:val="0"/>
          <w:sz w:val="28"/>
          <w:szCs w:val="28"/>
          <w:shd w:val="clear" w:color="auto" w:fill="FFFFFF"/>
        </w:rPr>
        <w:t>、</w:t>
      </w:r>
      <w:r>
        <w:rPr>
          <w:rFonts w:ascii="Times New Roman" w:hAnsi="Times New Roman" w:eastAsia="黑体"/>
          <w:sz w:val="32"/>
          <w:szCs w:val="32"/>
        </w:rPr>
        <w:t>单位基本情况</w:t>
      </w:r>
    </w:p>
    <w:p>
      <w:pPr>
        <w:spacing w:line="560" w:lineRule="exact"/>
        <w:ind w:firstLine="320" w:firstLineChars="100"/>
        <w:jc w:val="left"/>
        <w:rPr>
          <w:rFonts w:hint="eastAsia" w:ascii="宋体" w:hAnsi="宋体" w:cs="黑体"/>
          <w:color w:val="000000"/>
          <w:kern w:val="0"/>
          <w:sz w:val="32"/>
          <w:szCs w:val="32"/>
        </w:rPr>
      </w:pPr>
      <w:r>
        <w:rPr>
          <w:rFonts w:hint="eastAsia" w:ascii="宋体" w:hAnsi="宋体" w:cs="黑体"/>
          <w:color w:val="000000"/>
          <w:kern w:val="0"/>
          <w:sz w:val="32"/>
          <w:szCs w:val="32"/>
        </w:rPr>
        <w:t xml:space="preserve"> (一) 、单位机构设置:怀化市鹤城区总工会作为一级部门预算单位，是全额拨款的行政单位，内设4个职能股室：办公室、组宣部、法保部、财务部。单位编制人员情况:现有编制数9个（其中：行政编制3人，工勤编制1人，事业编制5人），全单位实有在职人员11人（其中：全额拨款人员9人，自收自支人员2人），退休人员12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（二）单位主要工作职责:</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1、依据党的基本理论、基本路线、基本纲领和工运方针，围绕党和国家的工作大局，贯彻执行中国工会全国代表大会和执委会议确定的方针任务和作出的决议。</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 xml:space="preserve"> 2、依照法律和中国工会章程，领导全区各级工会组织围绕党的中心开展工会各项工作，组织和指导全区各级工会坚定不移地推动党的全心全意依靠工人阶级根本指导方针的贯彻落实，进一步突出和履行维护职能。通过维护，更好地保护、调动和发挥广大职工的积极性、创造性，并把这种积极性、创造性，通过各种形式组织和引导到完成党和政府提出的各项任务上来。</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 xml:space="preserve"> 3、围绕职工合法权益的重大问题进行调查研究，向区委和政府反映职工群众的思想、愿望和要求，提出意见和建议；参与涉及职工切身利益的有关立法和政策、措施、制度的制定；对侵犯职工合法权益重大事件进行调查并提出处理意见，参与职工重大伤亡事故的调查处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 xml:space="preserve"> 4、负责工会理论政策研究，为全区各级工会提供理论政策服务；研究制定工会的组织制度和民主制度，监督检查《工会法》和《中国工会章程》的贯彻执行；研究指导工会自身改革和建设；指导基层工会组织职工开展以职工代表大会为基本制度的民主选举、民主决策、民主管理和民主监督工作，研究和推动基层工会建立平等协商、集体合同制度和监督保证机制；指导基层工会协助行政不断提高职工的思想道德和科学文化技术素质及组织、指导基层工会开展职工文体活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 xml:space="preserve">  5、承担全国、全区、全市劳动模范的推荐、评选和管理工作；负责全国、全区五一劳动奖章、奖状获得者的评选表彰和管理工作。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 xml:space="preserve">  6、负责全区工会经费和工会资产的管理、审查、审计工作；研究制定兴办职工劳动福利事业的有关制度和规定，负责对职工劳动福利事业的指导、协调工作。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 xml:space="preserve">  7、负责全区工会国际交流工作，发展同各国工会的友好关系；负责与港澳台工会的交流合作工作。</w:t>
      </w:r>
    </w:p>
    <w:p>
      <w:pPr>
        <w:keepNext w:val="0"/>
        <w:keepLines w:val="0"/>
        <w:pageBreakBefore w:val="0"/>
        <w:kinsoku/>
        <w:wordWrap/>
        <w:overflowPunct/>
        <w:topLinePunct w:val="0"/>
        <w:autoSpaceDE/>
        <w:autoSpaceDN/>
        <w:bidi w:val="0"/>
        <w:adjustRightInd/>
        <w:snapToGrid/>
        <w:ind w:firstLine="640" w:firstLineChars="200"/>
        <w:textAlignment w:val="auto"/>
        <w:rPr>
          <w:rFonts w:ascii="仿宋_GB2312" w:eastAsia="仿宋_GB2312"/>
          <w:sz w:val="32"/>
          <w:szCs w:val="32"/>
        </w:rPr>
      </w:pPr>
      <w:r>
        <w:rPr>
          <w:rFonts w:hint="eastAsia" w:ascii="宋体" w:hAnsi="宋体" w:cs="黑体"/>
          <w:color w:val="000000"/>
          <w:kern w:val="0"/>
          <w:sz w:val="32"/>
          <w:szCs w:val="32"/>
        </w:rPr>
        <w:t xml:space="preserve"> 8、承担区委交办的其他事项和人民政府委托处理的有关问题。</w:t>
      </w:r>
    </w:p>
    <w:p>
      <w:pPr>
        <w:pStyle w:val="12"/>
        <w:widowControl/>
        <w:spacing w:line="600" w:lineRule="exact"/>
        <w:ind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spacing w:line="560" w:lineRule="exact"/>
        <w:ind w:firstLine="640" w:firstLineChars="200"/>
        <w:jc w:val="left"/>
        <w:rPr>
          <w:rFonts w:eastAsia="黑体"/>
          <w:sz w:val="32"/>
          <w:szCs w:val="32"/>
        </w:rPr>
      </w:pPr>
      <w:r>
        <w:rPr>
          <w:rFonts w:hint="eastAsia" w:eastAsia="黑体"/>
          <w:sz w:val="32"/>
          <w:szCs w:val="32"/>
        </w:rPr>
        <w:t>（一）</w:t>
      </w:r>
      <w:r>
        <w:rPr>
          <w:rFonts w:eastAsia="黑体"/>
          <w:sz w:val="32"/>
          <w:szCs w:val="32"/>
        </w:rPr>
        <w:t>基本支出情况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eastAsia="宋体" w:cs="黑体"/>
          <w:color w:val="000000"/>
          <w:kern w:val="0"/>
          <w:sz w:val="32"/>
          <w:szCs w:val="32"/>
          <w:lang w:eastAsia="zh-CN"/>
        </w:rPr>
      </w:pPr>
      <w:r>
        <w:rPr>
          <w:rFonts w:hint="eastAsia" w:ascii="宋体" w:hAnsi="宋体" w:cs="黑体"/>
          <w:color w:val="000000"/>
          <w:kern w:val="0"/>
          <w:sz w:val="32"/>
          <w:szCs w:val="32"/>
        </w:rPr>
        <w:t>2021年年初预算数为238.38万元，是指为完成上解市总下达的工会经费任务、保障单位机构正常运转、完成日常工作任务而发生的各项支出，包括用于基本工资、津贴补贴等人员经费以及办公费、印刷费、水电费、物业管理费等日常公用经费</w:t>
      </w:r>
      <w:r>
        <w:rPr>
          <w:rFonts w:hint="eastAsia" w:ascii="宋体" w:hAnsi="宋体" w:cs="黑体"/>
          <w:color w:val="000000"/>
          <w:kern w:val="0"/>
          <w:sz w:val="32"/>
          <w:szCs w:val="32"/>
          <w:lang w:eastAsia="zh-CN"/>
        </w:rPr>
        <w:t>。</w:t>
      </w:r>
    </w:p>
    <w:p>
      <w:pPr>
        <w:pStyle w:val="12"/>
        <w:widowControl/>
        <w:spacing w:line="600" w:lineRule="exact"/>
        <w:ind w:firstLine="64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12"/>
        <w:widowControl/>
        <w:spacing w:line="600" w:lineRule="exact"/>
        <w:ind w:firstLine="640"/>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2021年年初预算数为88万元，是指单位为完成特定行政工作任务或事业发展目标而发生的支出，包括有产业发展引导类0万元、专项业务费用类88万元、基本建设类0万元、对个人和家庭补助类0万元。</w:t>
      </w:r>
    </w:p>
    <w:p>
      <w:pPr>
        <w:numPr>
          <w:ilvl w:val="0"/>
          <w:numId w:val="1"/>
        </w:numPr>
        <w:spacing w:line="560" w:lineRule="exact"/>
        <w:ind w:firstLine="640" w:firstLineChars="200"/>
        <w:jc w:val="left"/>
        <w:rPr>
          <w:rFonts w:eastAsia="黑体"/>
          <w:sz w:val="32"/>
          <w:szCs w:val="32"/>
        </w:rPr>
      </w:pPr>
      <w:r>
        <w:rPr>
          <w:rFonts w:eastAsia="黑体"/>
          <w:sz w:val="32"/>
          <w:szCs w:val="32"/>
        </w:rPr>
        <w:t>政府性基金预算支出情况</w:t>
      </w:r>
    </w:p>
    <w:p>
      <w:pPr>
        <w:pStyle w:val="12"/>
        <w:widowControl/>
        <w:spacing w:line="600" w:lineRule="exact"/>
        <w:ind w:firstLine="640"/>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2021年政府性基金支出为0万元，2021年怀化市鹤城区总工会无政府性基金支出。</w:t>
      </w:r>
    </w:p>
    <w:p>
      <w:pPr>
        <w:pStyle w:val="12"/>
        <w:widowControl/>
        <w:numPr>
          <w:ilvl w:val="0"/>
          <w:numId w:val="1"/>
        </w:numPr>
        <w:spacing w:line="600" w:lineRule="exact"/>
        <w:ind w:firstLine="64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12"/>
        <w:widowControl/>
        <w:spacing w:line="600" w:lineRule="exact"/>
        <w:ind w:firstLine="640"/>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2021年国有资本经营支出为0万元，2021年怀化市鹤城区总工会无国有资本经营支出。</w:t>
      </w:r>
    </w:p>
    <w:p>
      <w:pPr>
        <w:pStyle w:val="12"/>
        <w:widowControl/>
        <w:numPr>
          <w:ilvl w:val="0"/>
          <w:numId w:val="1"/>
        </w:numPr>
        <w:spacing w:line="600" w:lineRule="exact"/>
        <w:ind w:firstLine="64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12"/>
        <w:widowControl/>
        <w:spacing w:line="600" w:lineRule="exact"/>
        <w:ind w:firstLine="640"/>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2020年社会保险基金支出为0万元，2021年怀化市鹤城区总工会无社会保险基金支出。</w:t>
      </w:r>
    </w:p>
    <w:p>
      <w:pPr>
        <w:widowControl/>
        <w:numPr>
          <w:ilvl w:val="0"/>
          <w:numId w:val="1"/>
        </w:numPr>
        <w:spacing w:line="600" w:lineRule="exact"/>
        <w:ind w:firstLine="640" w:firstLineChars="200"/>
        <w:jc w:val="left"/>
        <w:rPr>
          <w:rFonts w:ascii="仿宋_GB2312" w:eastAsia="仿宋_GB2312"/>
          <w:sz w:val="32"/>
          <w:szCs w:val="32"/>
        </w:rPr>
      </w:pPr>
      <w:r>
        <w:rPr>
          <w:rFonts w:eastAsia="黑体"/>
          <w:sz w:val="32"/>
          <w:szCs w:val="32"/>
        </w:rPr>
        <w:t>部门整体支出绩效情况</w:t>
      </w:r>
    </w:p>
    <w:p>
      <w:pPr>
        <w:widowControl/>
        <w:spacing w:line="600" w:lineRule="exact"/>
        <w:ind w:firstLine="640" w:firstLineChars="200"/>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 xml:space="preserve">按照我区预算绩效管理工作的总体要求，2021年我单位整体支出238.38万元，全部实行整体支出绩效目标管理，其中：人员支出145.49万元（工资福利支出）；公用支出（一般商品和服务支出）4.89万元；编报绩效目标的项目1个，涉及项目支出88万元，其中专项业务费用类项目1个，共88万元，基本建设类项目0个，共0万元，对个人和家庭补助类项目0个，共0万元，产业发展引导类项目0个，共0万元。  </w:t>
      </w:r>
    </w:p>
    <w:p>
      <w:pPr>
        <w:widowControl/>
        <w:spacing w:line="600" w:lineRule="exact"/>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2021年我单位项目绩效目标：</w:t>
      </w:r>
    </w:p>
    <w:p>
      <w:pPr>
        <w:pStyle w:val="12"/>
        <w:widowControl/>
        <w:numPr>
          <w:ilvl w:val="0"/>
          <w:numId w:val="2"/>
        </w:numPr>
        <w:spacing w:line="600" w:lineRule="exact"/>
        <w:ind w:firstLineChars="0"/>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为我区17名建档困难职工提供医疗救助、生活救助。</w:t>
      </w:r>
    </w:p>
    <w:p>
      <w:pPr>
        <w:pStyle w:val="12"/>
        <w:widowControl/>
        <w:numPr>
          <w:ilvl w:val="0"/>
          <w:numId w:val="2"/>
        </w:numPr>
        <w:spacing w:line="600" w:lineRule="exact"/>
        <w:ind w:firstLineChars="0"/>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完成上级工会下达的工会经费上解任务。</w:t>
      </w:r>
    </w:p>
    <w:p>
      <w:pPr>
        <w:widowControl/>
        <w:spacing w:line="600" w:lineRule="exact"/>
        <w:ind w:firstLine="320" w:firstLineChars="100"/>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2.项目验收合格率100%</w:t>
      </w:r>
    </w:p>
    <w:p>
      <w:pPr>
        <w:widowControl/>
        <w:spacing w:line="600" w:lineRule="exact"/>
        <w:ind w:firstLine="320" w:firstLineChars="100"/>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3.项目工程完成及时率100%</w:t>
      </w:r>
    </w:p>
    <w:p>
      <w:pPr>
        <w:widowControl/>
        <w:spacing w:line="600" w:lineRule="exact"/>
        <w:ind w:firstLine="320" w:firstLineChars="100"/>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4.2021年度为困难职工提供医疗救助、生活困难补助、法律援助等工作经费55.65万元，完成工会经费上解任务88万元。</w:t>
      </w:r>
    </w:p>
    <w:p>
      <w:pPr>
        <w:widowControl/>
        <w:spacing w:line="600" w:lineRule="exact"/>
        <w:ind w:firstLine="640" w:firstLineChars="200"/>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综上所述，2021年我单位认真贯彻落实省总工会下达的“五个年”的工作任务和目标，扩大了工会的号召力和影响力为全区广大职工开展了丰富多彩的文化娱乐生活，取得了较好的社会效应，服务对象满意度较高。</w:t>
      </w:r>
    </w:p>
    <w:p>
      <w:pPr>
        <w:widowControl/>
        <w:spacing w:line="600" w:lineRule="exact"/>
        <w:jc w:val="left"/>
        <w:rPr>
          <w:rFonts w:eastAsia="仿宋_GB2312"/>
          <w:sz w:val="32"/>
          <w:szCs w:val="32"/>
        </w:rPr>
      </w:pPr>
    </w:p>
    <w:p>
      <w:pPr>
        <w:jc w:val="left"/>
        <w:rPr>
          <w:rFonts w:ascii="宋体" w:hAnsi="宋体" w:cs="黑体"/>
          <w:color w:val="000000"/>
          <w:kern w:val="0"/>
          <w:sz w:val="32"/>
          <w:szCs w:val="32"/>
        </w:rPr>
      </w:pPr>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13CC65"/>
    <w:multiLevelType w:val="singleLevel"/>
    <w:tmpl w:val="F613CC65"/>
    <w:lvl w:ilvl="0" w:tentative="0">
      <w:start w:val="3"/>
      <w:numFmt w:val="chineseCounting"/>
      <w:suff w:val="nothing"/>
      <w:lvlText w:val="%1、"/>
      <w:lvlJc w:val="left"/>
      <w:rPr>
        <w:rFonts w:hint="eastAsia" w:ascii="黑体" w:hAnsi="黑体" w:eastAsia="黑体" w:cs="黑体"/>
        <w:b/>
        <w:bCs/>
      </w:rPr>
    </w:lvl>
  </w:abstractNum>
  <w:abstractNum w:abstractNumId="1">
    <w:nsid w:val="1F5238E0"/>
    <w:multiLevelType w:val="multilevel"/>
    <w:tmpl w:val="1F5238E0"/>
    <w:lvl w:ilvl="0" w:tentative="0">
      <w:start w:val="1"/>
      <w:numFmt w:val="decimal"/>
      <w:lvlText w:val="%1."/>
      <w:lvlJc w:val="left"/>
      <w:pPr>
        <w:ind w:left="680" w:hanging="360"/>
      </w:pPr>
      <w:rPr>
        <w:rFonts w:hint="default"/>
      </w:rPr>
    </w:lvl>
    <w:lvl w:ilvl="1" w:tentative="0">
      <w:start w:val="1"/>
      <w:numFmt w:val="lowerLetter"/>
      <w:lvlText w:val="%2)"/>
      <w:lvlJc w:val="left"/>
      <w:pPr>
        <w:ind w:left="1160" w:hanging="420"/>
      </w:pPr>
    </w:lvl>
    <w:lvl w:ilvl="2" w:tentative="0">
      <w:start w:val="1"/>
      <w:numFmt w:val="lowerRoman"/>
      <w:lvlText w:val="%3."/>
      <w:lvlJc w:val="right"/>
      <w:pPr>
        <w:ind w:left="1580" w:hanging="420"/>
      </w:pPr>
    </w:lvl>
    <w:lvl w:ilvl="3" w:tentative="0">
      <w:start w:val="1"/>
      <w:numFmt w:val="decimal"/>
      <w:lvlText w:val="%4."/>
      <w:lvlJc w:val="left"/>
      <w:pPr>
        <w:ind w:left="2000" w:hanging="420"/>
      </w:pPr>
    </w:lvl>
    <w:lvl w:ilvl="4" w:tentative="0">
      <w:start w:val="1"/>
      <w:numFmt w:val="lowerLetter"/>
      <w:lvlText w:val="%5)"/>
      <w:lvlJc w:val="left"/>
      <w:pPr>
        <w:ind w:left="2420" w:hanging="420"/>
      </w:pPr>
    </w:lvl>
    <w:lvl w:ilvl="5" w:tentative="0">
      <w:start w:val="1"/>
      <w:numFmt w:val="lowerRoman"/>
      <w:lvlText w:val="%6."/>
      <w:lvlJc w:val="right"/>
      <w:pPr>
        <w:ind w:left="2840" w:hanging="420"/>
      </w:pPr>
    </w:lvl>
    <w:lvl w:ilvl="6" w:tentative="0">
      <w:start w:val="1"/>
      <w:numFmt w:val="decimal"/>
      <w:lvlText w:val="%7."/>
      <w:lvlJc w:val="left"/>
      <w:pPr>
        <w:ind w:left="3260" w:hanging="420"/>
      </w:pPr>
    </w:lvl>
    <w:lvl w:ilvl="7" w:tentative="0">
      <w:start w:val="1"/>
      <w:numFmt w:val="lowerLetter"/>
      <w:lvlText w:val="%8)"/>
      <w:lvlJc w:val="left"/>
      <w:pPr>
        <w:ind w:left="3680" w:hanging="420"/>
      </w:pPr>
    </w:lvl>
    <w:lvl w:ilvl="8" w:tentative="0">
      <w:start w:val="1"/>
      <w:numFmt w:val="lowerRoman"/>
      <w:lvlText w:val="%9."/>
      <w:lvlJc w:val="right"/>
      <w:pPr>
        <w:ind w:left="41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A3F69"/>
    <w:rsid w:val="00103957"/>
    <w:rsid w:val="00152C6D"/>
    <w:rsid w:val="0016222E"/>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80ECE"/>
    <w:rsid w:val="002E0A30"/>
    <w:rsid w:val="0031192C"/>
    <w:rsid w:val="003130C4"/>
    <w:rsid w:val="00316C4B"/>
    <w:rsid w:val="0032192B"/>
    <w:rsid w:val="003479BD"/>
    <w:rsid w:val="0037197D"/>
    <w:rsid w:val="003768D5"/>
    <w:rsid w:val="003838D5"/>
    <w:rsid w:val="003C47E6"/>
    <w:rsid w:val="003C4FC2"/>
    <w:rsid w:val="00416E61"/>
    <w:rsid w:val="0042790C"/>
    <w:rsid w:val="004506F9"/>
    <w:rsid w:val="004717A2"/>
    <w:rsid w:val="00472A00"/>
    <w:rsid w:val="00473DF3"/>
    <w:rsid w:val="00487911"/>
    <w:rsid w:val="00491741"/>
    <w:rsid w:val="004C7EFB"/>
    <w:rsid w:val="00500E5F"/>
    <w:rsid w:val="005122EF"/>
    <w:rsid w:val="0051441A"/>
    <w:rsid w:val="00517C33"/>
    <w:rsid w:val="00523644"/>
    <w:rsid w:val="0054069E"/>
    <w:rsid w:val="00544866"/>
    <w:rsid w:val="005767CC"/>
    <w:rsid w:val="00582A57"/>
    <w:rsid w:val="00590D9F"/>
    <w:rsid w:val="00595D26"/>
    <w:rsid w:val="005A74E6"/>
    <w:rsid w:val="005B404E"/>
    <w:rsid w:val="005D4D55"/>
    <w:rsid w:val="005E2CFB"/>
    <w:rsid w:val="005F3D1C"/>
    <w:rsid w:val="006037C9"/>
    <w:rsid w:val="00621D88"/>
    <w:rsid w:val="0062378F"/>
    <w:rsid w:val="00641842"/>
    <w:rsid w:val="00651EEC"/>
    <w:rsid w:val="00691E8C"/>
    <w:rsid w:val="006A22C4"/>
    <w:rsid w:val="006A351B"/>
    <w:rsid w:val="006B0422"/>
    <w:rsid w:val="006C1B53"/>
    <w:rsid w:val="006D6AB0"/>
    <w:rsid w:val="006D7730"/>
    <w:rsid w:val="006E5284"/>
    <w:rsid w:val="006F3EB5"/>
    <w:rsid w:val="00702E34"/>
    <w:rsid w:val="00704395"/>
    <w:rsid w:val="00712D99"/>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841DF"/>
    <w:rsid w:val="00A92E9F"/>
    <w:rsid w:val="00B27904"/>
    <w:rsid w:val="00B33BEA"/>
    <w:rsid w:val="00B376CD"/>
    <w:rsid w:val="00B41BD0"/>
    <w:rsid w:val="00B57C9F"/>
    <w:rsid w:val="00B63572"/>
    <w:rsid w:val="00B84277"/>
    <w:rsid w:val="00B845B3"/>
    <w:rsid w:val="00B85D8B"/>
    <w:rsid w:val="00BA3F96"/>
    <w:rsid w:val="00BB2090"/>
    <w:rsid w:val="00BB4A40"/>
    <w:rsid w:val="00BD6C3E"/>
    <w:rsid w:val="00BE3674"/>
    <w:rsid w:val="00C10681"/>
    <w:rsid w:val="00C3049A"/>
    <w:rsid w:val="00C31B1E"/>
    <w:rsid w:val="00C52D66"/>
    <w:rsid w:val="00C77645"/>
    <w:rsid w:val="00CE04C3"/>
    <w:rsid w:val="00CE76A0"/>
    <w:rsid w:val="00CF359B"/>
    <w:rsid w:val="00D0242F"/>
    <w:rsid w:val="00D148C6"/>
    <w:rsid w:val="00D17A8A"/>
    <w:rsid w:val="00D35DAD"/>
    <w:rsid w:val="00D415BA"/>
    <w:rsid w:val="00D644EE"/>
    <w:rsid w:val="00DD06FF"/>
    <w:rsid w:val="00DD5FE9"/>
    <w:rsid w:val="00E00C7A"/>
    <w:rsid w:val="00E37D6C"/>
    <w:rsid w:val="00E55B68"/>
    <w:rsid w:val="00E67BE6"/>
    <w:rsid w:val="00E7195F"/>
    <w:rsid w:val="00E8683C"/>
    <w:rsid w:val="00EA2B72"/>
    <w:rsid w:val="00F65160"/>
    <w:rsid w:val="00F74360"/>
    <w:rsid w:val="00FB462F"/>
    <w:rsid w:val="00FE16FA"/>
    <w:rsid w:val="00FE328A"/>
    <w:rsid w:val="00FE6269"/>
    <w:rsid w:val="010A29DC"/>
    <w:rsid w:val="08B869E4"/>
    <w:rsid w:val="08E65236"/>
    <w:rsid w:val="1FE312CB"/>
    <w:rsid w:val="22AD1241"/>
    <w:rsid w:val="24C25551"/>
    <w:rsid w:val="27AC5160"/>
    <w:rsid w:val="295F6C16"/>
    <w:rsid w:val="2C4445D1"/>
    <w:rsid w:val="2E24355B"/>
    <w:rsid w:val="33DC74D3"/>
    <w:rsid w:val="359176C6"/>
    <w:rsid w:val="3F576A39"/>
    <w:rsid w:val="41742F7F"/>
    <w:rsid w:val="4B2177EE"/>
    <w:rsid w:val="4E1956FC"/>
    <w:rsid w:val="51053BF3"/>
    <w:rsid w:val="56B31001"/>
    <w:rsid w:val="637F7949"/>
    <w:rsid w:val="6D6D6950"/>
    <w:rsid w:val="715916C6"/>
    <w:rsid w:val="73E2003B"/>
    <w:rsid w:val="776F264A"/>
    <w:rsid w:val="78E673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Balloon Text"/>
    <w:basedOn w:val="1"/>
    <w:link w:val="8"/>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批注框文本 Char"/>
    <w:basedOn w:val="7"/>
    <w:link w:val="3"/>
    <w:semiHidden/>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页眉 Char"/>
    <w:basedOn w:val="7"/>
    <w:link w:val="5"/>
    <w:qFormat/>
    <w:uiPriority w:val="99"/>
    <w:rPr>
      <w:sz w:val="18"/>
      <w:szCs w:val="18"/>
    </w:rPr>
  </w:style>
  <w:style w:type="paragraph" w:customStyle="1" w:styleId="11">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19</Pages>
  <Words>6723</Words>
  <Characters>7168</Characters>
  <Lines>53</Lines>
  <Paragraphs>14</Paragraphs>
  <TotalTime>0</TotalTime>
  <ScaleCrop>false</ScaleCrop>
  <LinksUpToDate>false</LinksUpToDate>
  <CharactersWithSpaces>7218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2022-09-19T09:09:00Z</dcterms:created>
  <dc:creator>李航 null</dc:creator>
  <cp:lastModifiedBy>养鱼的猫</cp:lastModifiedBy>
  <cp:lastPrinted>2021-07-28T00:12:00Z</cp:lastPrinted>
  <dcterms:modified xsi:type="dcterms:W3CDTF">2023-09-27T18:57:12Z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459C6E24ECEB4A669629FC77D78BC6E2_13</vt:lpwstr>
  </property>
</Properties>
</file>