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rFonts w:hint="eastAsia"/>
          <w:sz w:val="84"/>
          <w:szCs w:val="84"/>
        </w:rPr>
      </w:pPr>
      <w:r>
        <w:rPr>
          <w:rFonts w:hint="eastAsia"/>
          <w:sz w:val="84"/>
          <w:szCs w:val="84"/>
        </w:rPr>
        <w:t>怀化市坨院学校</w:t>
      </w:r>
    </w:p>
    <w:p>
      <w:pPr>
        <w:pStyle w:val="12"/>
        <w:jc w:val="center"/>
        <w:rPr>
          <w:sz w:val="84"/>
          <w:szCs w:val="84"/>
        </w:rPr>
      </w:pPr>
      <w:r>
        <w:rPr>
          <w:rFonts w:hint="eastAsia"/>
          <w:sz w:val="84"/>
          <w:szCs w:val="84"/>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center"/>
        <w:rPr>
          <w:b/>
          <w:sz w:val="36"/>
          <w:szCs w:val="28"/>
        </w:rPr>
      </w:pPr>
      <w:r>
        <w:rPr>
          <w:rFonts w:hint="eastAsia"/>
          <w:b/>
          <w:sz w:val="36"/>
          <w:szCs w:val="28"/>
        </w:rPr>
        <w:t>目录</w:t>
      </w:r>
    </w:p>
    <w:p>
      <w:pPr>
        <w:pStyle w:val="12"/>
        <w:spacing w:line="500" w:lineRule="exact"/>
        <w:rPr>
          <w:rFonts w:ascii="仿宋_GB2312" w:hAnsi="仿宋_GB2312" w:cs="仿宋_GB2312"/>
          <w:b/>
          <w:sz w:val="28"/>
          <w:szCs w:val="28"/>
        </w:rPr>
      </w:pPr>
      <w:r>
        <w:rPr>
          <w:rFonts w:hint="eastAsia"/>
          <w:b/>
          <w:sz w:val="28"/>
          <w:szCs w:val="28"/>
        </w:rPr>
        <w:t>第一部分怀化市坨院学校单位概况</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p>
    <w:p>
      <w:pPr>
        <w:pStyle w:val="12"/>
        <w:jc w:val="center"/>
        <w:rPr>
          <w:sz w:val="84"/>
          <w:szCs w:val="84"/>
        </w:rPr>
      </w:pPr>
    </w:p>
    <w:p>
      <w:pPr>
        <w:pStyle w:val="12"/>
        <w:jc w:val="center"/>
        <w:rPr>
          <w:rFonts w:hint="eastAsia"/>
          <w:sz w:val="84"/>
          <w:szCs w:val="84"/>
        </w:rPr>
      </w:pPr>
      <w:r>
        <w:rPr>
          <w:rFonts w:hint="eastAsia"/>
          <w:sz w:val="84"/>
          <w:szCs w:val="84"/>
        </w:rPr>
        <w:t>怀化市坨院学校</w:t>
      </w:r>
    </w:p>
    <w:p>
      <w:pPr>
        <w:pStyle w:val="12"/>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72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bCs/>
          <w:kern w:val="0"/>
          <w:sz w:val="32"/>
          <w:szCs w:val="32"/>
        </w:rPr>
      </w:pPr>
      <w:r>
        <w:rPr>
          <w:rFonts w:hint="eastAsia" w:asciiTheme="minorEastAsia" w:hAnsiTheme="minorEastAsia"/>
          <w:bCs/>
          <w:kern w:val="0"/>
          <w:sz w:val="32"/>
          <w:szCs w:val="32"/>
        </w:rPr>
        <w:t>（一）怀化市坨院学校是全额拨款的事业单位。</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bCs/>
          <w:kern w:val="0"/>
          <w:sz w:val="32"/>
          <w:szCs w:val="32"/>
        </w:rPr>
      </w:pPr>
      <w:r>
        <w:rPr>
          <w:rFonts w:hint="eastAsia" w:asciiTheme="minorEastAsia" w:hAnsiTheme="minorEastAsia"/>
          <w:bCs/>
          <w:kern w:val="0"/>
          <w:sz w:val="32"/>
          <w:szCs w:val="32"/>
        </w:rPr>
        <w:t>（二）主要工作职责：全面贯彻党的教育方针，落实九年义务教育各项政策，保障学生受教育的各项权利，维护教师职工各项权益。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9</w:t>
      </w:r>
      <w:r>
        <w:rPr>
          <w:rFonts w:hint="eastAsia" w:cs="仿宋" w:asciiTheme="minorEastAsia" w:hAnsiTheme="minorEastAsia"/>
          <w:sz w:val="32"/>
          <w:szCs w:val="32"/>
        </w:rPr>
        <w:t>个职能处室：学校办公室、校长室、工会、党支部、总务处、教务处、德育处、教研室、财务室。</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（二）决算单位构成：怀化市坨院学校本级</w:t>
      </w:r>
      <w:r>
        <w:rPr>
          <w:rFonts w:hint="eastAsia" w:ascii="Times New Roman" w:hAnsi="Times New Roman" w:eastAsia="仿宋_GB2312" w:cs="Times New Roman"/>
          <w:bCs/>
          <w:kern w:val="0"/>
          <w:sz w:val="32"/>
          <w:szCs w:val="32"/>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jc w:val="center"/>
        <w:rPr>
          <w:rFonts w:hint="eastAsia"/>
          <w:sz w:val="84"/>
          <w:szCs w:val="84"/>
        </w:rPr>
      </w:pPr>
    </w:p>
    <w:p>
      <w:pPr>
        <w:pStyle w:val="12"/>
        <w:jc w:val="center"/>
        <w:rPr>
          <w:rFonts w:hint="eastAsia"/>
          <w:sz w:val="84"/>
          <w:szCs w:val="84"/>
        </w:rPr>
      </w:pPr>
      <w:r>
        <w:rPr>
          <w:rFonts w:hint="eastAsia"/>
          <w:sz w:val="84"/>
          <w:szCs w:val="84"/>
        </w:rPr>
        <w:t>第二部分</w:t>
      </w:r>
    </w:p>
    <w:p>
      <w:pPr>
        <w:pStyle w:val="12"/>
        <w:jc w:val="center"/>
        <w:rPr>
          <w:rFonts w:hint="eastAsia"/>
          <w:sz w:val="84"/>
          <w:szCs w:val="84"/>
        </w:rPr>
      </w:pPr>
    </w:p>
    <w:p>
      <w:pPr>
        <w:pStyle w:val="12"/>
        <w:jc w:val="center"/>
        <w:rPr>
          <w:rFonts w:hint="eastAsia"/>
          <w:sz w:val="84"/>
          <w:szCs w:val="84"/>
        </w:rPr>
      </w:pPr>
      <w:r>
        <w:rPr>
          <w:rFonts w:hint="eastAsia"/>
          <w:sz w:val="84"/>
          <w:szCs w:val="84"/>
        </w:rPr>
        <w:t>部门决算表</w:t>
      </w:r>
    </w:p>
    <w:p>
      <w:pPr>
        <w:pStyle w:val="12"/>
        <w:jc w:val="center"/>
        <w:rPr>
          <w:rFonts w:hint="eastAsia"/>
          <w:sz w:val="84"/>
          <w:szCs w:val="84"/>
        </w:rPr>
      </w:pPr>
      <w:r>
        <w:rPr>
          <w:rFonts w:hint="eastAsia"/>
          <w:sz w:val="84"/>
          <w:szCs w:val="84"/>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sz w:val="72"/>
          <w:szCs w:val="72"/>
        </w:rPr>
      </w:pPr>
    </w:p>
    <w:p>
      <w:pPr>
        <w:pStyle w:val="12"/>
        <w:jc w:val="center"/>
        <w:rPr>
          <w:rFonts w:hint="eastAsia"/>
          <w:sz w:val="84"/>
          <w:szCs w:val="84"/>
        </w:rPr>
      </w:pPr>
      <w:r>
        <w:rPr>
          <w:rFonts w:hint="eastAsia"/>
          <w:sz w:val="84"/>
          <w:szCs w:val="84"/>
        </w:rPr>
        <w:t>第三部分</w:t>
      </w:r>
    </w:p>
    <w:p>
      <w:pPr>
        <w:pStyle w:val="12"/>
        <w:jc w:val="center"/>
        <w:rPr>
          <w:rFonts w:hint="eastAsia"/>
          <w:sz w:val="84"/>
          <w:szCs w:val="84"/>
        </w:rPr>
      </w:pPr>
    </w:p>
    <w:p>
      <w:pPr>
        <w:pStyle w:val="12"/>
        <w:jc w:val="center"/>
        <w:rPr>
          <w:rFonts w:hint="eastAsia"/>
          <w:sz w:val="84"/>
          <w:szCs w:val="84"/>
        </w:rPr>
      </w:pPr>
      <w:r>
        <w:rPr>
          <w:rFonts w:hint="eastAsia"/>
          <w:sz w:val="84"/>
          <w:szCs w:val="84"/>
        </w:rPr>
        <w:t>2021年度部门决算情况说明</w:t>
      </w:r>
    </w:p>
    <w:p>
      <w:pPr>
        <w:widowControl/>
        <w:jc w:val="left"/>
        <w:rPr>
          <w:rFonts w:ascii="黑体" w:eastAsia="黑体" w:cs="黑体"/>
          <w:color w:val="000000"/>
          <w:kern w:val="0"/>
          <w:sz w:val="70"/>
          <w:szCs w:val="70"/>
        </w:rPr>
      </w:pPr>
      <w:r>
        <w:rPr>
          <w:sz w:val="70"/>
          <w:szCs w:val="70"/>
        </w:rPr>
        <w:br w:type="page"/>
      </w:r>
    </w:p>
    <w:p>
      <w:pPr>
        <w:pStyle w:val="12"/>
        <w:rPr>
          <w:rFonts w:hAnsi="黑体"/>
          <w:b/>
          <w:sz w:val="32"/>
          <w:szCs w:val="32"/>
        </w:rPr>
      </w:pPr>
      <w:r>
        <w:rPr>
          <w:rFonts w:hint="eastAsia" w:hAnsi="黑体"/>
          <w:b/>
          <w:sz w:val="32"/>
          <w:szCs w:val="32"/>
        </w:rPr>
        <w:t>一、收入支出决算总体情况说明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2021年度收入合计476.05万元</w:t>
      </w:r>
      <w:r>
        <w:rPr>
          <w:rFonts w:hint="eastAsia" w:asciiTheme="minorEastAsia" w:hAnsiTheme="minorEastAsia" w:eastAsiaTheme="minorEastAsia"/>
          <w:sz w:val="32"/>
          <w:szCs w:val="32"/>
          <w:lang w:eastAsia="zh-CN"/>
        </w:rPr>
        <w:t>，年初结转和结余25.47万元，收入总计501.52万元</w:t>
      </w:r>
      <w:r>
        <w:rPr>
          <w:rFonts w:hint="eastAsia" w:asciiTheme="minorEastAsia" w:hAnsiTheme="minorEastAsia" w:eastAsiaTheme="minorEastAsia"/>
          <w:sz w:val="32"/>
          <w:szCs w:val="32"/>
        </w:rPr>
        <w:t>。与上年相比，增加174.5万元，增长57.88%，主要是因为学生公用经费增加，以及教师编制增加。</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2021年度支出合计501.52万元。与上年相比，增加199.97万元，增长66.31%，主要是因为学生公用支出经费增加，以及教师编制增加导致支出资金增加。</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2021年度收入合计476.05万元，其中：财政拨款收入463.79万元，占97.42%；其他收入12.26万元，占2.58%。</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2021年度支出合计501.52万元，其中：基本支出429.29万元，占85.6%；项目支出72.23万元，占14.4%。</w:t>
      </w:r>
    </w:p>
    <w:p>
      <w:pPr>
        <w:pStyle w:val="12"/>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2021年度财政拨款收入合计463.79万元</w:t>
      </w:r>
      <w:r>
        <w:rPr>
          <w:rFonts w:hint="eastAsia" w:asciiTheme="minorEastAsia" w:hAnsiTheme="minorEastAsia" w:eastAsiaTheme="minorEastAsia"/>
          <w:sz w:val="32"/>
          <w:szCs w:val="32"/>
          <w:lang w:eastAsia="zh-CN"/>
        </w:rPr>
        <w:t>，年初财政拨款结转和结余25.47</w:t>
      </w:r>
      <w:r>
        <w:rPr>
          <w:rFonts w:hint="eastAsia" w:asciiTheme="minorEastAsia" w:hAnsiTheme="minorEastAsia" w:eastAsiaTheme="minorEastAsia"/>
          <w:sz w:val="32"/>
          <w:szCs w:val="32"/>
          <w:lang w:val="en-US" w:eastAsia="zh-CN"/>
        </w:rPr>
        <w:t>万元，收入总计489.26万元</w:t>
      </w:r>
      <w:r>
        <w:rPr>
          <w:rFonts w:hint="eastAsia" w:asciiTheme="minorEastAsia" w:hAnsiTheme="minorEastAsia" w:eastAsiaTheme="minorEastAsia"/>
          <w:sz w:val="32"/>
          <w:szCs w:val="32"/>
        </w:rPr>
        <w:t>。与上年相比，增加183.23万元，增长39.50%，主要是因为学生人数和教师人数增加使公用经费增加。</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2021年度财政拨款支出合计489.26万元。与上年相比，增加183.23万元，增长39.50%，主要是因为学生人数和教师人数增加使公用经费增加。</w:t>
      </w:r>
    </w:p>
    <w:p>
      <w:pPr>
        <w:pStyle w:val="12"/>
        <w:ind w:firstLine="640" w:firstLineChars="200"/>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2021年度财政拨款支出489.26万元，占本年支出合计的97.56%，与上年相比，财政拨款支出增加213.18万元，增长43.57%，主要是因为学生公用支出经费及学生营养餐补助资金增加。</w:t>
      </w: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2021年度财政拨款支出489.26万元，主要用于以下方面：一般公共服务（类）支出0万元，占0%；教育（类）支出489.26万元，占100%。</w:t>
      </w:r>
    </w:p>
    <w:p>
      <w:pPr>
        <w:pStyle w:val="1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2021年度财政拨款支出年初预算数为489.26万元，支出决算数为489.26万元，完成年初预算的100%，其中：</w:t>
      </w:r>
    </w:p>
    <w:p>
      <w:pPr>
        <w:pStyle w:val="12"/>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1、教育支出（类）普通教育（款）小学教育（项）。</w:t>
      </w:r>
    </w:p>
    <w:p>
      <w:pPr>
        <w:pStyle w:val="12"/>
        <w:ind w:firstLine="640" w:firstLineChars="20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年初预算为 417.03万元，支出决算为417.03万元，完成年初预算的100%</w:t>
      </w:r>
      <w:r>
        <w:rPr>
          <w:rFonts w:hint="eastAsia" w:asciiTheme="minorEastAsia" w:hAnsiTheme="minorEastAsia" w:eastAsiaTheme="minorEastAsia"/>
          <w:color w:val="000000" w:themeColor="text1"/>
          <w:sz w:val="32"/>
          <w:szCs w:val="32"/>
          <w:lang w:eastAsia="zh-CN"/>
        </w:rPr>
        <w:t>，</w:t>
      </w:r>
      <w:r>
        <w:rPr>
          <w:rFonts w:hint="eastAsia" w:asciiTheme="minorEastAsia" w:hAnsiTheme="minorEastAsia" w:eastAsiaTheme="minorEastAsia"/>
          <w:color w:val="000000" w:themeColor="text1"/>
          <w:sz w:val="32"/>
          <w:szCs w:val="32"/>
          <w:lang w:val="en-US" w:eastAsia="zh-CN"/>
        </w:rPr>
        <w:t>决算数等于年初预算数</w:t>
      </w:r>
      <w:r>
        <w:rPr>
          <w:rFonts w:hint="eastAsia" w:asciiTheme="minorEastAsia" w:hAnsiTheme="minorEastAsia" w:eastAsiaTheme="minorEastAsia"/>
          <w:color w:val="000000" w:themeColor="text1"/>
          <w:sz w:val="32"/>
          <w:szCs w:val="32"/>
          <w:lang w:eastAsia="zh-CN"/>
        </w:rPr>
        <w:t>。</w:t>
      </w:r>
    </w:p>
    <w:p>
      <w:pPr>
        <w:pStyle w:val="12"/>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2、教育支出（类）普通教育（款）其他教育支出（项）。</w:t>
      </w:r>
    </w:p>
    <w:p>
      <w:pPr>
        <w:pStyle w:val="12"/>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年初预算为27.23万元，支出决算为27.23万元，完成年初预算的100%</w:t>
      </w:r>
      <w:r>
        <w:rPr>
          <w:rFonts w:hint="eastAsia" w:asciiTheme="minorEastAsia" w:hAnsiTheme="minorEastAsia" w:eastAsiaTheme="minorEastAsia"/>
          <w:color w:val="000000" w:themeColor="text1"/>
          <w:sz w:val="32"/>
          <w:szCs w:val="32"/>
          <w:lang w:eastAsia="zh-CN"/>
        </w:rPr>
        <w:t>，决算数等于年初预算数</w:t>
      </w:r>
      <w:r>
        <w:rPr>
          <w:rFonts w:hint="eastAsia" w:asciiTheme="minorEastAsia" w:hAnsiTheme="minorEastAsia" w:eastAsiaTheme="minorEastAsia"/>
          <w:color w:val="000000" w:themeColor="text1"/>
          <w:sz w:val="32"/>
          <w:szCs w:val="32"/>
        </w:rPr>
        <w:t>。</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417.03万元，其中：人员经费349.6万元，占基本支出的83.83%,主要包括基本工资、津贴补贴、奖金、伙食补助费等；公用经费67.43万元，占基本支出的16.17%，主要包括办公费、印刷费、咨询费、手续费等。</w:t>
      </w:r>
    </w:p>
    <w:p>
      <w:pPr>
        <w:pStyle w:val="12"/>
        <w:rPr>
          <w:rFonts w:hAnsi="黑体"/>
          <w:b/>
          <w:sz w:val="32"/>
          <w:szCs w:val="32"/>
        </w:rPr>
      </w:pPr>
      <w:r>
        <w:rPr>
          <w:rFonts w:hint="eastAsia" w:hAnsi="黑体"/>
          <w:b/>
          <w:sz w:val="32"/>
          <w:szCs w:val="32"/>
        </w:rPr>
        <w:t>七、一般公共预算财政拨款“三公”经费支出决算情况说明</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2021年度“三公”经费财政拨款支出预算为0万元，支出决算为0万元，由于预算数为0，无法计算百分比，其中：</w:t>
      </w:r>
    </w:p>
    <w:p>
      <w:pPr>
        <w:pStyle w:val="12"/>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p>
    <w:p>
      <w:pPr>
        <w:pStyle w:val="12"/>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由于预算数为0，无法计算百分比。</w:t>
      </w:r>
    </w:p>
    <w:p>
      <w:pPr>
        <w:pStyle w:val="12"/>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w:t>
      </w:r>
    </w:p>
    <w:p>
      <w:pPr>
        <w:pStyle w:val="12"/>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pStyle w:val="12"/>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3、公务用车购置费及运行维护费支出决算为0万元，其中：公务用车购置费0万元。公务用车运行维护费0万元，更新公务用车0辆</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截止2021年12月31日，我单位开支财政拨款的公务用车保有量为0辆。</w:t>
      </w:r>
    </w:p>
    <w:p>
      <w:pPr>
        <w:pStyle w:val="12"/>
        <w:rPr>
          <w:rFonts w:hAnsi="黑体"/>
          <w:b/>
          <w:sz w:val="32"/>
          <w:szCs w:val="32"/>
        </w:rPr>
      </w:pPr>
      <w:r>
        <w:rPr>
          <w:rFonts w:hint="eastAsia" w:hAnsi="黑体"/>
          <w:b/>
          <w:sz w:val="32"/>
          <w:szCs w:val="32"/>
        </w:rPr>
        <w:t>八、政府性基金预算收入支出决算情况</w:t>
      </w:r>
    </w:p>
    <w:p>
      <w:pPr>
        <w:pStyle w:val="12"/>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2"/>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本单位无政府性基金预算收入支出。</w:t>
      </w:r>
    </w:p>
    <w:p>
      <w:pPr>
        <w:pStyle w:val="12"/>
        <w:rPr>
          <w:rFonts w:asciiTheme="minorEastAsia" w:hAnsiTheme="minorEastAsia" w:eastAsiaTheme="minorEastAsia"/>
          <w:i/>
          <w:color w:val="FF0000"/>
          <w:sz w:val="32"/>
          <w:szCs w:val="32"/>
        </w:rPr>
      </w:pPr>
      <w:r>
        <w:rPr>
          <w:rFonts w:hint="eastAsia" w:hAnsi="黑体"/>
          <w:b/>
          <w:sz w:val="32"/>
          <w:szCs w:val="32"/>
        </w:rPr>
        <w:t>九、国有资本经营预算财政拨款支出情况</w:t>
      </w:r>
    </w:p>
    <w:p>
      <w:pPr>
        <w:pStyle w:val="12"/>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bookmarkStart w:id="0" w:name="_GoBack"/>
      <w:bookmarkEnd w:id="0"/>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万元。本单位无国有资本经营预算财政拨款支出。</w:t>
      </w:r>
    </w:p>
    <w:p>
      <w:pPr>
        <w:pStyle w:val="12"/>
        <w:rPr>
          <w:rFonts w:hAnsi="黑体"/>
          <w:b/>
          <w:sz w:val="32"/>
          <w:szCs w:val="32"/>
        </w:rPr>
      </w:pPr>
      <w:r>
        <w:rPr>
          <w:rFonts w:hint="eastAsia" w:hAnsi="黑体"/>
          <w:b/>
          <w:sz w:val="32"/>
          <w:szCs w:val="32"/>
        </w:rPr>
        <w:t>十、机关运行经费支出说明</w:t>
      </w:r>
    </w:p>
    <w:p>
      <w:pPr>
        <w:pStyle w:val="12"/>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机关运行经费为保障行政单位（含参照公务员法管理的事业单位）运行用于购买货物和服务的各项资金，本单位为财政补助事业单位，无机关运行经费，本单位公用经费为67.43万元，同比增加11.7万元，原因是提高了教师的公用经费标准由原来的1100元每人提高到3700每人以及往年账款进行了结账。</w:t>
      </w:r>
    </w:p>
    <w:p>
      <w:pPr>
        <w:pStyle w:val="12"/>
        <w:rPr>
          <w:rFonts w:hAnsi="黑体"/>
          <w:b/>
          <w:sz w:val="32"/>
          <w:szCs w:val="32"/>
        </w:rPr>
      </w:pPr>
      <w:r>
        <w:rPr>
          <w:rFonts w:hint="eastAsia" w:hAnsi="黑体"/>
          <w:b/>
          <w:sz w:val="32"/>
          <w:szCs w:val="32"/>
        </w:rPr>
        <w:t>十一、一般性支出情况说明</w:t>
      </w:r>
    </w:p>
    <w:p>
      <w:pPr>
        <w:pStyle w:val="12"/>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开支培训费0.2万元，用于开展线上线下培训，人数30人，内容教育教学培训、行政管理培训、继续教育培训；元旦晚会和春节慰问等工会活动开支6.9万元，办公费13.33万元，印刷费2.54万元，水费3.39万元，电费1.8万元，维护费6.18万元，专用材料费30万元，其他商品与服务13.03万元，劳务费2.2万元，咨询费0.44万元。</w:t>
      </w:r>
    </w:p>
    <w:p>
      <w:pPr>
        <w:pStyle w:val="12"/>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2"/>
        <w:rPr>
          <w:rFonts w:hAnsi="黑体"/>
          <w:b/>
          <w:sz w:val="32"/>
          <w:szCs w:val="32"/>
        </w:rPr>
      </w:pPr>
      <w:r>
        <w:rPr>
          <w:rFonts w:hint="eastAsia" w:hAnsi="黑体"/>
          <w:b/>
          <w:sz w:val="32"/>
          <w:szCs w:val="32"/>
        </w:rPr>
        <w:t>十三、国有资产占用情况说明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2"/>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年度一般公共预算项目支出全面开展绩效自评，其中，一级项目3个，共涉及资金72.23万元，占一般公共预算项目支出总额100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学生营养餐补助资金”1个项目开展了部门评价，涉及一般公共预算支出34.302万元，。从评价情况来看，产出指标，效益指标，满意度指标达到预期目标，年度总体目标得到实现，有力地保障了学生均衡营养，学生养成了良好的饮食和用餐习惯，促进了学生体质健康。</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进一步健全和完善财务制度及内部控制制度，根据专项资金绩效评价要求，加强对项目的组织和管理，动态监督项目实施进度和完成质量，加强各部门的沟通，确保项目的顺利进行。</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（3）部门评价项目绩效评价结果。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组织对“怀化市坨院学校”1</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个单位开展整体支出绩效评价，涉及一般公共预算支出489.26万元。从评价情况来看，产出指标，效益指标，满意度指标达到预期目标，整体支出绩效得分为98分。</w:t>
      </w:r>
    </w:p>
    <w:p>
      <w:pPr>
        <w:autoSpaceDE w:val="0"/>
        <w:autoSpaceDN w:val="0"/>
        <w:adjustRightInd w:val="0"/>
        <w:ind w:firstLine="640" w:firstLineChars="200"/>
        <w:jc w:val="left"/>
        <w:rPr>
          <w:rFonts w:cs="黑体" w:asciiTheme="minorEastAsia" w:hAnsiTheme="minorEastAsia"/>
          <w:color w:val="000000"/>
          <w:kern w:val="0"/>
          <w:sz w:val="32"/>
          <w:szCs w:val="32"/>
        </w:rPr>
      </w:pPr>
    </w:p>
    <w:p>
      <w:pPr>
        <w:pStyle w:val="12"/>
        <w:jc w:val="center"/>
        <w:rPr>
          <w:rFonts w:asciiTheme="minorEastAsia" w:hAnsiTheme="minorEastAsia" w:eastAsiaTheme="minorEastAsia"/>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rPr>
          <w:sz w:val="72"/>
          <w:szCs w:val="72"/>
        </w:rPr>
      </w:pPr>
    </w:p>
    <w:p>
      <w:pPr>
        <w:pStyle w:val="12"/>
        <w:rPr>
          <w:sz w:val="72"/>
          <w:szCs w:val="72"/>
        </w:rPr>
      </w:pPr>
    </w:p>
    <w:p>
      <w:pPr>
        <w:pStyle w:val="12"/>
        <w:jc w:val="both"/>
        <w:rPr>
          <w:rFonts w:hint="eastAsia"/>
          <w:sz w:val="84"/>
          <w:szCs w:val="84"/>
        </w:rPr>
      </w:pPr>
    </w:p>
    <w:p>
      <w:pPr>
        <w:pStyle w:val="12"/>
        <w:jc w:val="center"/>
        <w:rPr>
          <w:rFonts w:hint="eastAsia"/>
          <w:sz w:val="84"/>
          <w:szCs w:val="84"/>
        </w:rPr>
      </w:pPr>
    </w:p>
    <w:p>
      <w:pPr>
        <w:pStyle w:val="12"/>
        <w:jc w:val="center"/>
        <w:rPr>
          <w:rFonts w:hint="eastAsia"/>
          <w:sz w:val="84"/>
          <w:szCs w:val="84"/>
        </w:rPr>
      </w:pPr>
    </w:p>
    <w:p>
      <w:pPr>
        <w:pStyle w:val="12"/>
        <w:jc w:val="center"/>
        <w:rPr>
          <w:rFonts w:hint="eastAsia"/>
          <w:sz w:val="84"/>
          <w:szCs w:val="84"/>
        </w:rPr>
      </w:pPr>
      <w:r>
        <w:rPr>
          <w:rFonts w:hint="eastAsia"/>
          <w:sz w:val="84"/>
          <w:szCs w:val="84"/>
        </w:rPr>
        <w:t>第四部分</w:t>
      </w:r>
    </w:p>
    <w:p>
      <w:pPr>
        <w:pStyle w:val="12"/>
        <w:jc w:val="center"/>
        <w:rPr>
          <w:rFonts w:hint="eastAsia"/>
          <w:sz w:val="84"/>
          <w:szCs w:val="84"/>
        </w:rPr>
      </w:pPr>
    </w:p>
    <w:p>
      <w:pPr>
        <w:pStyle w:val="12"/>
        <w:jc w:val="center"/>
        <w:rPr>
          <w:rFonts w:hint="eastAsia"/>
          <w:sz w:val="84"/>
          <w:szCs w:val="84"/>
        </w:rPr>
      </w:pPr>
      <w:r>
        <w:rPr>
          <w:rFonts w:hint="eastAsia"/>
          <w:sz w:val="84"/>
          <w:szCs w:val="84"/>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sz w:val="72"/>
          <w:szCs w:val="72"/>
        </w:rPr>
      </w:pPr>
    </w:p>
    <w:p>
      <w:pPr>
        <w:pStyle w:val="12"/>
        <w:jc w:val="center"/>
        <w:rPr>
          <w:sz w:val="72"/>
          <w:szCs w:val="72"/>
        </w:rPr>
      </w:pPr>
    </w:p>
    <w:p>
      <w:pPr>
        <w:pStyle w:val="12"/>
        <w:jc w:val="center"/>
        <w:rPr>
          <w:rFonts w:hint="eastAsia"/>
          <w:sz w:val="84"/>
          <w:szCs w:val="84"/>
        </w:rPr>
      </w:pPr>
      <w:r>
        <w:rPr>
          <w:rFonts w:hint="eastAsia"/>
          <w:sz w:val="84"/>
          <w:szCs w:val="84"/>
        </w:rPr>
        <w:t>第五部分</w:t>
      </w:r>
    </w:p>
    <w:p>
      <w:pPr>
        <w:pStyle w:val="12"/>
        <w:jc w:val="center"/>
        <w:rPr>
          <w:rFonts w:hint="eastAsia"/>
          <w:sz w:val="84"/>
          <w:szCs w:val="84"/>
        </w:rPr>
      </w:pPr>
    </w:p>
    <w:p>
      <w:pPr>
        <w:pStyle w:val="12"/>
        <w:jc w:val="center"/>
        <w:rPr>
          <w:rFonts w:hint="eastAsia"/>
          <w:sz w:val="84"/>
          <w:szCs w:val="84"/>
        </w:rPr>
      </w:pPr>
      <w:r>
        <w:rPr>
          <w:rFonts w:hint="eastAsia"/>
          <w:sz w:val="84"/>
          <w:szCs w:val="8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hint="eastAsia" w:ascii="黑体" w:hAnsi="黑体" w:eastAsia="黑体" w:cs="黑体"/>
          <w:b/>
          <w:color w:val="000000"/>
          <w:kern w:val="0"/>
          <w:sz w:val="32"/>
          <w:szCs w:val="32"/>
          <w:lang w:eastAsia="zh-CN"/>
        </w:rPr>
      </w:pPr>
      <w:r>
        <w:rPr>
          <w:rFonts w:hint="eastAsia" w:ascii="黑体" w:hAnsi="黑体" w:eastAsia="黑体" w:cs="黑体"/>
          <w:b/>
          <w:color w:val="000000"/>
          <w:kern w:val="0"/>
          <w:sz w:val="32"/>
          <w:szCs w:val="32"/>
        </w:rPr>
        <w:t>2021年度部门整体支出绩效评价报告</w:t>
      </w:r>
    </w:p>
    <w:p>
      <w:pPr>
        <w:widowControl/>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一、部门概况</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（一）部门职责</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怀化市怀化市坨院学校是全额拨款的事业单位。主要工作职责：全面贯彻党的教育方针，落实九年义务教育各项政策，保障学生受教育的各项权利，维护教师职工各项权益。</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（二）机构设置情况</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怀化市坨院学校是鹤城区一级部门预算单位，纳入2021年部门预算编制范围。在职职工人数20人，学生人数485人。内设机构设置9个职能处室：学校办公室、校长室、工会、党支部、总务处、教务处、德育处、教研室、财务室。</w:t>
      </w:r>
    </w:p>
    <w:p>
      <w:pPr>
        <w:widowControl/>
        <w:shd w:val="clear" w:color="auto" w:fill="FFFFFF"/>
        <w:spacing w:line="600" w:lineRule="atLeast"/>
        <w:ind w:firstLine="640"/>
        <w:rPr>
          <w:rFonts w:ascii="黑体" w:hAnsi="黑体" w:eastAsia="黑体"/>
          <w:b/>
          <w:spacing w:val="-2"/>
          <w:sz w:val="32"/>
          <w:szCs w:val="21"/>
        </w:rPr>
      </w:pPr>
      <w:r>
        <w:rPr>
          <w:rFonts w:ascii="黑体" w:hAnsi="黑体" w:eastAsia="黑体"/>
          <w:b/>
          <w:spacing w:val="-2"/>
          <w:sz w:val="32"/>
          <w:szCs w:val="32"/>
        </w:rPr>
        <w:t>二、部门整体支出管理及使用情况</w:t>
      </w:r>
    </w:p>
    <w:p>
      <w:pPr>
        <w:widowControl/>
        <w:shd w:val="clear" w:color="auto" w:fill="FFFFFF"/>
        <w:spacing w:line="600" w:lineRule="atLeast"/>
        <w:ind w:firstLine="643"/>
        <w:rPr>
          <w:rFonts w:asciiTheme="minorEastAsia" w:hAnsiTheme="minorEastAsia"/>
          <w:b/>
          <w:spacing w:val="-2"/>
          <w:sz w:val="32"/>
          <w:szCs w:val="21"/>
        </w:rPr>
      </w:pPr>
      <w:r>
        <w:rPr>
          <w:rFonts w:asciiTheme="minorEastAsia" w:hAnsiTheme="minorEastAsia"/>
          <w:b/>
          <w:spacing w:val="-2"/>
          <w:sz w:val="32"/>
          <w:szCs w:val="32"/>
        </w:rPr>
        <w:t>（一）基本支出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年初预算数为429.29万元，是指为保障单位机构正常运转、完成日常工作任务而发生的各项支出，包括用于基本工资、津贴补贴等人员经费以及办公费、印刷费、水电费、物业管理费等日常公用经费；其中2021年“三公经费”实际支出0万元，严控严管已见成效。基本支出预算保障充足及时，支出绩效优良。</w:t>
      </w:r>
    </w:p>
    <w:p>
      <w:pPr>
        <w:widowControl/>
        <w:numPr>
          <w:ilvl w:val="0"/>
          <w:numId w:val="2"/>
        </w:numPr>
        <w:shd w:val="clear" w:color="auto" w:fill="FFFFFF"/>
        <w:spacing w:line="600" w:lineRule="atLeast"/>
        <w:ind w:firstLine="643"/>
        <w:rPr>
          <w:rFonts w:asciiTheme="minorEastAsia" w:hAnsiTheme="minorEastAsia"/>
          <w:b/>
          <w:spacing w:val="-2"/>
          <w:sz w:val="32"/>
          <w:szCs w:val="32"/>
        </w:rPr>
      </w:pPr>
      <w:r>
        <w:rPr>
          <w:rFonts w:asciiTheme="minorEastAsia" w:hAnsiTheme="minorEastAsia"/>
          <w:b/>
          <w:spacing w:val="-2"/>
          <w:sz w:val="32"/>
          <w:szCs w:val="32"/>
        </w:rPr>
        <w:t>专项支出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专项资金（包括财政资金、自筹资金等）2021年年初预算数为72.23万元，是指单位为完成特定行政工作任务或事业发展目标而发生的支出，包括有产业发展引导类0万元、专项业务费用类27.96万元、对个人和家庭补助类44.27万元，除专项资金以外无其他项目支出预算。</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2、专项资金（包括财政资金、自筹资金等）2021年年末实际使用72.23万元，其中产业发展引导类0万元、专项业务费用类27.96万元、对个人和家庭补助类44.27万元，除专项资金以外无其他项目支出情况。</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3、专项资金（包括财政资金、自筹资金等）2021年年初预算项目准确，资金安排合理，充足，项目支出保障及时有力，支出绩效优良，群众满意度高。</w:t>
      </w:r>
    </w:p>
    <w:p>
      <w:pPr>
        <w:widowControl/>
        <w:shd w:val="clear" w:color="auto" w:fill="FFFFFF"/>
        <w:spacing w:line="600" w:lineRule="atLeast"/>
        <w:ind w:firstLine="640"/>
        <w:rPr>
          <w:rFonts w:ascii="黑体" w:hAnsi="黑体" w:eastAsia="黑体"/>
          <w:b/>
          <w:spacing w:val="-2"/>
          <w:sz w:val="32"/>
          <w:szCs w:val="21"/>
        </w:rPr>
      </w:pPr>
      <w:r>
        <w:rPr>
          <w:rFonts w:ascii="黑体" w:hAnsi="黑体" w:eastAsia="黑体"/>
          <w:b/>
          <w:spacing w:val="-2"/>
          <w:sz w:val="32"/>
          <w:szCs w:val="32"/>
        </w:rPr>
        <w:t>三、部门专项组织实施情况</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（一）专项组织情况分析。2021年项目3个，包括义务教育营养改善计划、临聘教师、农村教师人才津贴。项目支出72.23万元。</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（二）专项管理情况分析。2021年 严格按教育局管理要求执行，符合学校内控管理制度，有专人负责日常检查监督管理，工程验收合格。学生营养餐补助专项资金由总务主任主管，建立采购台帐，资金收支建立专账。山区人才津贴专项资金，做到专款专用，及时发到教师手中。</w:t>
      </w:r>
    </w:p>
    <w:p>
      <w:pPr>
        <w:widowControl/>
        <w:shd w:val="clear" w:color="auto" w:fill="FFFFFF"/>
        <w:spacing w:line="600" w:lineRule="atLeast"/>
        <w:ind w:firstLine="640"/>
        <w:rPr>
          <w:rFonts w:ascii="黑体" w:hAnsi="黑体" w:eastAsia="黑体"/>
          <w:b/>
          <w:spacing w:val="-2"/>
          <w:sz w:val="32"/>
          <w:szCs w:val="21"/>
        </w:rPr>
      </w:pPr>
      <w:r>
        <w:rPr>
          <w:rFonts w:ascii="黑体" w:hAnsi="黑体" w:eastAsia="黑体"/>
          <w:b/>
          <w:spacing w:val="-2"/>
          <w:sz w:val="32"/>
          <w:szCs w:val="32"/>
        </w:rPr>
        <w:t>四、资产管理情况</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2021年部门资产的配置合理，管理逐步走上正轨，管理制度得到完善，资产处置存在不及时情况。</w:t>
      </w:r>
    </w:p>
    <w:p>
      <w:pPr>
        <w:widowControl/>
        <w:numPr>
          <w:ilvl w:val="0"/>
          <w:numId w:val="3"/>
        </w:numPr>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部门整体支出绩效情况</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在上级部门的正确领导下，我校以提高教育教学质量为中心，将所有财政性资金、专项资金都纳入绩效管理，保证各项资金使用的真实、合法、有效，充分发挥资金使用效率。2021年年初预算总数为476.05万元，2021年年终决算支出总数为501.52万元。年初制定的支出绩效目标总体完成情况良好，学校实现平稳运行，各项教育教学工作正常有序，学生，家长，社会满意度提高。2021年部门整体支出绩效评价单位自评得分为98分。</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特别在学生营养餐专项资金的管理上，我校狠抓落实，从组织领导，采购流程痕迹管理，资金使用审核管理，食堂工作流程管理，营养餐台帐和营养餐专账标准化等全方位从严要求和管理，使营养餐专项资金做到了专款专用，最大限度用在学生营养午餐的食材保障上，学生营养餐好评度逐年提高，成为鹤城区学生营养餐示范校。</w:t>
      </w:r>
    </w:p>
    <w:p>
      <w:pPr>
        <w:widowControl/>
        <w:numPr>
          <w:ilvl w:val="0"/>
          <w:numId w:val="3"/>
        </w:numPr>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存在的主要问题</w:t>
      </w:r>
    </w:p>
    <w:p>
      <w:pPr>
        <w:pStyle w:val="7"/>
        <w:spacing w:before="0" w:beforeAutospacing="0" w:after="0" w:afterAutospacing="0" w:line="480" w:lineRule="auto"/>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1、学校的固定资产管理有待加强，下年度将加强人员配备，按要求逐步完善固定资产实物管理。</w:t>
      </w:r>
    </w:p>
    <w:p>
      <w:pPr>
        <w:pStyle w:val="7"/>
        <w:spacing w:before="0" w:beforeAutospacing="0" w:after="0" w:afterAutospacing="0" w:line="480" w:lineRule="auto"/>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2、更加科学合理编制预算，今后努力学习预算制度，更加合理地编制预算，提高预算管理效率。</w:t>
      </w:r>
    </w:p>
    <w:p>
      <w:pPr>
        <w:pStyle w:val="13"/>
        <w:widowControl/>
        <w:spacing w:line="600" w:lineRule="exact"/>
        <w:ind w:firstLine="640"/>
        <w:jc w:val="lef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3</w:t>
      </w:r>
      <w:r>
        <w:rPr>
          <w:rFonts w:hint="eastAsia" w:ascii="宋体" w:hAnsi="宋体" w:cs="黑体"/>
          <w:color w:val="000000"/>
          <w:kern w:val="0"/>
          <w:sz w:val="32"/>
          <w:szCs w:val="32"/>
          <w:lang w:val="en-US" w:eastAsia="zh-CN" w:bidi="ar-SA"/>
        </w:rPr>
        <w:t>、</w:t>
      </w:r>
      <w:r>
        <w:rPr>
          <w:rFonts w:hint="eastAsia" w:ascii="宋体" w:hAnsi="宋体" w:cs="黑体" w:eastAsiaTheme="minorEastAsia"/>
          <w:color w:val="000000"/>
          <w:kern w:val="0"/>
          <w:sz w:val="32"/>
          <w:szCs w:val="32"/>
          <w:lang w:val="en-US" w:eastAsia="zh-CN" w:bidi="ar-SA"/>
        </w:rPr>
        <w:t>办公费支出，维修费支出与年初预算数有较大偏差，主要原因是做预算前没有征求各部门的意见，与实际情况有差距。</w:t>
      </w:r>
    </w:p>
    <w:p>
      <w:pPr>
        <w:pStyle w:val="13"/>
        <w:widowControl/>
        <w:spacing w:line="600" w:lineRule="exact"/>
        <w:ind w:firstLine="640"/>
        <w:jc w:val="lef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4</w:t>
      </w:r>
      <w:r>
        <w:rPr>
          <w:rFonts w:hint="eastAsia" w:ascii="宋体" w:hAnsi="宋体" w:cs="黑体"/>
          <w:color w:val="000000"/>
          <w:kern w:val="0"/>
          <w:sz w:val="32"/>
          <w:szCs w:val="32"/>
          <w:lang w:val="en-US" w:eastAsia="zh-CN" w:bidi="ar-SA"/>
        </w:rPr>
        <w:t>、</w:t>
      </w:r>
      <w:r>
        <w:rPr>
          <w:rFonts w:hint="eastAsia" w:ascii="宋体" w:hAnsi="宋体" w:cs="黑体" w:eastAsiaTheme="minorEastAsia"/>
          <w:color w:val="000000"/>
          <w:kern w:val="0"/>
          <w:sz w:val="32"/>
          <w:szCs w:val="32"/>
          <w:lang w:val="en-US" w:eastAsia="zh-CN" w:bidi="ar-SA"/>
        </w:rPr>
        <w:t>资产处置要加强人员配备，及时处理资产处置相关工作。</w:t>
      </w:r>
    </w:p>
    <w:p>
      <w:pPr>
        <w:widowControl/>
        <w:numPr>
          <w:ilvl w:val="0"/>
          <w:numId w:val="3"/>
        </w:numPr>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改进措施和有关建议</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rPr>
        <w:t>预算前增加各部门预算汇总上报环节；</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lang w:val="en-US" w:eastAsia="zh-CN"/>
        </w:rPr>
        <w:t>2、</w:t>
      </w:r>
      <w:r>
        <w:rPr>
          <w:rFonts w:hint="eastAsia" w:ascii="宋体" w:hAnsi="宋体" w:cs="黑体"/>
          <w:color w:val="000000"/>
          <w:kern w:val="0"/>
          <w:sz w:val="32"/>
          <w:szCs w:val="32"/>
        </w:rPr>
        <w:t>加强预算的前瞻性和指导性，提高预算的指导性作用。</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rPr>
        <w:t>加强资产管理人员配备，责任到人，跟兄弟学校学习取经。</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cs="黑体"/>
          <w:color w:val="000000"/>
          <w:kern w:val="0"/>
          <w:sz w:val="32"/>
          <w:szCs w:val="32"/>
        </w:rPr>
      </w:pPr>
      <w:r>
        <w:rPr>
          <w:rFonts w:hint="eastAsia" w:ascii="宋体" w:hAnsi="宋体" w:cs="黑体"/>
          <w:color w:val="000000"/>
          <w:kern w:val="0"/>
          <w:sz w:val="32"/>
          <w:szCs w:val="32"/>
        </w:rPr>
        <w:t>4</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rPr>
        <w:t>加强相关人员业务培训，学习预算及绩效评价管理水平，提升业务能力。</w:t>
      </w:r>
    </w:p>
    <w:p>
      <w:pPr>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940343"/>
    <w:multiLevelType w:val="singleLevel"/>
    <w:tmpl w:val="E9940343"/>
    <w:lvl w:ilvl="0" w:tentative="0">
      <w:start w:val="5"/>
      <w:numFmt w:val="chineseCounting"/>
      <w:suff w:val="nothing"/>
      <w:lvlText w:val="%1、"/>
      <w:lvlJc w:val="left"/>
      <w:rPr>
        <w:rFonts w:hint="eastAsia"/>
      </w:rPr>
    </w:lvl>
  </w:abstractNum>
  <w:abstractNum w:abstractNumId="1">
    <w:nsid w:val="FEB9CDE5"/>
    <w:multiLevelType w:val="singleLevel"/>
    <w:tmpl w:val="FEB9CDE5"/>
    <w:lvl w:ilvl="0" w:tentative="0">
      <w:start w:val="2"/>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02D24"/>
    <w:rsid w:val="0000799A"/>
    <w:rsid w:val="000103C4"/>
    <w:rsid w:val="0002229B"/>
    <w:rsid w:val="000273BD"/>
    <w:rsid w:val="000415B7"/>
    <w:rsid w:val="00041E3F"/>
    <w:rsid w:val="00055DAA"/>
    <w:rsid w:val="00061F7B"/>
    <w:rsid w:val="000658A3"/>
    <w:rsid w:val="00074155"/>
    <w:rsid w:val="00081AF1"/>
    <w:rsid w:val="000873EF"/>
    <w:rsid w:val="000916AC"/>
    <w:rsid w:val="000A3F69"/>
    <w:rsid w:val="000B3EF7"/>
    <w:rsid w:val="000C23BD"/>
    <w:rsid w:val="000C544B"/>
    <w:rsid w:val="000F0651"/>
    <w:rsid w:val="00103957"/>
    <w:rsid w:val="00124A1F"/>
    <w:rsid w:val="00152C6D"/>
    <w:rsid w:val="00162D39"/>
    <w:rsid w:val="001678BD"/>
    <w:rsid w:val="00182373"/>
    <w:rsid w:val="0018264D"/>
    <w:rsid w:val="00182B50"/>
    <w:rsid w:val="00191341"/>
    <w:rsid w:val="001965BD"/>
    <w:rsid w:val="001A67DB"/>
    <w:rsid w:val="001B1876"/>
    <w:rsid w:val="001C3C29"/>
    <w:rsid w:val="001D51E5"/>
    <w:rsid w:val="001D7ECD"/>
    <w:rsid w:val="001E080D"/>
    <w:rsid w:val="001E53D0"/>
    <w:rsid w:val="001F0C3B"/>
    <w:rsid w:val="00202C14"/>
    <w:rsid w:val="00202C82"/>
    <w:rsid w:val="002044C1"/>
    <w:rsid w:val="00214427"/>
    <w:rsid w:val="00226CB7"/>
    <w:rsid w:val="002313D9"/>
    <w:rsid w:val="00264552"/>
    <w:rsid w:val="00264EF9"/>
    <w:rsid w:val="00265724"/>
    <w:rsid w:val="0027426B"/>
    <w:rsid w:val="00277A5D"/>
    <w:rsid w:val="002E0A30"/>
    <w:rsid w:val="002F53BB"/>
    <w:rsid w:val="003130C4"/>
    <w:rsid w:val="00316C4B"/>
    <w:rsid w:val="0032192B"/>
    <w:rsid w:val="00327FFA"/>
    <w:rsid w:val="003479BD"/>
    <w:rsid w:val="00370D57"/>
    <w:rsid w:val="0037197D"/>
    <w:rsid w:val="003768D5"/>
    <w:rsid w:val="003C4197"/>
    <w:rsid w:val="003C47E6"/>
    <w:rsid w:val="003C4FC2"/>
    <w:rsid w:val="003D55DA"/>
    <w:rsid w:val="003E2331"/>
    <w:rsid w:val="003F09E1"/>
    <w:rsid w:val="00401565"/>
    <w:rsid w:val="00416E61"/>
    <w:rsid w:val="0042790C"/>
    <w:rsid w:val="00431C9C"/>
    <w:rsid w:val="004506F9"/>
    <w:rsid w:val="00452AFA"/>
    <w:rsid w:val="00465FEA"/>
    <w:rsid w:val="004717A2"/>
    <w:rsid w:val="00473DF3"/>
    <w:rsid w:val="00487911"/>
    <w:rsid w:val="00491741"/>
    <w:rsid w:val="00497300"/>
    <w:rsid w:val="004A15C2"/>
    <w:rsid w:val="004B0CEE"/>
    <w:rsid w:val="004E71CA"/>
    <w:rsid w:val="00500E5F"/>
    <w:rsid w:val="005122EF"/>
    <w:rsid w:val="0051441A"/>
    <w:rsid w:val="00517C33"/>
    <w:rsid w:val="00517D5F"/>
    <w:rsid w:val="00521AF2"/>
    <w:rsid w:val="00523644"/>
    <w:rsid w:val="0054069E"/>
    <w:rsid w:val="00544866"/>
    <w:rsid w:val="00551C07"/>
    <w:rsid w:val="005767CC"/>
    <w:rsid w:val="00590D9F"/>
    <w:rsid w:val="00595D26"/>
    <w:rsid w:val="005A1E75"/>
    <w:rsid w:val="005A74E6"/>
    <w:rsid w:val="005B404E"/>
    <w:rsid w:val="005D4D55"/>
    <w:rsid w:val="005E2CFB"/>
    <w:rsid w:val="005E38E6"/>
    <w:rsid w:val="005F2103"/>
    <w:rsid w:val="005F3D1C"/>
    <w:rsid w:val="0060317E"/>
    <w:rsid w:val="00611D0C"/>
    <w:rsid w:val="0062378F"/>
    <w:rsid w:val="00641842"/>
    <w:rsid w:val="00651EEC"/>
    <w:rsid w:val="00683D5A"/>
    <w:rsid w:val="00686673"/>
    <w:rsid w:val="00691E8C"/>
    <w:rsid w:val="0069267B"/>
    <w:rsid w:val="006A22C4"/>
    <w:rsid w:val="006A348B"/>
    <w:rsid w:val="006A351B"/>
    <w:rsid w:val="006B0422"/>
    <w:rsid w:val="006B0ECC"/>
    <w:rsid w:val="006C1B53"/>
    <w:rsid w:val="006C404E"/>
    <w:rsid w:val="006D7730"/>
    <w:rsid w:val="006E5284"/>
    <w:rsid w:val="006E5735"/>
    <w:rsid w:val="006F3EB5"/>
    <w:rsid w:val="006F6E93"/>
    <w:rsid w:val="00702E34"/>
    <w:rsid w:val="00704395"/>
    <w:rsid w:val="00710FE7"/>
    <w:rsid w:val="00717621"/>
    <w:rsid w:val="00720FF1"/>
    <w:rsid w:val="00727A53"/>
    <w:rsid w:val="007379B5"/>
    <w:rsid w:val="0076627B"/>
    <w:rsid w:val="00767FBF"/>
    <w:rsid w:val="00787B42"/>
    <w:rsid w:val="007C42E5"/>
    <w:rsid w:val="007C4539"/>
    <w:rsid w:val="007C72DF"/>
    <w:rsid w:val="007E0C31"/>
    <w:rsid w:val="007F3657"/>
    <w:rsid w:val="00812ED5"/>
    <w:rsid w:val="00823733"/>
    <w:rsid w:val="008277D9"/>
    <w:rsid w:val="0084478C"/>
    <w:rsid w:val="00850BC1"/>
    <w:rsid w:val="00855607"/>
    <w:rsid w:val="0086638C"/>
    <w:rsid w:val="00896B37"/>
    <w:rsid w:val="008A3E8D"/>
    <w:rsid w:val="009237C4"/>
    <w:rsid w:val="00934E78"/>
    <w:rsid w:val="00944C48"/>
    <w:rsid w:val="00950252"/>
    <w:rsid w:val="009647C7"/>
    <w:rsid w:val="00967F5D"/>
    <w:rsid w:val="009A0F95"/>
    <w:rsid w:val="009B0DC2"/>
    <w:rsid w:val="009B3ADF"/>
    <w:rsid w:val="009C3B52"/>
    <w:rsid w:val="009C5417"/>
    <w:rsid w:val="009E6817"/>
    <w:rsid w:val="009E6E9A"/>
    <w:rsid w:val="00A01D2B"/>
    <w:rsid w:val="00A37EC9"/>
    <w:rsid w:val="00A42218"/>
    <w:rsid w:val="00A637B8"/>
    <w:rsid w:val="00A70249"/>
    <w:rsid w:val="00A70B02"/>
    <w:rsid w:val="00A71D9F"/>
    <w:rsid w:val="00A92E9F"/>
    <w:rsid w:val="00AF2C76"/>
    <w:rsid w:val="00B254F6"/>
    <w:rsid w:val="00B30ADB"/>
    <w:rsid w:val="00B33BEA"/>
    <w:rsid w:val="00B42C25"/>
    <w:rsid w:val="00B43F86"/>
    <w:rsid w:val="00B57C9F"/>
    <w:rsid w:val="00B6077B"/>
    <w:rsid w:val="00B63572"/>
    <w:rsid w:val="00B845B3"/>
    <w:rsid w:val="00B85D8B"/>
    <w:rsid w:val="00BB4A40"/>
    <w:rsid w:val="00BD6C3E"/>
    <w:rsid w:val="00BE3674"/>
    <w:rsid w:val="00C10681"/>
    <w:rsid w:val="00C3049A"/>
    <w:rsid w:val="00C31B1E"/>
    <w:rsid w:val="00C77645"/>
    <w:rsid w:val="00CE04C3"/>
    <w:rsid w:val="00CE2D6E"/>
    <w:rsid w:val="00CE76A0"/>
    <w:rsid w:val="00D148C6"/>
    <w:rsid w:val="00D17A8A"/>
    <w:rsid w:val="00D204AD"/>
    <w:rsid w:val="00D205B4"/>
    <w:rsid w:val="00D415BA"/>
    <w:rsid w:val="00D451A1"/>
    <w:rsid w:val="00D63780"/>
    <w:rsid w:val="00D644EE"/>
    <w:rsid w:val="00D75489"/>
    <w:rsid w:val="00DD06FF"/>
    <w:rsid w:val="00DD3A35"/>
    <w:rsid w:val="00DD5FE9"/>
    <w:rsid w:val="00E00C7A"/>
    <w:rsid w:val="00E0421E"/>
    <w:rsid w:val="00E209CF"/>
    <w:rsid w:val="00E37D6C"/>
    <w:rsid w:val="00E443D2"/>
    <w:rsid w:val="00E55B68"/>
    <w:rsid w:val="00E67BE6"/>
    <w:rsid w:val="00E8683C"/>
    <w:rsid w:val="00EA1FE5"/>
    <w:rsid w:val="00EA2B72"/>
    <w:rsid w:val="00EE46EC"/>
    <w:rsid w:val="00F721ED"/>
    <w:rsid w:val="00F74360"/>
    <w:rsid w:val="00F80109"/>
    <w:rsid w:val="00FB462F"/>
    <w:rsid w:val="00FE16FA"/>
    <w:rsid w:val="00FE328A"/>
    <w:rsid w:val="00FE6269"/>
    <w:rsid w:val="00FF48AB"/>
    <w:rsid w:val="00FF5CD6"/>
    <w:rsid w:val="01926B45"/>
    <w:rsid w:val="03486B43"/>
    <w:rsid w:val="11101F44"/>
    <w:rsid w:val="213E4D66"/>
    <w:rsid w:val="317900EF"/>
    <w:rsid w:val="377A2BBB"/>
    <w:rsid w:val="46F96F76"/>
    <w:rsid w:val="57647CCA"/>
    <w:rsid w:val="605766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99"/>
    <w:pPr>
      <w:ind w:firstLine="420" w:firstLineChars="200"/>
    </w:pPr>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5C6A8-683B-4EAD-98EA-4231A8558B5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5737</Words>
  <Characters>6204</Characters>
  <Lines>44</Lines>
  <Paragraphs>12</Paragraphs>
  <TotalTime>630</TotalTime>
  <ScaleCrop>false</ScaleCrop>
  <LinksUpToDate>false</LinksUpToDate>
  <CharactersWithSpaces>6228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2023-09-27T12:45:40Z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DEF72A8EED4B4CEC9F9B4EDBA9C17ACE</vt:lpwstr>
  </property>
</Properties>
</file>