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jc w:val="center"/>
        <w:rPr>
          <w:sz w:val="56"/>
          <w:szCs w:val="56"/>
        </w:rPr>
      </w:pPr>
    </w:p>
    <w:p>
      <w:pPr>
        <w:pStyle w:val="11"/>
        <w:jc w:val="center"/>
        <w:rPr>
          <w:sz w:val="56"/>
          <w:szCs w:val="56"/>
        </w:rPr>
      </w:pPr>
    </w:p>
    <w:p>
      <w:pPr>
        <w:pStyle w:val="11"/>
        <w:jc w:val="center"/>
        <w:rPr>
          <w:sz w:val="84"/>
          <w:szCs w:val="84"/>
        </w:rPr>
      </w:pPr>
    </w:p>
    <w:p>
      <w:pPr>
        <w:pStyle w:val="11"/>
        <w:jc w:val="center"/>
        <w:rPr>
          <w:sz w:val="84"/>
          <w:szCs w:val="84"/>
        </w:rPr>
      </w:pPr>
    </w:p>
    <w:p>
      <w:pPr>
        <w:pStyle w:val="11"/>
        <w:jc w:val="center"/>
        <w:rPr>
          <w:sz w:val="84"/>
          <w:szCs w:val="84"/>
        </w:rPr>
      </w:pPr>
      <w:r>
        <w:rPr>
          <w:rFonts w:hint="eastAsia"/>
          <w:sz w:val="84"/>
          <w:szCs w:val="84"/>
        </w:rPr>
        <w:t>2021年度</w:t>
      </w:r>
    </w:p>
    <w:p>
      <w:pPr>
        <w:pStyle w:val="11"/>
        <w:jc w:val="center"/>
        <w:rPr>
          <w:sz w:val="84"/>
          <w:szCs w:val="84"/>
        </w:rPr>
      </w:pPr>
      <w:r>
        <w:rPr>
          <w:rFonts w:hint="eastAsia"/>
          <w:sz w:val="84"/>
          <w:szCs w:val="84"/>
        </w:rPr>
        <w:t>怀化市鹤城区贺家田学校部门决算</w:t>
      </w:r>
    </w:p>
    <w:p>
      <w:pPr>
        <w:pStyle w:val="11"/>
        <w:jc w:val="center"/>
        <w:rPr>
          <w:sz w:val="56"/>
          <w:szCs w:val="56"/>
        </w:rPr>
      </w:pPr>
    </w:p>
    <w:p>
      <w:pPr>
        <w:pStyle w:val="11"/>
        <w:jc w:val="center"/>
        <w:rPr>
          <w:sz w:val="56"/>
          <w:szCs w:val="56"/>
        </w:rPr>
      </w:pPr>
    </w:p>
    <w:p>
      <w:pPr>
        <w:pStyle w:val="11"/>
        <w:jc w:val="center"/>
        <w:rPr>
          <w:sz w:val="56"/>
          <w:szCs w:val="56"/>
        </w:rPr>
      </w:pPr>
    </w:p>
    <w:p>
      <w:pPr>
        <w:pStyle w:val="11"/>
        <w:jc w:val="center"/>
        <w:rPr>
          <w:sz w:val="56"/>
          <w:szCs w:val="56"/>
        </w:rPr>
      </w:pPr>
    </w:p>
    <w:p>
      <w:pPr>
        <w:pStyle w:val="11"/>
        <w:jc w:val="center"/>
        <w:rPr>
          <w:sz w:val="32"/>
          <w:szCs w:val="32"/>
        </w:rPr>
      </w:pPr>
    </w:p>
    <w:p>
      <w:pPr>
        <w:pStyle w:val="11"/>
        <w:jc w:val="center"/>
        <w:rPr>
          <w:sz w:val="32"/>
          <w:szCs w:val="32"/>
        </w:rPr>
      </w:pPr>
    </w:p>
    <w:p>
      <w:pPr>
        <w:pStyle w:val="11"/>
        <w:jc w:val="center"/>
        <w:rPr>
          <w:sz w:val="32"/>
          <w:szCs w:val="32"/>
        </w:rPr>
      </w:pPr>
    </w:p>
    <w:p>
      <w:pPr>
        <w:pStyle w:val="11"/>
        <w:spacing w:line="500" w:lineRule="exact"/>
        <w:jc w:val="both"/>
        <w:rPr>
          <w:b/>
          <w:sz w:val="36"/>
          <w:szCs w:val="28"/>
        </w:rPr>
      </w:pPr>
    </w:p>
    <w:p>
      <w:pPr>
        <w:pStyle w:val="11"/>
        <w:spacing w:line="500" w:lineRule="exact"/>
        <w:jc w:val="both"/>
        <w:rPr>
          <w:b/>
          <w:sz w:val="36"/>
          <w:szCs w:val="28"/>
        </w:rPr>
      </w:pPr>
    </w:p>
    <w:p>
      <w:pPr>
        <w:pStyle w:val="11"/>
        <w:spacing w:line="500" w:lineRule="exact"/>
        <w:jc w:val="center"/>
        <w:rPr>
          <w:b/>
          <w:sz w:val="36"/>
          <w:szCs w:val="28"/>
        </w:rPr>
      </w:pPr>
    </w:p>
    <w:p>
      <w:pPr>
        <w:pStyle w:val="11"/>
        <w:spacing w:line="500" w:lineRule="exact"/>
        <w:jc w:val="center"/>
        <w:rPr>
          <w:b/>
          <w:sz w:val="36"/>
          <w:szCs w:val="28"/>
        </w:rPr>
      </w:pPr>
      <w:r>
        <w:rPr>
          <w:rFonts w:hint="eastAsia"/>
          <w:b/>
          <w:sz w:val="36"/>
          <w:szCs w:val="28"/>
        </w:rPr>
        <w:t>目录</w:t>
      </w:r>
    </w:p>
    <w:p>
      <w:pPr>
        <w:pStyle w:val="11"/>
        <w:spacing w:line="500" w:lineRule="exact"/>
        <w:rPr>
          <w:rFonts w:ascii="仿宋_GB2312" w:hAnsi="仿宋_GB2312" w:cs="仿宋_GB2312"/>
          <w:b/>
          <w:sz w:val="28"/>
          <w:szCs w:val="28"/>
        </w:rPr>
      </w:pPr>
      <w:r>
        <w:rPr>
          <w:rFonts w:hint="eastAsia"/>
          <w:b/>
          <w:sz w:val="28"/>
          <w:szCs w:val="28"/>
        </w:rPr>
        <w:t>第一部分怀化市鹤城区贺家田学校单位概况</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11"/>
        <w:spacing w:line="50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w:t>
      </w:r>
      <w:r>
        <w:rPr>
          <w:rFonts w:hint="eastAsia" w:hAnsi="仿宋_GB2312"/>
          <w:b/>
          <w:sz w:val="28"/>
          <w:szCs w:val="28"/>
        </w:rPr>
        <w:t>21年度部门决算表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1"/>
        <w:spacing w:line="500" w:lineRule="exact"/>
        <w:ind w:firstLine="700" w:firstLineChars="250"/>
        <w:rPr>
          <w:rFonts w:hint="eastAsia" w:cs="仿宋_GB2312" w:asciiTheme="minorEastAsia" w:hAnsiTheme="minorEastAsia" w:eastAsiaTheme="minorEastAsia"/>
          <w:sz w:val="28"/>
          <w:szCs w:val="28"/>
          <w:lang w:val="en-US" w:eastAsia="zh-CN"/>
        </w:rPr>
      </w:pPr>
      <w:r>
        <w:rPr>
          <w:rFonts w:cs="仿宋_GB2312" w:asciiTheme="minorEastAsia" w:hAnsiTheme="minorEastAsia" w:eastAsiaTheme="minorEastAsia"/>
          <w:sz w:val="28"/>
          <w:szCs w:val="28"/>
        </w:rPr>
        <w:t>二、收入决算表</w:t>
      </w:r>
      <w:r>
        <w:rPr>
          <w:rFonts w:hint="eastAsia" w:cs="仿宋_GB2312" w:asciiTheme="minorEastAsia" w:hAnsiTheme="minorEastAsia" w:eastAsiaTheme="minorEastAsia"/>
          <w:sz w:val="28"/>
          <w:szCs w:val="28"/>
          <w:lang w:val="en-US" w:eastAsia="zh-CN"/>
        </w:rPr>
        <w:t xml:space="preserve">  </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1"/>
        <w:spacing w:line="50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1"/>
        <w:spacing w:line="50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w:t>
      </w:r>
      <w:r>
        <w:rPr>
          <w:rFonts w:hint="eastAsia" w:hAnsi="仿宋_GB2312"/>
          <w:b/>
          <w:sz w:val="28"/>
          <w:szCs w:val="28"/>
        </w:rPr>
        <w:t>21年度部门决算情况说明</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ind w:firstLine="700" w:firstLineChars="250"/>
        <w:jc w:val="left"/>
        <w:rPr>
          <w:rFonts w:cs="仿宋_GB2312" w:asciiTheme="minorEastAsia" w:hAnsiTheme="minorEastAsia"/>
          <w:sz w:val="28"/>
          <w:szCs w:val="28"/>
        </w:rPr>
      </w:pPr>
      <w:r>
        <w:rPr>
          <w:rFonts w:hint="eastAsia" w:ascii="仿宋_GB2312" w:hAnsi="仿宋_GB2312" w:cs="仿宋_GB2312"/>
          <w:color w:val="000000"/>
          <w:kern w:val="0"/>
          <w:sz w:val="28"/>
          <w:szCs w:val="28"/>
        </w:rPr>
        <w:t>九、</w:t>
      </w:r>
      <w:r>
        <w:rPr>
          <w:rFonts w:hint="eastAsia" w:cs="仿宋_GB2312" w:asciiTheme="minorEastAsia" w:hAnsiTheme="minorEastAsia"/>
          <w:sz w:val="28"/>
          <w:szCs w:val="28"/>
        </w:rPr>
        <w:t>国有资本经营预算财政拨款收支决算情况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机关运行经费支出说明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十一、一般性支出情况说明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十二、政府采购支出说明</w:t>
      </w:r>
    </w:p>
    <w:p>
      <w:pPr>
        <w:pStyle w:val="11"/>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十三、国有资产占用情况说明</w:t>
      </w:r>
    </w:p>
    <w:p>
      <w:pPr>
        <w:pStyle w:val="11"/>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十四、</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autoSpaceDE w:val="0"/>
        <w:autoSpaceDN w:val="0"/>
        <w:adjustRightInd w:val="0"/>
        <w:spacing w:line="500" w:lineRule="exact"/>
        <w:ind w:firstLine="135" w:firstLineChars="48"/>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第四部分名词解释</w:t>
      </w:r>
      <w:r>
        <w:rPr>
          <w:rFonts w:hint="eastAsia" w:ascii="黑体" w:hAnsi="黑体" w:eastAsia="黑体" w:cs="黑体"/>
          <w:b/>
          <w:color w:val="000000"/>
          <w:kern w:val="0"/>
          <w:sz w:val="28"/>
          <w:szCs w:val="28"/>
        </w:rPr>
        <w:t xml:space="preserve">    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1"/>
        <w:jc w:val="center"/>
        <w:rPr>
          <w:sz w:val="84"/>
          <w:szCs w:val="84"/>
        </w:rPr>
      </w:pPr>
      <w:r>
        <w:rPr>
          <w:rFonts w:hint="eastAsia"/>
          <w:sz w:val="84"/>
          <w:szCs w:val="84"/>
        </w:rPr>
        <w:t>第一部分</w:t>
      </w:r>
    </w:p>
    <w:p>
      <w:pPr>
        <w:pStyle w:val="11"/>
        <w:jc w:val="center"/>
        <w:rPr>
          <w:sz w:val="84"/>
          <w:szCs w:val="84"/>
        </w:rPr>
      </w:pPr>
    </w:p>
    <w:p>
      <w:pPr>
        <w:pStyle w:val="11"/>
        <w:jc w:val="center"/>
        <w:rPr>
          <w:sz w:val="84"/>
          <w:szCs w:val="84"/>
        </w:rPr>
      </w:pPr>
      <w:r>
        <w:rPr>
          <w:rFonts w:hint="eastAsia"/>
          <w:sz w:val="84"/>
          <w:szCs w:val="84"/>
        </w:rPr>
        <w:t>贺家田小学单位概况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2"/>
        <w:ind w:left="720" w:firstLine="0" w:firstLineChars="0"/>
        <w:jc w:val="left"/>
        <w:rPr>
          <w:rFonts w:ascii="黑体" w:hAnsi="黑体" w:eastAsia="黑体"/>
          <w:sz w:val="32"/>
          <w:szCs w:val="32"/>
        </w:rPr>
      </w:pPr>
    </w:p>
    <w:p>
      <w:pPr>
        <w:pStyle w:val="12"/>
        <w:ind w:left="720" w:firstLine="0" w:firstLineChars="0"/>
        <w:jc w:val="left"/>
        <w:rPr>
          <w:rFonts w:ascii="黑体" w:hAnsi="黑体" w:eastAsia="黑体"/>
          <w:sz w:val="32"/>
          <w:szCs w:val="32"/>
        </w:rPr>
      </w:pPr>
    </w:p>
    <w:p>
      <w:pPr>
        <w:pStyle w:val="12"/>
        <w:ind w:left="720" w:firstLine="0" w:firstLineChars="0"/>
        <w:jc w:val="left"/>
        <w:rPr>
          <w:rFonts w:ascii="黑体" w:hAnsi="黑体" w:eastAsia="黑体"/>
          <w:sz w:val="32"/>
          <w:szCs w:val="32"/>
        </w:rPr>
      </w:pPr>
    </w:p>
    <w:p>
      <w:pPr>
        <w:pStyle w:val="12"/>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ind w:firstLine="800" w:firstLineChars="250"/>
        <w:jc w:val="left"/>
        <w:rPr>
          <w:rFonts w:hint="eastAsia" w:asciiTheme="minorEastAsia" w:hAnsiTheme="minorEastAsia" w:eastAsiaTheme="minorEastAsia"/>
          <w:sz w:val="32"/>
          <w:szCs w:val="32"/>
          <w:lang w:eastAsia="zh-CN"/>
        </w:rPr>
      </w:pPr>
      <w:r>
        <w:rPr>
          <w:rFonts w:hint="eastAsia" w:asciiTheme="minorEastAsia" w:hAnsiTheme="minorEastAsia"/>
          <w:sz w:val="32"/>
          <w:szCs w:val="32"/>
        </w:rPr>
        <w:t>（一）</w:t>
      </w:r>
      <w:r>
        <w:rPr>
          <w:rFonts w:hint="eastAsia" w:cs="仿宋" w:asciiTheme="minorEastAsia" w:hAnsiTheme="minorEastAsia"/>
          <w:sz w:val="30"/>
          <w:szCs w:val="30"/>
        </w:rPr>
        <w:t>怀化市鹤城区贺家田学校是全额拨款的事业单位</w:t>
      </w:r>
      <w:r>
        <w:rPr>
          <w:rFonts w:hint="eastAsia" w:cs="仿宋" w:asciiTheme="minorEastAsia" w:hAnsiTheme="minorEastAsia"/>
          <w:sz w:val="30"/>
          <w:szCs w:val="30"/>
          <w:lang w:eastAsia="zh-CN"/>
        </w:rPr>
        <w:t>；</w:t>
      </w:r>
    </w:p>
    <w:p>
      <w:pPr>
        <w:spacing w:line="600" w:lineRule="exact"/>
        <w:ind w:firstLine="800" w:firstLineChars="250"/>
        <w:rPr>
          <w:rFonts w:asciiTheme="minorEastAsia" w:hAnsiTheme="minorEastAsia"/>
          <w:kern w:val="0"/>
          <w:sz w:val="32"/>
          <w:szCs w:val="32"/>
        </w:rPr>
      </w:pPr>
      <w:r>
        <w:rPr>
          <w:rFonts w:hint="eastAsia" w:asciiTheme="minorEastAsia" w:hAnsiTheme="minorEastAsia"/>
          <w:sz w:val="32"/>
          <w:szCs w:val="32"/>
        </w:rPr>
        <w:t>（二）</w:t>
      </w:r>
      <w:r>
        <w:rPr>
          <w:rFonts w:hint="eastAsia" w:cs="仿宋" w:asciiTheme="minorEastAsia" w:hAnsiTheme="minorEastAsia"/>
          <w:sz w:val="32"/>
          <w:szCs w:val="32"/>
        </w:rPr>
        <w:t>主要工作职责：全面贯彻党的教育方针，落实九年义务教育各项政策，保障学生受教育的各项权利，维护教师职工各项权益。</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spacing w:line="520" w:lineRule="exact"/>
        <w:ind w:firstLine="640" w:firstLineChars="200"/>
        <w:rPr>
          <w:rFonts w:asciiTheme="minorEastAsia" w:hAnsiTheme="minorEastAsia"/>
          <w:b/>
          <w:bCs/>
          <w:kern w:val="0"/>
          <w:sz w:val="32"/>
          <w:szCs w:val="32"/>
        </w:rPr>
      </w:pPr>
      <w:r>
        <w:rPr>
          <w:rFonts w:hint="eastAsia" w:asciiTheme="minorEastAsia" w:hAnsiTheme="minorEastAsia"/>
          <w:bCs/>
          <w:kern w:val="0"/>
          <w:sz w:val="32"/>
          <w:szCs w:val="32"/>
        </w:rPr>
        <w:t>（一）内设机构设置。贺家田小学单位内设机构包括：</w:t>
      </w:r>
      <w:r>
        <w:rPr>
          <w:rFonts w:hint="eastAsia" w:cs="仿宋" w:asciiTheme="minorEastAsia" w:hAnsiTheme="minorEastAsia"/>
          <w:sz w:val="32"/>
          <w:szCs w:val="32"/>
        </w:rPr>
        <w:t>5个办公室，分别为办公室、教务处、总务处、德育处、教研室。</w:t>
      </w:r>
    </w:p>
    <w:p>
      <w:pPr>
        <w:widowControl/>
        <w:spacing w:line="600" w:lineRule="exact"/>
        <w:ind w:firstLine="640" w:firstLineChars="200"/>
        <w:rPr>
          <w:rFonts w:hint="eastAsia" w:asciiTheme="minorEastAsia" w:hAnsiTheme="minorEastAsia" w:eastAsiaTheme="minorEastAsia"/>
          <w:bCs/>
          <w:kern w:val="0"/>
          <w:sz w:val="32"/>
          <w:szCs w:val="32"/>
          <w:lang w:eastAsia="zh-CN"/>
        </w:rPr>
      </w:pPr>
      <w:r>
        <w:rPr>
          <w:rFonts w:hint="eastAsia" w:asciiTheme="minorEastAsia" w:hAnsiTheme="minorEastAsia"/>
          <w:bCs/>
          <w:kern w:val="0"/>
          <w:sz w:val="32"/>
          <w:szCs w:val="32"/>
        </w:rPr>
        <w:t>（二）决算单位构成。贺家田小学单位</w:t>
      </w:r>
      <w:r>
        <w:rPr>
          <w:rFonts w:asciiTheme="minorEastAsia" w:hAnsiTheme="minorEastAsia"/>
          <w:bCs/>
          <w:kern w:val="0"/>
          <w:sz w:val="32"/>
          <w:szCs w:val="32"/>
        </w:rPr>
        <w:t>20</w:t>
      </w:r>
      <w:r>
        <w:rPr>
          <w:rFonts w:hint="eastAsia" w:asciiTheme="minorEastAsia" w:hAnsiTheme="minorEastAsia"/>
          <w:bCs/>
          <w:kern w:val="0"/>
          <w:sz w:val="32"/>
          <w:szCs w:val="32"/>
        </w:rPr>
        <w:t>21年部门决算汇总公开单位构成包括：怀化市鹤城区贺家田学校本级</w:t>
      </w:r>
      <w:r>
        <w:rPr>
          <w:rFonts w:hint="eastAsia" w:asciiTheme="minorEastAsia" w:hAnsiTheme="minorEastAsia"/>
          <w:bCs/>
          <w:kern w:val="0"/>
          <w:sz w:val="32"/>
          <w:szCs w:val="32"/>
          <w:lang w:eastAsia="zh-CN"/>
        </w:rPr>
        <w:t>。</w:t>
      </w: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w:t>
      </w:r>
    </w:p>
    <w:p>
      <w:pPr>
        <w:jc w:val="center"/>
        <w:rPr>
          <w:sz w:val="72"/>
          <w:szCs w:val="72"/>
        </w:rPr>
      </w:pPr>
      <w:r>
        <w:rPr>
          <w:rFonts w:hint="eastAsia"/>
          <w:sz w:val="72"/>
          <w:szCs w:val="72"/>
        </w:rPr>
        <w:t>（表格见附件）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p>
      <w:pPr>
        <w:pStyle w:val="11"/>
        <w:rPr>
          <w:sz w:val="72"/>
          <w:szCs w:val="72"/>
        </w:rPr>
      </w:pPr>
    </w:p>
    <w:p>
      <w:pPr>
        <w:pStyle w:val="11"/>
        <w:rPr>
          <w:sz w:val="72"/>
          <w:szCs w:val="72"/>
        </w:rPr>
      </w:pPr>
    </w:p>
    <w:p>
      <w:pPr>
        <w:pStyle w:val="11"/>
        <w:rPr>
          <w:sz w:val="72"/>
          <w:szCs w:val="72"/>
        </w:rPr>
      </w:pPr>
    </w:p>
    <w:p>
      <w:pPr>
        <w:pStyle w:val="11"/>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r>
        <w:rPr>
          <w:rFonts w:hint="eastAsia"/>
          <w:sz w:val="72"/>
          <w:szCs w:val="72"/>
        </w:rPr>
        <w:t>第三部分</w:t>
      </w:r>
    </w:p>
    <w:p>
      <w:pPr>
        <w:pStyle w:val="11"/>
        <w:jc w:val="center"/>
        <w:rPr>
          <w:sz w:val="70"/>
          <w:szCs w:val="70"/>
        </w:rPr>
      </w:pPr>
    </w:p>
    <w:p>
      <w:pPr>
        <w:pStyle w:val="11"/>
        <w:jc w:val="center"/>
        <w:rPr>
          <w:sz w:val="70"/>
          <w:szCs w:val="70"/>
        </w:rPr>
      </w:pPr>
      <w:r>
        <w:rPr>
          <w:sz w:val="70"/>
          <w:szCs w:val="70"/>
        </w:rPr>
        <w:t>20</w:t>
      </w:r>
      <w:r>
        <w:rPr>
          <w:rFonts w:hint="eastAsia"/>
          <w:sz w:val="70"/>
          <w:szCs w:val="70"/>
        </w:rPr>
        <w:t>21年度部门决算情况说明</w:t>
      </w:r>
    </w:p>
    <w:p>
      <w:pPr>
        <w:widowControl/>
        <w:jc w:val="left"/>
        <w:rPr>
          <w:rFonts w:asciiTheme="minorEastAsia" w:hAnsiTheme="minorEastAsia" w:eastAsiaTheme="minorEastAsia"/>
          <w:sz w:val="32"/>
          <w:szCs w:val="32"/>
        </w:rPr>
      </w:pPr>
      <w:r>
        <w:rPr>
          <w:sz w:val="70"/>
          <w:szCs w:val="70"/>
        </w:rPr>
        <w:br w:type="page"/>
      </w:r>
    </w:p>
    <w:p>
      <w:pPr>
        <w:pStyle w:val="11"/>
        <w:rPr>
          <w:rFonts w:hAnsi="黑体"/>
          <w:b/>
          <w:sz w:val="32"/>
          <w:szCs w:val="32"/>
        </w:rPr>
      </w:pPr>
      <w:r>
        <w:rPr>
          <w:rFonts w:hint="eastAsia" w:hAnsi="黑体"/>
          <w:b/>
          <w:sz w:val="32"/>
          <w:szCs w:val="32"/>
        </w:rPr>
        <w:t>一、收入支出决算总体情况说明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w:t>
      </w:r>
      <w:r>
        <w:rPr>
          <w:rFonts w:hint="eastAsia" w:asciiTheme="minorEastAsia" w:hAnsiTheme="minorEastAsia" w:eastAsiaTheme="minorEastAsia"/>
          <w:sz w:val="32"/>
          <w:szCs w:val="32"/>
          <w:lang w:val="en-US" w:eastAsia="zh-CN"/>
        </w:rPr>
        <w:t>总</w:t>
      </w:r>
      <w:r>
        <w:rPr>
          <w:rFonts w:hint="eastAsia" w:asciiTheme="minorEastAsia" w:hAnsiTheme="minorEastAsia" w:eastAsiaTheme="minorEastAsia"/>
          <w:sz w:val="32"/>
          <w:szCs w:val="32"/>
        </w:rPr>
        <w:t>计339.42万元。与上年相比，减少144.77万元，减少29.9%，主要是因为学生人数减少，学生公用经费减少</w:t>
      </w:r>
      <w:r>
        <w:rPr>
          <w:rFonts w:hint="eastAsia" w:asciiTheme="minorEastAsia" w:hAnsiTheme="minorEastAsia"/>
          <w:sz w:val="32"/>
          <w:szCs w:val="32"/>
        </w:rPr>
        <w:t>。</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2021年度支出</w:t>
      </w:r>
      <w:r>
        <w:rPr>
          <w:rFonts w:hint="eastAsia" w:asciiTheme="minorEastAsia" w:hAnsiTheme="minorEastAsia" w:eastAsiaTheme="minorEastAsia"/>
          <w:sz w:val="32"/>
          <w:szCs w:val="32"/>
          <w:lang w:val="en-US" w:eastAsia="zh-CN"/>
        </w:rPr>
        <w:t>总</w:t>
      </w:r>
      <w:r>
        <w:rPr>
          <w:rFonts w:hint="eastAsia" w:asciiTheme="minorEastAsia" w:hAnsiTheme="minorEastAsia" w:eastAsiaTheme="minorEastAsia"/>
          <w:sz w:val="32"/>
          <w:szCs w:val="32"/>
        </w:rPr>
        <w:t>计339.42万元。与上年相比，减少75.67万元，减少）18.2%，主要是因为学生人数减少。</w:t>
      </w:r>
    </w:p>
    <w:p>
      <w:pPr>
        <w:pStyle w:val="11"/>
        <w:rPr>
          <w:rFonts w:hAnsi="黑体"/>
          <w:b/>
          <w:sz w:val="32"/>
          <w:szCs w:val="32"/>
        </w:rPr>
      </w:pPr>
      <w:r>
        <w:rPr>
          <w:rFonts w:hint="eastAsia" w:hAnsi="黑体"/>
          <w:b/>
          <w:sz w:val="32"/>
          <w:szCs w:val="32"/>
        </w:rPr>
        <w:t>二、收入决算情况说明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2021年度收入合计339.42万元，其中：财政拨款收入331.99万元，占97.8%；上级补助收入0万元，占0%；事业收入0万元，占0%；经营收入0万元，占0%；附属单位上缴收入0万元，占0%；其他收入7.43万元，占2.2%。</w:t>
      </w:r>
    </w:p>
    <w:p>
      <w:pPr>
        <w:pStyle w:val="11"/>
        <w:rPr>
          <w:rFonts w:hAnsi="黑体"/>
          <w:b/>
          <w:sz w:val="32"/>
          <w:szCs w:val="32"/>
        </w:rPr>
      </w:pPr>
      <w:r>
        <w:rPr>
          <w:rFonts w:hint="eastAsia" w:hAnsi="黑体"/>
          <w:b/>
          <w:sz w:val="32"/>
          <w:szCs w:val="32"/>
        </w:rPr>
        <w:t>三、支出决算情况说明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2021年度支出合计339.42万元，其中：基本支出313.41万元，占92.3%；项目支出26.01万元，占7.7%；上缴上级支出0万元，占0%；经营支出0万元，占0%；对附属单位补助支出0万元，占0%。</w:t>
      </w:r>
    </w:p>
    <w:p>
      <w:pPr>
        <w:pStyle w:val="11"/>
        <w:rPr>
          <w:rFonts w:hAnsi="黑体"/>
          <w:b/>
          <w:sz w:val="32"/>
          <w:szCs w:val="32"/>
        </w:rPr>
      </w:pPr>
      <w:r>
        <w:rPr>
          <w:rFonts w:hint="eastAsia" w:hAnsi="黑体"/>
          <w:b/>
          <w:sz w:val="32"/>
          <w:szCs w:val="32"/>
        </w:rPr>
        <w:t>四、财政拨款收入支出决算总体情况说明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2021年度财政拨款收入</w:t>
      </w:r>
      <w:r>
        <w:rPr>
          <w:rFonts w:hint="eastAsia" w:asciiTheme="minorEastAsia" w:hAnsiTheme="minorEastAsia" w:eastAsiaTheme="minorEastAsia"/>
          <w:sz w:val="32"/>
          <w:szCs w:val="32"/>
          <w:lang w:val="en-US" w:eastAsia="zh-CN"/>
        </w:rPr>
        <w:t>总</w:t>
      </w:r>
      <w:r>
        <w:rPr>
          <w:rFonts w:hint="eastAsia" w:asciiTheme="minorEastAsia" w:hAnsiTheme="minorEastAsia" w:eastAsiaTheme="minorEastAsia"/>
          <w:sz w:val="32"/>
          <w:szCs w:val="32"/>
        </w:rPr>
        <w:t>计</w:t>
      </w:r>
      <w:r>
        <w:rPr>
          <w:rFonts w:hint="eastAsia" w:asciiTheme="minorEastAsia" w:hAnsiTheme="minorEastAsia" w:eastAsiaTheme="minorEastAsia"/>
          <w:sz w:val="32"/>
          <w:szCs w:val="32"/>
          <w:lang w:val="en-US" w:eastAsia="zh-CN"/>
        </w:rPr>
        <w:t>331.99</w:t>
      </w:r>
      <w:r>
        <w:rPr>
          <w:rFonts w:hint="eastAsia" w:asciiTheme="minorEastAsia" w:hAnsiTheme="minorEastAsia" w:eastAsiaTheme="minorEastAsia"/>
          <w:sz w:val="32"/>
          <w:szCs w:val="32"/>
        </w:rPr>
        <w:t>万元。与上年相比，减少73.79万元，减少18.2%，主要是因为学生人数减少，教育支出减少。</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w:t>
      </w:r>
      <w:r>
        <w:rPr>
          <w:rFonts w:hint="eastAsia" w:asciiTheme="minorEastAsia" w:hAnsiTheme="minorEastAsia" w:eastAsiaTheme="minorEastAsia"/>
          <w:sz w:val="32"/>
          <w:szCs w:val="32"/>
          <w:lang w:val="en-US" w:eastAsia="zh-CN"/>
        </w:rPr>
        <w:t>总</w:t>
      </w:r>
      <w:r>
        <w:rPr>
          <w:rFonts w:hint="eastAsia" w:asciiTheme="minorEastAsia" w:hAnsiTheme="minorEastAsia" w:eastAsiaTheme="minorEastAsia"/>
          <w:sz w:val="32"/>
          <w:szCs w:val="32"/>
        </w:rPr>
        <w:t>计</w:t>
      </w:r>
      <w:r>
        <w:rPr>
          <w:rFonts w:hint="eastAsia" w:asciiTheme="minorEastAsia" w:hAnsiTheme="minorEastAsia" w:eastAsiaTheme="minorEastAsia"/>
          <w:sz w:val="32"/>
          <w:szCs w:val="32"/>
          <w:lang w:val="en-US" w:eastAsia="zh-CN"/>
        </w:rPr>
        <w:t>331.99</w:t>
      </w:r>
      <w:r>
        <w:rPr>
          <w:rFonts w:hint="eastAsia" w:asciiTheme="minorEastAsia" w:hAnsiTheme="minorEastAsia" w:eastAsiaTheme="minorEastAsia"/>
          <w:sz w:val="32"/>
          <w:szCs w:val="32"/>
        </w:rPr>
        <w:t>万元。与上年相比，减少73.79万元，减少18.2%，主要是因为学生人数减少，教育支出减少。</w:t>
      </w:r>
    </w:p>
    <w:p>
      <w:pPr>
        <w:pStyle w:val="11"/>
        <w:rPr>
          <w:rFonts w:hAnsi="黑体"/>
          <w:b/>
          <w:sz w:val="32"/>
          <w:szCs w:val="32"/>
        </w:rPr>
      </w:pPr>
      <w:r>
        <w:rPr>
          <w:rFonts w:hint="eastAsia" w:hAnsi="黑体"/>
          <w:b/>
          <w:sz w:val="32"/>
          <w:szCs w:val="32"/>
        </w:rPr>
        <w:t>五、一般公共预算财政拨款支出决算情况说明</w:t>
      </w:r>
    </w:p>
    <w:p>
      <w:pPr>
        <w:pStyle w:val="11"/>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2021年度财政拨款支出331.99万元，占本年支出合计的97.8%，与上年相比，财政拨款支出减少73.79万元，减少18.2%，主要是因为用于工资福利支出部分减少。</w:t>
      </w:r>
    </w:p>
    <w:p>
      <w:pPr>
        <w:pStyle w:val="11"/>
        <w:ind w:firstLine="480"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2021年度财政拨款支出331.99万元，主要用于以下方面：一般公共服务（类）支出0万元，占0%；教育（类）支出331.99万元，占100%。</w:t>
      </w:r>
    </w:p>
    <w:p>
      <w:pPr>
        <w:pStyle w:val="11"/>
        <w:ind w:firstLine="800" w:firstLineChars="25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2021年度财政拨款支出年初预算数为288.5</w:t>
      </w:r>
      <w:r>
        <w:rPr>
          <w:rFonts w:hint="eastAsia" w:asciiTheme="minorEastAsia" w:hAnsiTheme="minorEastAsia" w:eastAsiaTheme="minorEastAsia"/>
          <w:sz w:val="32"/>
          <w:szCs w:val="32"/>
          <w:lang w:val="en-US" w:eastAsia="zh-CN"/>
        </w:rPr>
        <w:t>5</w:t>
      </w:r>
      <w:r>
        <w:rPr>
          <w:rFonts w:hint="eastAsia" w:asciiTheme="minorEastAsia" w:hAnsiTheme="minorEastAsia" w:eastAsiaTheme="minorEastAsia"/>
          <w:sz w:val="32"/>
          <w:szCs w:val="32"/>
        </w:rPr>
        <w:t>万元，支出决算数为</w:t>
      </w:r>
      <w:r>
        <w:rPr>
          <w:rFonts w:hint="eastAsia" w:asciiTheme="minorEastAsia" w:hAnsiTheme="minorEastAsia"/>
          <w:sz w:val="32"/>
          <w:szCs w:val="32"/>
          <w:lang w:val="en-US" w:eastAsia="zh-CN"/>
        </w:rPr>
        <w:t>331.99</w:t>
      </w:r>
      <w:r>
        <w:rPr>
          <w:rFonts w:hint="eastAsia" w:asciiTheme="minorEastAsia" w:hAnsiTheme="minorEastAsia" w:eastAsiaTheme="minorEastAsia"/>
          <w:sz w:val="32"/>
          <w:szCs w:val="32"/>
        </w:rPr>
        <w:t>万元，完成年初预算的117.63%，其中：</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1、一般公共服务支出（类）</w:t>
      </w:r>
      <w:r>
        <w:rPr>
          <w:rFonts w:hint="eastAsia" w:asciiTheme="minorEastAsia" w:hAnsiTheme="minorEastAsia" w:eastAsiaTheme="minorEastAsia"/>
          <w:color w:val="000000" w:themeColor="text1"/>
          <w:sz w:val="32"/>
          <w:szCs w:val="32"/>
        </w:rPr>
        <w:t>普通教育</w:t>
      </w:r>
      <w:r>
        <w:rPr>
          <w:rFonts w:hint="eastAsia" w:asciiTheme="minorEastAsia" w:hAnsiTheme="minorEastAsia" w:eastAsiaTheme="minorEastAsia"/>
          <w:sz w:val="32"/>
          <w:szCs w:val="32"/>
        </w:rPr>
        <w:t>（款）小学教育（项）。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年初预算为227.871万元，支出决算为305.98万元，完成年初预算的134.28%，决算数大于年初预算数的主要原因是：用于教育支出部分增加。</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2、一般公共服务支出（类）</w:t>
      </w:r>
      <w:r>
        <w:rPr>
          <w:rFonts w:hint="eastAsia" w:asciiTheme="minorEastAsia" w:hAnsiTheme="minorEastAsia" w:eastAsiaTheme="minorEastAsia"/>
          <w:color w:val="000000" w:themeColor="text1"/>
          <w:sz w:val="32"/>
          <w:szCs w:val="32"/>
        </w:rPr>
        <w:t>普通教育（款）其他普通教育支出</w:t>
      </w:r>
      <w:r>
        <w:rPr>
          <w:rFonts w:hint="eastAsia" w:asciiTheme="minorEastAsia" w:hAnsiTheme="minorEastAsia" w:eastAsiaTheme="minorEastAsia"/>
          <w:sz w:val="32"/>
          <w:szCs w:val="32"/>
        </w:rPr>
        <w:t>（项）。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年初预算为36.5842万元，支出决算为26.01万元，完成年初预算的71.1%，决算数小于年初预算数的主要原因是：因为用于工资福利支出部分减少。</w:t>
      </w:r>
    </w:p>
    <w:p>
      <w:pPr>
        <w:pStyle w:val="11"/>
        <w:rPr>
          <w:rFonts w:hAnsi="黑体"/>
          <w:b/>
          <w:sz w:val="32"/>
          <w:szCs w:val="32"/>
        </w:rPr>
      </w:pPr>
      <w:r>
        <w:rPr>
          <w:rFonts w:hint="eastAsia" w:hAnsi="黑体"/>
          <w:b/>
          <w:sz w:val="32"/>
          <w:szCs w:val="32"/>
        </w:rPr>
        <w:t>六、一般公共预算财政拨款基本支出决算情况说明</w:t>
      </w:r>
    </w:p>
    <w:p>
      <w:pPr>
        <w:pStyle w:val="11"/>
        <w:ind w:firstLine="640" w:firstLineChars="200"/>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2021年度财政拨款基本支出305.98万元，其中：人员经费236.75万元，占基本支出的77.37%,主要包括基本工资、津贴补贴、奖金、绩效工资、机关事业单位基本养老保险费、职工基本医疗保险缴费、其他社会保障缴费、其他工资福利支出、医疗费、医疗费补助、对个人和家庭的补助、助学金、奖励金；公用经费69.23万元，占基本支出的22.63%，主要包括办公费、印刷费、维修（护）费、租赁费、培训费、专用材料费、劳务费、电费、差旅费、工会经费、税金及附加费用、其他商品和服务支出。</w:t>
      </w:r>
    </w:p>
    <w:p>
      <w:pPr>
        <w:pStyle w:val="11"/>
        <w:rPr>
          <w:rFonts w:hAnsi="黑体"/>
          <w:b/>
          <w:sz w:val="32"/>
          <w:szCs w:val="32"/>
        </w:rPr>
      </w:pPr>
      <w:r>
        <w:rPr>
          <w:rFonts w:hint="eastAsia" w:hAnsi="黑体"/>
          <w:b/>
          <w:sz w:val="32"/>
          <w:szCs w:val="32"/>
        </w:rPr>
        <w:t>七、一般公共预算财政拨款“三公”经费支出决算情况说明</w:t>
      </w:r>
    </w:p>
    <w:p>
      <w:pPr>
        <w:pStyle w:val="11"/>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1"/>
        <w:ind w:firstLine="800" w:firstLineChars="250"/>
        <w:rPr>
          <w:rFonts w:hint="default"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2021年度“三公”经费财政拨款支出预算为0万元，支出决算为0万元，由于预算数为0，无法计算百分比</w:t>
      </w:r>
      <w:r>
        <w:rPr>
          <w:rFonts w:hint="eastAsia" w:asciiTheme="minorEastAsia" w:hAnsiTheme="minorEastAsia" w:eastAsiaTheme="minorEastAsia"/>
          <w:sz w:val="32"/>
          <w:szCs w:val="32"/>
        </w:rPr>
        <w:t>，其中：</w:t>
      </w:r>
      <w:r>
        <w:rPr>
          <w:rFonts w:hint="eastAsia" w:asciiTheme="minorEastAsia" w:hAnsiTheme="minorEastAsia" w:eastAsiaTheme="minorEastAsia"/>
          <w:sz w:val="32"/>
          <w:szCs w:val="32"/>
          <w:lang w:val="en-US" w:eastAsia="zh-CN"/>
        </w:rPr>
        <w:t xml:space="preserve"> </w:t>
      </w:r>
    </w:p>
    <w:p>
      <w:pPr>
        <w:pStyle w:val="11"/>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因公出国（境）费支出预算为0万元，支出决算为0万元，由于预算数为0，无法计算百分比</w:t>
      </w:r>
      <w:r>
        <w:rPr>
          <w:rFonts w:hint="eastAsia" w:asciiTheme="minorEastAsia" w:hAnsiTheme="minorEastAsia" w:eastAsiaTheme="minorEastAsia"/>
          <w:sz w:val="32"/>
          <w:szCs w:val="32"/>
        </w:rPr>
        <w:t>，决算数等于预算数的主要原因是今年无人因公出国（境），与上年相比相同。</w:t>
      </w:r>
    </w:p>
    <w:p>
      <w:pPr>
        <w:pStyle w:val="11"/>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公务接待费支出预算为0万元，支出决算为0万元，由于预算数为0，无法计算百分比</w:t>
      </w:r>
      <w:r>
        <w:rPr>
          <w:rFonts w:hint="eastAsia" w:asciiTheme="minorEastAsia" w:hAnsiTheme="minorEastAsia" w:eastAsiaTheme="minorEastAsia"/>
          <w:sz w:val="32"/>
          <w:szCs w:val="32"/>
        </w:rPr>
        <w:t>，决算数等于预算数的主要原因是无公务接待，与上年相比相同。</w:t>
      </w:r>
    </w:p>
    <w:p>
      <w:pPr>
        <w:pStyle w:val="11"/>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公务用车购置费支出预算为0万元，支出决算为0万元，由于预算数为0，无法计算百分比</w:t>
      </w:r>
      <w:r>
        <w:rPr>
          <w:rFonts w:hint="eastAsia" w:asciiTheme="minorEastAsia" w:hAnsiTheme="minorEastAsia" w:eastAsiaTheme="minorEastAsia"/>
          <w:sz w:val="32"/>
          <w:szCs w:val="32"/>
        </w:rPr>
        <w:t>，决算数等于预算数的主要原因是未购置公务用车，与上年相比相同。</w:t>
      </w:r>
    </w:p>
    <w:p>
      <w:pPr>
        <w:pStyle w:val="11"/>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公务用车运行维护费支出预算为0万元，支出决算为0万元，由于预算数为0，无法计算百分比</w:t>
      </w:r>
      <w:r>
        <w:rPr>
          <w:rFonts w:hint="eastAsia" w:asciiTheme="minorEastAsia" w:hAnsiTheme="minorEastAsia" w:eastAsiaTheme="minorEastAsia"/>
          <w:sz w:val="32"/>
          <w:szCs w:val="32"/>
        </w:rPr>
        <w:t>，决算数等于预算数的主要原因是未购置公务用车，与上年相比相同。</w:t>
      </w:r>
    </w:p>
    <w:p>
      <w:pPr>
        <w:pStyle w:val="11"/>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2021年度“三公”经费财政拨款支出决算中，公务接待费支出决算0万元，占0%,因公出国（境）费支出决算0万元，占0%,公务用车购置费及运行维护费支出决算0万元，占0%。其中：</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1、因公出国（境）费支出决算为0万元，全年安排因公出国（境）团组0个，累计0人次。</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2、公务接待费支出决算为0万元，全年共接待来访团组0个、来宾0人次。</w:t>
      </w:r>
    </w:p>
    <w:p>
      <w:pPr>
        <w:ind w:firstLine="800" w:firstLineChars="250"/>
        <w:rPr>
          <w:rFonts w:cs="黑体" w:asciiTheme="minorEastAsia" w:hAnsiTheme="minorEastAsia"/>
          <w:color w:val="000000"/>
          <w:kern w:val="0"/>
          <w:sz w:val="32"/>
          <w:szCs w:val="32"/>
        </w:rPr>
      </w:pPr>
      <w:r>
        <w:rPr>
          <w:rFonts w:hint="eastAsia" w:asciiTheme="minorEastAsia" w:hAnsiTheme="minorEastAsia"/>
          <w:sz w:val="32"/>
          <w:szCs w:val="32"/>
        </w:rPr>
        <w:t>3、公务用车购置费及运行维护费支出决算为0万元，其中：公务用车购置费0万元，贺家田小学更新公务用车0辆</w:t>
      </w:r>
      <w:r>
        <w:rPr>
          <w:rFonts w:hint="eastAsia" w:asciiTheme="minorEastAsia" w:hAnsiTheme="minorEastAsia"/>
          <w:color w:val="000000" w:themeColor="text1"/>
          <w:sz w:val="32"/>
          <w:szCs w:val="32"/>
        </w:rPr>
        <w:t>。</w:t>
      </w:r>
      <w:r>
        <w:rPr>
          <w:rFonts w:hint="eastAsia" w:asciiTheme="minorEastAsia" w:hAnsiTheme="minorEastAsia"/>
          <w:sz w:val="32"/>
          <w:szCs w:val="32"/>
        </w:rPr>
        <w:t>公务用车运行维护费0万元，截止2021年12月31日，我单位开支财政拨款的公务用车保有量为0辆。</w:t>
      </w:r>
    </w:p>
    <w:p>
      <w:pPr>
        <w:pStyle w:val="11"/>
        <w:rPr>
          <w:rFonts w:hAnsi="黑体"/>
          <w:b/>
          <w:sz w:val="32"/>
          <w:szCs w:val="32"/>
        </w:rPr>
      </w:pPr>
      <w:r>
        <w:rPr>
          <w:rFonts w:hint="eastAsia" w:hAnsi="黑体"/>
          <w:b/>
          <w:sz w:val="32"/>
          <w:szCs w:val="32"/>
        </w:rPr>
        <w:t>八、政府性基金预算收入支出决算情况</w:t>
      </w:r>
    </w:p>
    <w:p>
      <w:pPr>
        <w:pStyle w:val="11"/>
        <w:rPr>
          <w:rFonts w:hint="eastAsia" w:asciiTheme="minorEastAsia" w:hAnsiTheme="minorEastAsia" w:eastAsiaTheme="minorEastAsia"/>
          <w:sz w:val="32"/>
          <w:szCs w:val="32"/>
        </w:rPr>
      </w:pPr>
      <w:r>
        <w:rPr>
          <w:rFonts w:hint="eastAsia" w:asciiTheme="minorEastAsia" w:hAnsiTheme="minorEastAsia" w:eastAsiaTheme="minorEastAsia"/>
          <w:sz w:val="32"/>
          <w:szCs w:val="32"/>
        </w:rPr>
        <w:t xml:space="preserve">     2021年度政府性基金预算财政拨款收入0万元；年初结转和结余0万元；支出0万元，其中基本支出0万元，项目支出0万元；年末结转和结余0万元。具体情况如下：本单位无政府性基金收支。</w:t>
      </w:r>
    </w:p>
    <w:p>
      <w:pPr>
        <w:pStyle w:val="11"/>
        <w:rPr>
          <w:rFonts w:hAnsi="黑体"/>
          <w:b/>
          <w:sz w:val="32"/>
          <w:szCs w:val="32"/>
        </w:rPr>
      </w:pPr>
      <w:r>
        <w:rPr>
          <w:rFonts w:hint="eastAsia" w:hAnsi="黑体"/>
          <w:b/>
          <w:sz w:val="32"/>
          <w:szCs w:val="32"/>
        </w:rPr>
        <w:t>九、国有资本经营预算财政拨款支出情况</w:t>
      </w:r>
    </w:p>
    <w:p>
      <w:pPr>
        <w:pStyle w:val="11"/>
        <w:ind w:firstLine="800" w:firstLineChars="250"/>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2021年度国有资本经营预算财政拨款收入0万元；支出0万元，其中基本支出0万元，项目支出0万元。具体情况如下：本单位无国有资本经营预算收支。</w:t>
      </w:r>
    </w:p>
    <w:p>
      <w:pPr>
        <w:pStyle w:val="11"/>
        <w:rPr>
          <w:rFonts w:hAnsi="黑体"/>
          <w:b/>
          <w:sz w:val="32"/>
          <w:szCs w:val="32"/>
        </w:rPr>
      </w:pPr>
      <w:r>
        <w:rPr>
          <w:rFonts w:hint="eastAsia" w:hAnsi="黑体"/>
          <w:b/>
          <w:sz w:val="32"/>
          <w:szCs w:val="32"/>
        </w:rPr>
        <w:t>十、机关运行经费支出说明</w:t>
      </w:r>
    </w:p>
    <w:p>
      <w:pPr>
        <w:pStyle w:val="11"/>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sz w:val="32"/>
          <w:szCs w:val="32"/>
        </w:rPr>
        <w:t>本部门2021年度机关运行经费支出0万元,</w:t>
      </w:r>
      <w:r>
        <w:rPr>
          <w:rFonts w:hint="eastAsia" w:asciiTheme="minorEastAsia" w:hAnsiTheme="minorEastAsia" w:eastAsiaTheme="minorEastAsia"/>
          <w:color w:val="000000" w:themeColor="text1"/>
          <w:sz w:val="32"/>
          <w:szCs w:val="32"/>
        </w:rPr>
        <w:t>机关运行经费为保障行政单位（含参照公务员法管理的事业单位）运行用于购买货物和服务的各项资金，本单位为财政补助事业单位，无机关运行经费，本单位公用经费为69.23万元，同比减少12.94 万元，原因是开源节流。</w:t>
      </w:r>
    </w:p>
    <w:p>
      <w:pPr>
        <w:pStyle w:val="11"/>
        <w:rPr>
          <w:rFonts w:hAnsi="黑体"/>
          <w:b/>
          <w:sz w:val="32"/>
          <w:szCs w:val="32"/>
        </w:rPr>
      </w:pPr>
      <w:r>
        <w:rPr>
          <w:rFonts w:hint="eastAsia" w:hAnsi="黑体"/>
          <w:b/>
          <w:sz w:val="32"/>
          <w:szCs w:val="32"/>
        </w:rPr>
        <w:t>十一、一般性支出情况说明</w:t>
      </w:r>
    </w:p>
    <w:p>
      <w:pPr>
        <w:pStyle w:val="11"/>
        <w:ind w:firstLine="640" w:firstLineChars="200"/>
        <w:rPr>
          <w:rFonts w:asciiTheme="minorEastAsia" w:hAnsiTheme="minorEastAsia" w:eastAsiaTheme="minorEastAsia"/>
          <w:color w:val="FF0000"/>
          <w:sz w:val="32"/>
          <w:szCs w:val="32"/>
        </w:rPr>
      </w:pPr>
      <w:r>
        <w:rPr>
          <w:rFonts w:hint="eastAsia" w:asciiTheme="minorEastAsia" w:hAnsiTheme="minorEastAsia" w:eastAsiaTheme="minorEastAsia"/>
          <w:sz w:val="32"/>
          <w:szCs w:val="32"/>
        </w:rPr>
        <w:t>2021年本部门开支会议费0万元；开支培训费</w:t>
      </w:r>
      <w:r>
        <w:rPr>
          <w:rFonts w:hint="eastAsia" w:asciiTheme="minorEastAsia" w:hAnsiTheme="minorEastAsia" w:eastAsiaTheme="minorEastAsia"/>
          <w:sz w:val="32"/>
          <w:szCs w:val="32"/>
          <w:lang w:val="en-US" w:eastAsia="zh-CN"/>
        </w:rPr>
        <w:t>1.89</w:t>
      </w:r>
      <w:r>
        <w:rPr>
          <w:rFonts w:hint="eastAsia" w:asciiTheme="minorEastAsia" w:hAnsiTheme="minorEastAsia" w:eastAsiaTheme="minorEastAsia"/>
          <w:sz w:val="32"/>
          <w:szCs w:val="32"/>
        </w:rPr>
        <w:t>万元，用于开展教师培训，人数18人，内容为暑期集中培训，公需科目培训及其他；举办0次节庆、晚会、论坛、赛事活动，开支0万元。</w:t>
      </w:r>
    </w:p>
    <w:p>
      <w:pPr>
        <w:pStyle w:val="11"/>
        <w:rPr>
          <w:rFonts w:hAnsi="黑体"/>
          <w:b/>
          <w:sz w:val="32"/>
          <w:szCs w:val="32"/>
        </w:rPr>
      </w:pPr>
      <w:r>
        <w:rPr>
          <w:rFonts w:hint="eastAsia" w:hAnsi="黑体"/>
          <w:b/>
          <w:sz w:val="32"/>
          <w:szCs w:val="32"/>
        </w:rPr>
        <w:t>十二、政府采购支出说明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2021年度政府采购支出总额0万元，其中：政府采购货物支出0万元、政府采购工程支出0万元、政府采购服务支出0万元。授予中小企业合同金额0万元，占政府采购支出总额的0%，其中：授予小微企业合同金额0万元，占授予中小企业合同金额的0%；货物采购授予中小企业合同金额占货物支出金额的0%，工程采购授予中小企业合同金额占工程支出金额的0%，服务采购授予中小企业合同金额占服务支出金额的0%。</w:t>
      </w:r>
    </w:p>
    <w:p>
      <w:pPr>
        <w:pStyle w:val="11"/>
        <w:rPr>
          <w:rFonts w:hAnsi="黑体"/>
          <w:b/>
          <w:sz w:val="32"/>
          <w:szCs w:val="32"/>
        </w:rPr>
      </w:pPr>
      <w:r>
        <w:rPr>
          <w:rFonts w:hint="eastAsia" w:hAnsi="黑体"/>
          <w:b/>
          <w:sz w:val="32"/>
          <w:szCs w:val="32"/>
        </w:rPr>
        <w:t>十三、国有资产占用情况说明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截至2021年12月31日，部门（单位）共有车辆0辆，其中，主要领导干部用车0辆，机要通信用车0辆、应急保障用车0辆、执法执勤用车0辆、特种专业技术用车0辆、其他用车0辆，单位价值50万元以上通用设备0台（套）；单位价值100万元以上专用设备0台（套）。</w:t>
      </w:r>
    </w:p>
    <w:p>
      <w:pPr>
        <w:pStyle w:val="11"/>
        <w:rPr>
          <w:rFonts w:hAnsi="黑体"/>
          <w:b/>
          <w:sz w:val="32"/>
          <w:szCs w:val="32"/>
        </w:rPr>
      </w:pPr>
      <w:r>
        <w:rPr>
          <w:rFonts w:hint="eastAsia" w:hAnsi="黑体"/>
          <w:b/>
          <w:sz w:val="32"/>
          <w:szCs w:val="32"/>
        </w:rPr>
        <w:t>十四、2021年度预算绩效情况说明</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（1）绩效管理评价工作开展情况</w:t>
      </w:r>
      <w:r>
        <w:rPr>
          <w:rFonts w:hint="eastAsia" w:cs="黑体" w:asciiTheme="minorEastAsia" w:hAnsiTheme="minorEastAsia"/>
          <w:color w:val="000000"/>
          <w:kern w:val="0"/>
          <w:sz w:val="32"/>
          <w:szCs w:val="32"/>
        </w:rPr>
        <w:t>。</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根据预算绩效管理要求，我部门组织对</w:t>
      </w:r>
      <w:r>
        <w:rPr>
          <w:rFonts w:cs="黑体" w:asciiTheme="minorEastAsia" w:hAnsiTheme="minorEastAsia"/>
          <w:color w:val="000000"/>
          <w:kern w:val="0"/>
          <w:sz w:val="32"/>
          <w:szCs w:val="32"/>
        </w:rPr>
        <w:t xml:space="preserve">2021 </w:t>
      </w:r>
      <w:r>
        <w:rPr>
          <w:rFonts w:hint="eastAsia" w:cs="黑体" w:asciiTheme="minorEastAsia" w:hAnsiTheme="minorEastAsia"/>
          <w:color w:val="000000"/>
          <w:kern w:val="0"/>
          <w:sz w:val="32"/>
          <w:szCs w:val="32"/>
        </w:rPr>
        <w:t>年度一般公共预算项目支出全面开展绩效自评，其中，一级项目0个，二级项目4个，共涉及资金28.1万元，占一般公共预算项目支出总额的100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。组织对</w:t>
      </w:r>
      <w:r>
        <w:rPr>
          <w:rFonts w:cs="黑体" w:asciiTheme="minorEastAsia" w:hAnsiTheme="minorEastAsia"/>
          <w:color w:val="000000"/>
          <w:kern w:val="0"/>
          <w:sz w:val="32"/>
          <w:szCs w:val="32"/>
        </w:rPr>
        <w:t>2021</w:t>
      </w:r>
      <w:r>
        <w:rPr>
          <w:rFonts w:hint="eastAsia" w:cs="黑体" w:asciiTheme="minorEastAsia" w:hAnsiTheme="minorEastAsia"/>
          <w:color w:val="000000"/>
          <w:kern w:val="0"/>
          <w:sz w:val="32"/>
          <w:szCs w:val="32"/>
        </w:rPr>
        <w:t>年度0个政府性基金预算项目支出开展绩效自评，共涉及资金0万元，占政府性基金预算项目支出总额的0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。组织对</w:t>
      </w:r>
      <w:r>
        <w:rPr>
          <w:rFonts w:cs="黑体" w:asciiTheme="minorEastAsia" w:hAnsiTheme="minorEastAsia"/>
          <w:color w:val="000000"/>
          <w:kern w:val="0"/>
          <w:sz w:val="32"/>
          <w:szCs w:val="32"/>
        </w:rPr>
        <w:t xml:space="preserve">2021 </w:t>
      </w:r>
      <w:r>
        <w:rPr>
          <w:rFonts w:hint="eastAsia" w:cs="黑体" w:asciiTheme="minorEastAsia" w:hAnsiTheme="minorEastAsia"/>
          <w:color w:val="000000"/>
          <w:kern w:val="0"/>
          <w:sz w:val="32"/>
          <w:szCs w:val="32"/>
        </w:rPr>
        <w:t>年度0个国有资本经营预算项目支出开展绩效自评，共涉及资金0万元，占国有资本经营预算项目支出总额的0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组织对“保安工资”“营养午餐”等2个项目开展了部门评价，涉及一般公共预算支出28.1万元，政府性基金预算支出0万元，国有资本经营预算支出0万元。从评价情况来看，项目资金使用与具体项目实施内容相符，绩效总目标和阶段性目标都已按照计划完成，未逾期。</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组织对“贺家田小学”等1个单位开展整体支出绩效评价，涉及一般公共预算支出213.5万元，政府性基金预算支出0万元。从评价情况来看，怀化市贺家田小学情况合理合法，群众满意度高。</w:t>
      </w:r>
    </w:p>
    <w:p>
      <w:pPr>
        <w:autoSpaceDE w:val="0"/>
        <w:autoSpaceDN w:val="0"/>
        <w:adjustRightInd w:val="0"/>
        <w:ind w:firstLine="640" w:firstLineChars="200"/>
        <w:jc w:val="left"/>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（2）部门决算中项目绩效自评结果。</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保安费”项目绩效自评综述：根据年初设定的绩效目标，项目绩效自评得分为100分。项目全年预算数为4.968万元，执行数为4.968万元，完成预算的100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项目绩效目标完成情况：一是雇佣保安人数2人；二是确保学校安全事故发生率为0。发现的主要问题及原因：安保装备不齐全，原因是资金短缺。下一步改进措施：一是进一步加强安保工作；二是尽快购置齐全安保装备。</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“营养午餐”项目绩效自评综述：：根据年初设定的绩效目标，项目绩效自评得分为100分。项目全年预算数为11.92万元，执行数为11.92万元，完成预算的100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。项目绩效目标完成情况：一是学生营养餐经费全部用于学生；二是满意度高。发现的主要问题及原因：财政拨款不及时。下一步改进措施：争取尽快发放。</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w:t>
      </w:r>
      <w:r>
        <w:rPr>
          <w:rFonts w:cs="黑体" w:asciiTheme="minorEastAsia" w:hAnsiTheme="minorEastAsia"/>
          <w:b/>
          <w:color w:val="000000"/>
          <w:kern w:val="0"/>
          <w:sz w:val="32"/>
          <w:szCs w:val="32"/>
        </w:rPr>
        <w:t>3</w:t>
      </w:r>
      <w:r>
        <w:rPr>
          <w:rFonts w:hint="eastAsia" w:cs="黑体" w:asciiTheme="minorEastAsia" w:hAnsiTheme="minorEastAsia"/>
          <w:b/>
          <w:color w:val="000000"/>
          <w:kern w:val="0"/>
          <w:sz w:val="32"/>
          <w:szCs w:val="32"/>
        </w:rPr>
        <w:t>）部门评价项目绩效评价结果。</w:t>
      </w:r>
    </w:p>
    <w:p>
      <w:pPr>
        <w:widowControl/>
        <w:spacing w:line="600" w:lineRule="exact"/>
        <w:ind w:firstLine="960" w:firstLineChars="300"/>
        <w:jc w:val="left"/>
        <w:rPr>
          <w:rFonts w:asciiTheme="minorEastAsia" w:hAnsiTheme="minorEastAsia" w:cstheme="minorEastAsia"/>
          <w:sz w:val="32"/>
          <w:szCs w:val="32"/>
        </w:rPr>
      </w:pPr>
      <w:r>
        <w:rPr>
          <w:rFonts w:hint="eastAsia" w:asciiTheme="minorEastAsia" w:hAnsiTheme="minorEastAsia" w:cstheme="minorEastAsia"/>
          <w:color w:val="000000" w:themeColor="text1"/>
          <w:kern w:val="0"/>
          <w:sz w:val="32"/>
          <w:szCs w:val="32"/>
        </w:rPr>
        <w:t>2021年怀化市贺家田小学</w:t>
      </w:r>
      <w:r>
        <w:rPr>
          <w:rFonts w:hint="eastAsia" w:asciiTheme="minorEastAsia" w:hAnsiTheme="minorEastAsia" w:cstheme="minorEastAsia"/>
          <w:sz w:val="32"/>
          <w:szCs w:val="32"/>
        </w:rPr>
        <w:t>积极履职，强化管理，较好地完成了年度工作目标。通过加强预算收支管理，不断建立健全内部管理制度，梳理内部管理流程，部门整体支出管理水平得到提升。</w:t>
      </w: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rPr>
          <w:sz w:val="72"/>
          <w:szCs w:val="72"/>
        </w:rPr>
      </w:pPr>
    </w:p>
    <w:p>
      <w:pPr>
        <w:pStyle w:val="11"/>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cs="黑体" w:asciiTheme="minorEastAsia" w:hAnsiTheme="minorEastAsia"/>
          <w:color w:val="000000"/>
          <w:kern w:val="0"/>
          <w:sz w:val="32"/>
          <w:szCs w:val="32"/>
        </w:rPr>
      </w:pPr>
      <w:r>
        <w:rPr>
          <w:rFonts w:ascii="黑体" w:eastAsia="黑体" w:cs="黑体"/>
          <w:color w:val="000000"/>
          <w:kern w:val="0"/>
          <w:sz w:val="70"/>
          <w:szCs w:val="70"/>
        </w:rPr>
        <w:br w:type="page"/>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一、财政拨款收入：指财政当年拨付的资金。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二、事业收入：指事业单位开展专业业务活动及辅助活动所取得的收入。如：中国财政杂志社的刊物发行收入，中国注册会计师协会、中国资产评估协会、中国国债协会、中国会计学会收取的会费收入等。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三、经营收入：指事业单位在专业业务活动及其辅助活动之外开展非独立核算经营活动取得的收入。如：中国财政杂志社广告收入等。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四、其他收入：指除上述“财政拨款收入”、“事业收入”、“经营收入”等以外的收入。主要是按规定动用的售房收入、存款利息收入等。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六、年初结转和结余：指以前年度尚未完成、结转到本年按有关规定继续使用的资金。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七、结余分配：指事业单位按规定提取的职工福利基金、事业基金和缴纳的所得税，以及建设单位按规定应交回的基本建设竣工项目结余资金。</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八、年末结转和结余：指本年度或以前年度预算安排、因客观条件发生变化无法按原计划实施，需要延迟到以后年度按有关规定继续使用的资金。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九、基本支出：指为保障机构正常运转、完成日常工作任务而发生的人员支出和公用支出。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十、项目支出：指在基本支出之外为完成特定行政任务和事业发展目标所发生的支出。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十一、经营支出：指事业单位在专业业务活动及其辅助活动之外开展非独立核算经营活动发生的支出。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二、“三公”经费：纳入中央财政预决算管理的“三公”经费，是指中央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both"/>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2021年度部门整体支出绩效评价报告</w:t>
      </w:r>
    </w:p>
    <w:p>
      <w:pPr>
        <w:widowControl/>
        <w:spacing w:line="600" w:lineRule="exact"/>
        <w:jc w:val="center"/>
        <w:rPr>
          <w:rFonts w:hint="eastAsia" w:ascii="宋体" w:hAnsi="宋体" w:cs="黑体"/>
          <w:color w:val="000000"/>
          <w:kern w:val="0"/>
          <w:sz w:val="32"/>
          <w:szCs w:val="32"/>
        </w:rPr>
      </w:pPr>
      <w:r>
        <w:rPr>
          <w:rFonts w:hint="eastAsia" w:ascii="宋体" w:hAnsi="宋体" w:cs="黑体"/>
          <w:color w:val="000000"/>
          <w:kern w:val="0"/>
          <w:sz w:val="32"/>
          <w:szCs w:val="32"/>
        </w:rPr>
        <w:t>贺家田小学整体支出绩效评价报告</w:t>
      </w:r>
    </w:p>
    <w:p>
      <w:pPr>
        <w:pStyle w:val="12"/>
        <w:widowControl/>
        <w:numPr>
          <w:ilvl w:val="0"/>
          <w:numId w:val="2"/>
        </w:numPr>
        <w:spacing w:line="600" w:lineRule="exact"/>
        <w:ind w:firstLineChars="0"/>
        <w:rPr>
          <w:rFonts w:ascii="Times New Roman" w:hAnsi="Times New Roman" w:eastAsia="黑体"/>
          <w:sz w:val="32"/>
          <w:szCs w:val="32"/>
        </w:rPr>
      </w:pPr>
      <w:r>
        <w:rPr>
          <w:rFonts w:ascii="Times New Roman" w:hAnsi="Times New Roman" w:eastAsia="黑体"/>
          <w:sz w:val="32"/>
          <w:szCs w:val="32"/>
        </w:rPr>
        <w:t>部门、单位基本情况</w:t>
      </w:r>
    </w:p>
    <w:p>
      <w:pPr>
        <w:widowControl/>
        <w:spacing w:line="600" w:lineRule="exact"/>
        <w:ind w:firstLine="960" w:firstLineChars="300"/>
        <w:jc w:val="left"/>
        <w:rPr>
          <w:rFonts w:ascii="仿宋" w:hAnsi="仿宋" w:eastAsia="仿宋" w:cs="Times New Roman"/>
          <w:sz w:val="32"/>
          <w:szCs w:val="32"/>
        </w:rPr>
      </w:pPr>
      <w:r>
        <w:rPr>
          <w:rFonts w:hint="eastAsia" w:ascii="宋体" w:hAnsi="宋体" w:cs="黑体"/>
          <w:color w:val="000000"/>
          <w:kern w:val="0"/>
          <w:sz w:val="32"/>
          <w:szCs w:val="32"/>
        </w:rPr>
        <w:t>怀化市贺家田小学是全额拨款的事业单位，主要工作职责：全面贯彻党的教育方针，落实九年义务教育各项政策，保障学生受教育的各项权利，维护教师职工各项权益。内设机构设置： 9个职能处室：学校办公室、校长室、工会、党支部、总务处、教务处、德育处、教研室、财务室。</w:t>
      </w:r>
    </w:p>
    <w:p>
      <w:pPr>
        <w:widowControl/>
        <w:spacing w:line="600" w:lineRule="exact"/>
        <w:ind w:firstLine="960" w:firstLineChars="300"/>
        <w:rPr>
          <w:rFonts w:eastAsia="黑体"/>
          <w:sz w:val="32"/>
          <w:szCs w:val="32"/>
        </w:rPr>
      </w:pPr>
      <w:r>
        <w:rPr>
          <w:rFonts w:hint="eastAsia" w:eastAsia="黑体"/>
          <w:sz w:val="32"/>
          <w:szCs w:val="32"/>
        </w:rPr>
        <w:t>二、</w:t>
      </w:r>
      <w:r>
        <w:rPr>
          <w:rFonts w:eastAsia="黑体"/>
          <w:sz w:val="32"/>
          <w:szCs w:val="32"/>
        </w:rPr>
        <w:t>一般公共预算支出情况</w:t>
      </w:r>
    </w:p>
    <w:p>
      <w:pPr>
        <w:pStyle w:val="12"/>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基本支出情况</w:t>
      </w:r>
    </w:p>
    <w:p>
      <w:pPr>
        <w:widowControl/>
        <w:spacing w:line="600" w:lineRule="exact"/>
        <w:ind w:firstLine="960" w:firstLineChars="300"/>
        <w:jc w:val="left"/>
        <w:rPr>
          <w:rFonts w:hint="eastAsia" w:ascii="宋体" w:hAnsi="宋体" w:cs="黑体"/>
          <w:color w:val="000000"/>
          <w:kern w:val="0"/>
          <w:sz w:val="32"/>
          <w:szCs w:val="32"/>
        </w:rPr>
      </w:pPr>
      <w:r>
        <w:rPr>
          <w:rFonts w:hint="eastAsia" w:ascii="宋体" w:hAnsi="宋体" w:cs="黑体"/>
          <w:color w:val="000000"/>
          <w:kern w:val="0"/>
          <w:sz w:val="32"/>
          <w:szCs w:val="32"/>
        </w:rPr>
        <w:t>2021年总支出为288.5万元，其中：人员经费支出274.4万元，日常公用经费13万元，</w:t>
      </w:r>
    </w:p>
    <w:p>
      <w:pPr>
        <w:pStyle w:val="12"/>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项目支出情况</w:t>
      </w:r>
    </w:p>
    <w:p>
      <w:pPr>
        <w:widowControl/>
        <w:spacing w:line="600" w:lineRule="exact"/>
        <w:ind w:firstLine="960" w:firstLineChars="300"/>
        <w:jc w:val="left"/>
        <w:rPr>
          <w:rFonts w:hint="eastAsia" w:ascii="宋体" w:hAnsi="宋体" w:cs="黑体"/>
          <w:color w:val="000000"/>
          <w:kern w:val="0"/>
          <w:sz w:val="32"/>
          <w:szCs w:val="32"/>
        </w:rPr>
      </w:pPr>
      <w:r>
        <w:rPr>
          <w:rFonts w:hint="eastAsia" w:ascii="宋体" w:hAnsi="宋体" w:cs="黑体"/>
          <w:color w:val="000000"/>
          <w:kern w:val="0"/>
          <w:sz w:val="32"/>
          <w:szCs w:val="32"/>
        </w:rPr>
        <w:t>项目支出为28.1万元，其中包括营养午餐11.92万元，乡镇补贴25.3万元，校车费3.05万元，人才津贴6.12万元，保安费4.968万元，临聘教师2万元。</w:t>
      </w:r>
    </w:p>
    <w:p>
      <w:pPr>
        <w:pStyle w:val="12"/>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三、</w:t>
      </w:r>
      <w:r>
        <w:rPr>
          <w:rFonts w:ascii="Times New Roman" w:hAnsi="Times New Roman" w:eastAsia="黑体"/>
          <w:sz w:val="32"/>
          <w:szCs w:val="32"/>
        </w:rPr>
        <w:t>政府性基金预算支出情况</w:t>
      </w:r>
    </w:p>
    <w:p>
      <w:pPr>
        <w:pStyle w:val="11"/>
        <w:ind w:firstLine="640" w:firstLineChars="200"/>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2021年度本单位政府性基金预算财政拨款收入0万元；年初结转和结余0万元；支出0万元，其中基本支出0万元，项目支出0万元；年末结转和结余0万元。</w:t>
      </w:r>
    </w:p>
    <w:p>
      <w:pPr>
        <w:pStyle w:val="12"/>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四、</w:t>
      </w:r>
      <w:r>
        <w:rPr>
          <w:rFonts w:ascii="Times New Roman" w:hAnsi="Times New Roman" w:eastAsia="黑体"/>
          <w:sz w:val="32"/>
          <w:szCs w:val="32"/>
        </w:rPr>
        <w:t>国有资本经营预算支出情况</w:t>
      </w:r>
    </w:p>
    <w:p>
      <w:pPr>
        <w:pStyle w:val="11"/>
        <w:ind w:firstLine="640" w:firstLineChars="200"/>
        <w:rPr>
          <w:rFonts w:hint="eastAsia"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202</w:t>
      </w:r>
      <w:r>
        <w:rPr>
          <w:rFonts w:hint="eastAsia" w:asciiTheme="minorEastAsia" w:hAnsiTheme="minorEastAsia" w:eastAsiaTheme="minorEastAsia"/>
          <w:color w:val="auto"/>
          <w:sz w:val="32"/>
          <w:szCs w:val="32"/>
          <w:lang w:val="en-US" w:eastAsia="zh-CN"/>
        </w:rPr>
        <w:t>1</w:t>
      </w:r>
      <w:r>
        <w:rPr>
          <w:rFonts w:hint="eastAsia" w:asciiTheme="minorEastAsia" w:hAnsiTheme="minorEastAsia" w:eastAsiaTheme="minorEastAsia"/>
          <w:color w:val="auto"/>
          <w:sz w:val="32"/>
          <w:szCs w:val="32"/>
        </w:rPr>
        <w:t>年度国有资本经营预算财政拨款收入</w:t>
      </w:r>
      <w:r>
        <w:rPr>
          <w:rFonts w:hint="eastAsia" w:asciiTheme="minorEastAsia" w:hAnsiTheme="minorEastAsia" w:eastAsiaTheme="minorEastAsia"/>
          <w:color w:val="auto"/>
          <w:sz w:val="32"/>
          <w:szCs w:val="32"/>
          <w:lang w:eastAsia="zh-CN"/>
        </w:rPr>
        <w:t>0</w:t>
      </w:r>
      <w:r>
        <w:rPr>
          <w:rFonts w:hint="eastAsia" w:asciiTheme="minorEastAsia" w:hAnsiTheme="minorEastAsia" w:eastAsiaTheme="minorEastAsia"/>
          <w:color w:val="auto"/>
          <w:sz w:val="32"/>
          <w:szCs w:val="32"/>
        </w:rPr>
        <w:t>万元；年初结转和结余</w:t>
      </w:r>
      <w:r>
        <w:rPr>
          <w:rFonts w:hint="eastAsia" w:asciiTheme="minorEastAsia" w:hAnsiTheme="minorEastAsia" w:eastAsiaTheme="minorEastAsia"/>
          <w:color w:val="auto"/>
          <w:sz w:val="32"/>
          <w:szCs w:val="32"/>
          <w:lang w:eastAsia="zh-CN"/>
        </w:rPr>
        <w:t>0</w:t>
      </w:r>
      <w:r>
        <w:rPr>
          <w:rFonts w:hint="eastAsia" w:asciiTheme="minorEastAsia" w:hAnsiTheme="minorEastAsia" w:eastAsiaTheme="minorEastAsia"/>
          <w:color w:val="auto"/>
          <w:sz w:val="32"/>
          <w:szCs w:val="32"/>
        </w:rPr>
        <w:t>万元；支出</w:t>
      </w:r>
      <w:r>
        <w:rPr>
          <w:rFonts w:hint="eastAsia" w:asciiTheme="minorEastAsia" w:hAnsiTheme="minorEastAsia" w:eastAsiaTheme="minorEastAsia"/>
          <w:color w:val="auto"/>
          <w:sz w:val="32"/>
          <w:szCs w:val="32"/>
          <w:lang w:eastAsia="zh-CN"/>
        </w:rPr>
        <w:t>0</w:t>
      </w:r>
      <w:r>
        <w:rPr>
          <w:rFonts w:hint="eastAsia" w:asciiTheme="minorEastAsia" w:hAnsiTheme="minorEastAsia" w:eastAsiaTheme="minorEastAsia"/>
          <w:color w:val="auto"/>
          <w:sz w:val="32"/>
          <w:szCs w:val="32"/>
        </w:rPr>
        <w:t>万元，其中基本支出</w:t>
      </w:r>
      <w:r>
        <w:rPr>
          <w:rFonts w:hint="eastAsia" w:asciiTheme="minorEastAsia" w:hAnsiTheme="minorEastAsia" w:eastAsiaTheme="minorEastAsia"/>
          <w:color w:val="auto"/>
          <w:sz w:val="32"/>
          <w:szCs w:val="32"/>
          <w:lang w:eastAsia="zh-CN"/>
        </w:rPr>
        <w:t>0</w:t>
      </w:r>
      <w:r>
        <w:rPr>
          <w:rFonts w:hint="eastAsia" w:asciiTheme="minorEastAsia" w:hAnsiTheme="minorEastAsia" w:eastAsiaTheme="minorEastAsia"/>
          <w:color w:val="auto"/>
          <w:sz w:val="32"/>
          <w:szCs w:val="32"/>
        </w:rPr>
        <w:t>万元，项目支出</w:t>
      </w:r>
      <w:r>
        <w:rPr>
          <w:rFonts w:hint="eastAsia" w:asciiTheme="minorEastAsia" w:hAnsiTheme="minorEastAsia" w:eastAsiaTheme="minorEastAsia"/>
          <w:color w:val="auto"/>
          <w:sz w:val="32"/>
          <w:szCs w:val="32"/>
          <w:lang w:eastAsia="zh-CN"/>
        </w:rPr>
        <w:t>0</w:t>
      </w:r>
      <w:r>
        <w:rPr>
          <w:rFonts w:hint="eastAsia" w:asciiTheme="minorEastAsia" w:hAnsiTheme="minorEastAsia" w:eastAsiaTheme="minorEastAsia"/>
          <w:color w:val="auto"/>
          <w:sz w:val="32"/>
          <w:szCs w:val="32"/>
        </w:rPr>
        <w:t>万元；年末结转和结余</w:t>
      </w:r>
      <w:r>
        <w:rPr>
          <w:rFonts w:hint="eastAsia" w:asciiTheme="minorEastAsia" w:hAnsiTheme="minorEastAsia" w:eastAsiaTheme="minorEastAsia"/>
          <w:color w:val="auto"/>
          <w:sz w:val="32"/>
          <w:szCs w:val="32"/>
          <w:lang w:eastAsia="zh-CN"/>
        </w:rPr>
        <w:t>0</w:t>
      </w:r>
      <w:r>
        <w:rPr>
          <w:rFonts w:hint="eastAsia" w:asciiTheme="minorEastAsia" w:hAnsiTheme="minorEastAsia" w:eastAsiaTheme="minorEastAsia"/>
          <w:color w:val="auto"/>
          <w:sz w:val="32"/>
          <w:szCs w:val="32"/>
        </w:rPr>
        <w:t>万元。</w:t>
      </w:r>
    </w:p>
    <w:p>
      <w:pPr>
        <w:pStyle w:val="12"/>
        <w:widowControl/>
        <w:spacing w:line="600" w:lineRule="exact"/>
        <w:ind w:left="640" w:firstLine="0" w:firstLineChars="0"/>
        <w:jc w:val="left"/>
        <w:rPr>
          <w:rFonts w:ascii="Times New Roman" w:hAnsi="Times New Roman" w:eastAsia="黑体"/>
          <w:sz w:val="32"/>
          <w:szCs w:val="32"/>
        </w:rPr>
      </w:pPr>
      <w:bookmarkStart w:id="0" w:name="_GoBack"/>
      <w:bookmarkEnd w:id="0"/>
      <w:r>
        <w:rPr>
          <w:rFonts w:hint="eastAsia" w:ascii="Times New Roman" w:hAnsi="Times New Roman" w:eastAsia="黑体"/>
          <w:sz w:val="32"/>
          <w:szCs w:val="32"/>
        </w:rPr>
        <w:t>五、</w:t>
      </w:r>
      <w:r>
        <w:rPr>
          <w:rFonts w:ascii="Times New Roman" w:hAnsi="Times New Roman" w:eastAsia="黑体"/>
          <w:sz w:val="32"/>
          <w:szCs w:val="32"/>
        </w:rPr>
        <w:t>社会保险基金预算支出情况</w:t>
      </w:r>
    </w:p>
    <w:p>
      <w:pPr>
        <w:widowControl/>
        <w:spacing w:line="600" w:lineRule="exact"/>
        <w:ind w:firstLine="960" w:firstLineChars="300"/>
        <w:jc w:val="left"/>
        <w:rPr>
          <w:rFonts w:ascii="仿宋" w:hAnsi="仿宋" w:eastAsia="仿宋" w:cs="Times New Roman"/>
          <w:sz w:val="32"/>
          <w:szCs w:val="32"/>
        </w:rPr>
      </w:pPr>
      <w:r>
        <w:rPr>
          <w:rFonts w:hint="eastAsia" w:ascii="宋体" w:hAnsi="宋体" w:cs="黑体"/>
          <w:color w:val="000000"/>
          <w:kern w:val="0"/>
          <w:sz w:val="32"/>
          <w:szCs w:val="32"/>
        </w:rPr>
        <w:t>2021年度财政拨款社会保险基金总支出423668.77元</w:t>
      </w:r>
      <w:r>
        <w:rPr>
          <w:rFonts w:hint="eastAsia" w:ascii="仿宋" w:hAnsi="仿宋" w:eastAsia="仿宋" w:cs="Times New Roman"/>
          <w:sz w:val="32"/>
          <w:szCs w:val="32"/>
        </w:rPr>
        <w:t>。</w:t>
      </w:r>
    </w:p>
    <w:p>
      <w:pPr>
        <w:widowControl/>
        <w:spacing w:line="600" w:lineRule="exact"/>
        <w:ind w:firstLine="645"/>
        <w:jc w:val="left"/>
        <w:rPr>
          <w:rFonts w:eastAsia="黑体"/>
          <w:sz w:val="32"/>
          <w:szCs w:val="32"/>
        </w:rPr>
      </w:pPr>
      <w:r>
        <w:rPr>
          <w:rFonts w:eastAsia="黑体"/>
          <w:sz w:val="32"/>
          <w:szCs w:val="32"/>
        </w:rPr>
        <w:t>六、部门整体支出绩效情况</w:t>
      </w:r>
    </w:p>
    <w:p>
      <w:pPr>
        <w:widowControl/>
        <w:spacing w:line="600" w:lineRule="exact"/>
        <w:ind w:firstLine="960" w:firstLineChars="300"/>
        <w:jc w:val="left"/>
        <w:rPr>
          <w:rFonts w:hint="eastAsia" w:ascii="宋体" w:hAnsi="宋体" w:cs="黑体"/>
          <w:color w:val="000000"/>
          <w:kern w:val="0"/>
          <w:sz w:val="32"/>
          <w:szCs w:val="32"/>
        </w:rPr>
      </w:pPr>
      <w:r>
        <w:rPr>
          <w:rFonts w:hint="eastAsia" w:ascii="宋体" w:hAnsi="宋体" w:cs="黑体"/>
          <w:color w:val="000000"/>
          <w:kern w:val="0"/>
          <w:sz w:val="32"/>
          <w:szCs w:val="32"/>
        </w:rPr>
        <w:t>2021年，我单位积极履职，强化管理，较好地完成了年度工作目标。通过加强预算收支管理，不断建立健全内部管理制度，梳理内部管理流程，部门整体支出管理水平得到提升。</w:t>
      </w:r>
    </w:p>
    <w:p>
      <w:pPr>
        <w:widowControl/>
        <w:spacing w:line="600" w:lineRule="exact"/>
        <w:ind w:firstLine="640" w:firstLineChars="200"/>
        <w:jc w:val="left"/>
        <w:rPr>
          <w:rFonts w:eastAsia="黑体"/>
          <w:sz w:val="32"/>
          <w:szCs w:val="32"/>
        </w:rPr>
      </w:pPr>
      <w:r>
        <w:rPr>
          <w:rFonts w:hint="eastAsia" w:eastAsia="黑体"/>
          <w:sz w:val="32"/>
          <w:szCs w:val="32"/>
        </w:rPr>
        <w:t>七、</w:t>
      </w:r>
      <w:r>
        <w:rPr>
          <w:rFonts w:eastAsia="黑体"/>
          <w:sz w:val="32"/>
          <w:szCs w:val="32"/>
        </w:rPr>
        <w:t>存在的问题及原因分析</w:t>
      </w:r>
    </w:p>
    <w:p>
      <w:pPr>
        <w:widowControl/>
        <w:spacing w:line="600" w:lineRule="exact"/>
        <w:ind w:firstLine="960" w:firstLineChars="300"/>
        <w:jc w:val="left"/>
        <w:rPr>
          <w:rFonts w:hint="eastAsia" w:ascii="宋体" w:hAnsi="宋体" w:cs="黑体"/>
          <w:color w:val="000000"/>
          <w:kern w:val="0"/>
          <w:sz w:val="32"/>
          <w:szCs w:val="32"/>
        </w:rPr>
      </w:pPr>
      <w:r>
        <w:rPr>
          <w:rFonts w:hint="eastAsia" w:ascii="宋体" w:hAnsi="宋体" w:cs="黑体"/>
          <w:color w:val="000000"/>
          <w:kern w:val="0"/>
          <w:sz w:val="32"/>
          <w:szCs w:val="32"/>
        </w:rPr>
        <w:t>财政预算与学校实际开支存在偏差，如年终各部门要求学校必须订阅报刊杂志，需购买的一些保险险种等均不在预算内。加上现代化设备的使用率提高，致使水电费的支出成倍增长，每年的公用经费根据单位上年底的在职在编人数和经费标准核定金额，不包括当年正式招聘入职但未进编的人数，公用经费存在缺口，以致经费比较紧张。另外财政预算资金到位比较迟缓，各项目经费支付较滞后。学校没有专门的财务人员，都是由本校教师兼职，没有专业的财务知识，但现在对财务工作要求越来越规范，导致我校的财务管理工作开展起来有一定的难度。  </w:t>
      </w:r>
    </w:p>
    <w:p>
      <w:pPr>
        <w:widowControl/>
        <w:spacing w:line="600" w:lineRule="exact"/>
        <w:ind w:firstLine="640" w:firstLineChars="200"/>
        <w:jc w:val="left"/>
        <w:rPr>
          <w:rFonts w:ascii="Times New Roman" w:hAnsi="Times New Roman" w:eastAsia="黑体" w:cs="Times New Roman"/>
          <w:sz w:val="32"/>
          <w:szCs w:val="32"/>
        </w:rPr>
      </w:pPr>
      <w:r>
        <w:rPr>
          <w:rFonts w:hint="eastAsia" w:ascii="Times New Roman" w:hAnsi="Times New Roman" w:eastAsia="黑体" w:cs="Times New Roman"/>
          <w:sz w:val="32"/>
          <w:szCs w:val="32"/>
        </w:rPr>
        <w:t>八、下一步改进措施</w:t>
      </w:r>
    </w:p>
    <w:p>
      <w:pPr>
        <w:pStyle w:val="6"/>
        <w:spacing w:before="0" w:beforeAutospacing="0" w:after="0" w:afterAutospacing="0" w:line="570" w:lineRule="atLeast"/>
        <w:ind w:firstLine="640"/>
        <w:jc w:val="both"/>
        <w:rPr>
          <w:rFonts w:hint="eastAsia" w:ascii="宋体" w:hAnsi="宋体" w:cs="黑体" w:eastAsiaTheme="minorEastAsia"/>
          <w:color w:val="000000"/>
          <w:kern w:val="0"/>
          <w:sz w:val="32"/>
          <w:szCs w:val="32"/>
          <w:lang w:val="en-US" w:eastAsia="zh-CN" w:bidi="ar-SA"/>
        </w:rPr>
      </w:pPr>
      <w:r>
        <w:rPr>
          <w:rFonts w:hint="eastAsia" w:ascii="宋体" w:hAnsi="宋体" w:cs="黑体" w:eastAsiaTheme="minorEastAsia"/>
          <w:color w:val="000000"/>
          <w:kern w:val="0"/>
          <w:sz w:val="32"/>
          <w:szCs w:val="32"/>
          <w:lang w:val="en-US" w:eastAsia="zh-CN" w:bidi="ar-SA"/>
        </w:rPr>
        <w:t>切实做好预算编制工作，做好本单位情况调查，仔细测算部门资金需求，努力使预算资金合理。进一步建立健全财务制度，规范财务管理，加强绩效评价管理评价的可操作性，对相关业务人员进行相关培训，以提高业务知识水平。</w:t>
      </w:r>
    </w:p>
    <w:p>
      <w:pPr>
        <w:ind w:firstLine="640" w:firstLineChars="200"/>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7BB47A72"/>
    <w:multiLevelType w:val="multilevel"/>
    <w:tmpl w:val="7BB47A72"/>
    <w:lvl w:ilvl="0" w:tentative="0">
      <w:start w:val="1"/>
      <w:numFmt w:val="japaneseCounting"/>
      <w:lvlText w:val="%1、"/>
      <w:lvlJc w:val="left"/>
      <w:pPr>
        <w:ind w:left="1713"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zI2NGRiYmQwOWZkOTg4MzMxMDkzZDc2NzhhOTYzNjMifQ=="/>
  </w:docVars>
  <w:rsids>
    <w:rsidRoot w:val="004506F9"/>
    <w:rsid w:val="0002229B"/>
    <w:rsid w:val="000273BD"/>
    <w:rsid w:val="000415B7"/>
    <w:rsid w:val="00041E3F"/>
    <w:rsid w:val="00055DAA"/>
    <w:rsid w:val="00061F7B"/>
    <w:rsid w:val="000658A3"/>
    <w:rsid w:val="00074155"/>
    <w:rsid w:val="00081AF1"/>
    <w:rsid w:val="000873EF"/>
    <w:rsid w:val="000A3F69"/>
    <w:rsid w:val="00103957"/>
    <w:rsid w:val="00124A1F"/>
    <w:rsid w:val="00152C6D"/>
    <w:rsid w:val="00162D39"/>
    <w:rsid w:val="001678BD"/>
    <w:rsid w:val="00182373"/>
    <w:rsid w:val="00182B50"/>
    <w:rsid w:val="001A67DB"/>
    <w:rsid w:val="001C3C29"/>
    <w:rsid w:val="001D51E5"/>
    <w:rsid w:val="001E080D"/>
    <w:rsid w:val="001E53D0"/>
    <w:rsid w:val="001F0C3B"/>
    <w:rsid w:val="00202C14"/>
    <w:rsid w:val="00202C82"/>
    <w:rsid w:val="00214427"/>
    <w:rsid w:val="00226CB7"/>
    <w:rsid w:val="00264552"/>
    <w:rsid w:val="00264EF9"/>
    <w:rsid w:val="00265724"/>
    <w:rsid w:val="0027426B"/>
    <w:rsid w:val="002E0A30"/>
    <w:rsid w:val="002F53BB"/>
    <w:rsid w:val="003130C4"/>
    <w:rsid w:val="00316C4B"/>
    <w:rsid w:val="0032192B"/>
    <w:rsid w:val="00327FFA"/>
    <w:rsid w:val="003479BD"/>
    <w:rsid w:val="0037197D"/>
    <w:rsid w:val="003768D5"/>
    <w:rsid w:val="003C4197"/>
    <w:rsid w:val="003C47E6"/>
    <w:rsid w:val="003C4FC2"/>
    <w:rsid w:val="003E2331"/>
    <w:rsid w:val="003F09E1"/>
    <w:rsid w:val="00416E61"/>
    <w:rsid w:val="0042790C"/>
    <w:rsid w:val="004506F9"/>
    <w:rsid w:val="004717A2"/>
    <w:rsid w:val="00473DF3"/>
    <w:rsid w:val="00487911"/>
    <w:rsid w:val="00491741"/>
    <w:rsid w:val="00497300"/>
    <w:rsid w:val="004B0CEE"/>
    <w:rsid w:val="004E71CA"/>
    <w:rsid w:val="00500E5F"/>
    <w:rsid w:val="005122EF"/>
    <w:rsid w:val="0051441A"/>
    <w:rsid w:val="00517C33"/>
    <w:rsid w:val="00517D5F"/>
    <w:rsid w:val="00521AF2"/>
    <w:rsid w:val="00523644"/>
    <w:rsid w:val="0054069E"/>
    <w:rsid w:val="00544866"/>
    <w:rsid w:val="005767CC"/>
    <w:rsid w:val="00590D9F"/>
    <w:rsid w:val="00595D26"/>
    <w:rsid w:val="005A74E6"/>
    <w:rsid w:val="005B404E"/>
    <w:rsid w:val="005D4D55"/>
    <w:rsid w:val="005E0419"/>
    <w:rsid w:val="005E2CFB"/>
    <w:rsid w:val="005F2103"/>
    <w:rsid w:val="005F3D1C"/>
    <w:rsid w:val="0060317E"/>
    <w:rsid w:val="00611D0C"/>
    <w:rsid w:val="0062378F"/>
    <w:rsid w:val="00636F86"/>
    <w:rsid w:val="00641842"/>
    <w:rsid w:val="00651EEC"/>
    <w:rsid w:val="00683D5A"/>
    <w:rsid w:val="00686673"/>
    <w:rsid w:val="00691E8C"/>
    <w:rsid w:val="0069428A"/>
    <w:rsid w:val="006A22C4"/>
    <w:rsid w:val="006A348B"/>
    <w:rsid w:val="006A351B"/>
    <w:rsid w:val="006B0422"/>
    <w:rsid w:val="006B0ECC"/>
    <w:rsid w:val="006C1B53"/>
    <w:rsid w:val="006D7730"/>
    <w:rsid w:val="006E5284"/>
    <w:rsid w:val="006F3EB5"/>
    <w:rsid w:val="006F6E93"/>
    <w:rsid w:val="00702E34"/>
    <w:rsid w:val="00704395"/>
    <w:rsid w:val="00710FE7"/>
    <w:rsid w:val="00717621"/>
    <w:rsid w:val="00720FF1"/>
    <w:rsid w:val="00727A53"/>
    <w:rsid w:val="0076627B"/>
    <w:rsid w:val="00767FBF"/>
    <w:rsid w:val="00787B42"/>
    <w:rsid w:val="007C4539"/>
    <w:rsid w:val="007F3657"/>
    <w:rsid w:val="00812ED5"/>
    <w:rsid w:val="008277D9"/>
    <w:rsid w:val="0084478C"/>
    <w:rsid w:val="0086638C"/>
    <w:rsid w:val="00896B37"/>
    <w:rsid w:val="008A3E8D"/>
    <w:rsid w:val="009237C4"/>
    <w:rsid w:val="00944C48"/>
    <w:rsid w:val="00950252"/>
    <w:rsid w:val="00967F5D"/>
    <w:rsid w:val="009A0F95"/>
    <w:rsid w:val="009B3ADF"/>
    <w:rsid w:val="009C3B52"/>
    <w:rsid w:val="009E6817"/>
    <w:rsid w:val="009E6E9A"/>
    <w:rsid w:val="00A01D2B"/>
    <w:rsid w:val="00A37EC9"/>
    <w:rsid w:val="00A42218"/>
    <w:rsid w:val="00A70249"/>
    <w:rsid w:val="00A70B02"/>
    <w:rsid w:val="00A71D9F"/>
    <w:rsid w:val="00A92E9F"/>
    <w:rsid w:val="00B33BEA"/>
    <w:rsid w:val="00B42C25"/>
    <w:rsid w:val="00B43F86"/>
    <w:rsid w:val="00B57C9F"/>
    <w:rsid w:val="00B63572"/>
    <w:rsid w:val="00B845B3"/>
    <w:rsid w:val="00B85D8B"/>
    <w:rsid w:val="00B95CDD"/>
    <w:rsid w:val="00BB4A40"/>
    <w:rsid w:val="00BD6C3E"/>
    <w:rsid w:val="00BE3674"/>
    <w:rsid w:val="00C10681"/>
    <w:rsid w:val="00C3049A"/>
    <w:rsid w:val="00C31B1E"/>
    <w:rsid w:val="00C77645"/>
    <w:rsid w:val="00CE04C3"/>
    <w:rsid w:val="00CE76A0"/>
    <w:rsid w:val="00D148C6"/>
    <w:rsid w:val="00D17A8A"/>
    <w:rsid w:val="00D204AD"/>
    <w:rsid w:val="00D205B4"/>
    <w:rsid w:val="00D415BA"/>
    <w:rsid w:val="00D63780"/>
    <w:rsid w:val="00D644EE"/>
    <w:rsid w:val="00D75489"/>
    <w:rsid w:val="00DD06FF"/>
    <w:rsid w:val="00DD3A35"/>
    <w:rsid w:val="00DD5FE9"/>
    <w:rsid w:val="00E00C7A"/>
    <w:rsid w:val="00E209CF"/>
    <w:rsid w:val="00E37D6C"/>
    <w:rsid w:val="00E443D2"/>
    <w:rsid w:val="00E55B68"/>
    <w:rsid w:val="00E67BE6"/>
    <w:rsid w:val="00E8683C"/>
    <w:rsid w:val="00EA2B72"/>
    <w:rsid w:val="00F74360"/>
    <w:rsid w:val="00FB462F"/>
    <w:rsid w:val="00FE16FA"/>
    <w:rsid w:val="00FE328A"/>
    <w:rsid w:val="00FE6269"/>
    <w:rsid w:val="00FF5CD6"/>
    <w:rsid w:val="04451A44"/>
    <w:rsid w:val="07484670"/>
    <w:rsid w:val="079052BE"/>
    <w:rsid w:val="0ACD2B2C"/>
    <w:rsid w:val="14C447F8"/>
    <w:rsid w:val="157E0E4B"/>
    <w:rsid w:val="16905F54"/>
    <w:rsid w:val="19A07308"/>
    <w:rsid w:val="1D8D2573"/>
    <w:rsid w:val="1F7665BF"/>
    <w:rsid w:val="24D91EF7"/>
    <w:rsid w:val="28235FAE"/>
    <w:rsid w:val="2917171A"/>
    <w:rsid w:val="29A71E10"/>
    <w:rsid w:val="2B0379D1"/>
    <w:rsid w:val="2BAA42F0"/>
    <w:rsid w:val="2DB96A6D"/>
    <w:rsid w:val="37797999"/>
    <w:rsid w:val="39BD0CE7"/>
    <w:rsid w:val="3B2C6AD0"/>
    <w:rsid w:val="3B5E2A01"/>
    <w:rsid w:val="3B632D55"/>
    <w:rsid w:val="3F312907"/>
    <w:rsid w:val="409725DB"/>
    <w:rsid w:val="45125C50"/>
    <w:rsid w:val="481334F1"/>
    <w:rsid w:val="495A6EBF"/>
    <w:rsid w:val="4C5C2F8D"/>
    <w:rsid w:val="4C820C46"/>
    <w:rsid w:val="507D02A2"/>
    <w:rsid w:val="57266671"/>
    <w:rsid w:val="58335F6C"/>
    <w:rsid w:val="5AB3646E"/>
    <w:rsid w:val="5EB10F16"/>
    <w:rsid w:val="5FD02E13"/>
    <w:rsid w:val="608E59B3"/>
    <w:rsid w:val="60A1389F"/>
    <w:rsid w:val="69DD7064"/>
    <w:rsid w:val="6DC30990"/>
    <w:rsid w:val="6EAE5472"/>
    <w:rsid w:val="764F3097"/>
    <w:rsid w:val="7A2860D9"/>
    <w:rsid w:val="7B494559"/>
    <w:rsid w:val="7BA372C6"/>
    <w:rsid w:val="7C2428D0"/>
    <w:rsid w:val="7C500DF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alloon Text"/>
    <w:basedOn w:val="1"/>
    <w:link w:val="13"/>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customStyle="1" w:styleId="9">
    <w:name w:val="页眉 Char"/>
    <w:basedOn w:val="8"/>
    <w:link w:val="5"/>
    <w:qFormat/>
    <w:uiPriority w:val="99"/>
    <w:rPr>
      <w:sz w:val="18"/>
      <w:szCs w:val="18"/>
    </w:rPr>
  </w:style>
  <w:style w:type="character" w:customStyle="1" w:styleId="10">
    <w:name w:val="页脚 Char"/>
    <w:basedOn w:val="8"/>
    <w:link w:val="4"/>
    <w:qFormat/>
    <w:uiPriority w:val="99"/>
    <w:rPr>
      <w:sz w:val="18"/>
      <w:szCs w:val="18"/>
    </w:rPr>
  </w:style>
  <w:style w:type="paragraph" w:customStyle="1" w:styleId="11">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2">
    <w:name w:val="List Paragraph"/>
    <w:basedOn w:val="1"/>
    <w:qFormat/>
    <w:uiPriority w:val="34"/>
    <w:pPr>
      <w:ind w:firstLine="420" w:firstLineChars="200"/>
    </w:pPr>
  </w:style>
  <w:style w:type="character" w:customStyle="1" w:styleId="13">
    <w:name w:val="批注框文本 Char"/>
    <w:basedOn w:val="8"/>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80904-B2FB-4FE3-894F-42F14B17BC5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956</Words>
  <Characters>5451</Characters>
  <Lines>45</Lines>
  <Paragraphs>12</Paragraphs>
  <TotalTime>0</TotalTime>
  <ScaleCrop>false</ScaleCrop>
  <LinksUpToDate>false</LinksUpToDate>
  <CharactersWithSpaces>6395</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2022-08-01T10:01:00Z</dcterms:created>
  <dc:creator>李航 null</dc:creator>
  <cp:lastModifiedBy>yanyan小朋友 </cp:lastModifiedBy>
  <cp:lastPrinted>2022-07-27T12:55:00Z</cp:lastPrinted>
  <dcterms:modified xsi:type="dcterms:W3CDTF">2023-09-27T13:09:45Z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C533DC648E9C4AE6ADF5E5F16D068854</vt:lpwstr>
  </property>
</Properties>
</file>