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ind w:firstLine="1120" w:firstLineChars="200"/>
        <w:rPr>
          <w:rFonts w:cs="仿宋"/>
          <w:sz w:val="56"/>
          <w:szCs w:val="56"/>
        </w:rPr>
      </w:pPr>
    </w:p>
    <w:p>
      <w:pPr>
        <w:pStyle w:val="10"/>
        <w:ind w:firstLine="1680" w:firstLineChars="200"/>
        <w:rPr>
          <w:rFonts w:cs="仿宋"/>
          <w:sz w:val="84"/>
          <w:szCs w:val="84"/>
        </w:rPr>
      </w:pPr>
    </w:p>
    <w:p>
      <w:pPr>
        <w:pStyle w:val="10"/>
        <w:jc w:val="center"/>
        <w:rPr>
          <w:rFonts w:cs="仿宋"/>
          <w:sz w:val="84"/>
          <w:szCs w:val="84"/>
        </w:rPr>
      </w:pPr>
    </w:p>
    <w:p>
      <w:pPr>
        <w:pStyle w:val="10"/>
        <w:jc w:val="center"/>
        <w:rPr>
          <w:rFonts w:hint="eastAsia" w:cs="仿宋"/>
          <w:sz w:val="84"/>
          <w:szCs w:val="84"/>
        </w:rPr>
      </w:pPr>
      <w:r>
        <w:rPr>
          <w:rFonts w:hint="eastAsia" w:cs="仿宋"/>
          <w:sz w:val="84"/>
          <w:szCs w:val="84"/>
        </w:rPr>
        <w:t>2021年度</w:t>
      </w:r>
    </w:p>
    <w:p>
      <w:pPr>
        <w:pStyle w:val="10"/>
        <w:jc w:val="center"/>
        <w:rPr>
          <w:rFonts w:cs="仿宋"/>
          <w:sz w:val="84"/>
          <w:szCs w:val="84"/>
        </w:rPr>
      </w:pPr>
      <w:r>
        <w:rPr>
          <w:rFonts w:hint="eastAsia" w:cs="仿宋"/>
          <w:sz w:val="84"/>
          <w:szCs w:val="84"/>
          <w:lang w:val="en-US" w:eastAsia="zh-CN"/>
        </w:rPr>
        <w:t>怀化市</w:t>
      </w:r>
      <w:r>
        <w:rPr>
          <w:rFonts w:hint="eastAsia" w:cs="仿宋"/>
          <w:sz w:val="84"/>
          <w:szCs w:val="84"/>
        </w:rPr>
        <w:t>鹤城区红十字会部门决算</w:t>
      </w:r>
    </w:p>
    <w:p>
      <w:pPr>
        <w:pStyle w:val="10"/>
        <w:ind w:firstLine="1120" w:firstLineChars="200"/>
        <w:rPr>
          <w:rFonts w:cs="仿宋"/>
          <w:sz w:val="56"/>
          <w:szCs w:val="56"/>
        </w:rPr>
      </w:pPr>
    </w:p>
    <w:p>
      <w:pPr>
        <w:pStyle w:val="10"/>
        <w:ind w:firstLine="1120" w:firstLineChars="200"/>
        <w:rPr>
          <w:rFonts w:cs="仿宋"/>
          <w:sz w:val="56"/>
          <w:szCs w:val="56"/>
        </w:rPr>
      </w:pPr>
    </w:p>
    <w:p>
      <w:pPr>
        <w:pStyle w:val="10"/>
        <w:ind w:firstLine="1120" w:firstLineChars="200"/>
        <w:rPr>
          <w:rFonts w:cs="仿宋"/>
          <w:sz w:val="56"/>
          <w:szCs w:val="56"/>
        </w:rPr>
      </w:pPr>
    </w:p>
    <w:p>
      <w:pPr>
        <w:pStyle w:val="10"/>
        <w:ind w:firstLine="1120" w:firstLineChars="200"/>
        <w:rPr>
          <w:rFonts w:cs="仿宋"/>
          <w:sz w:val="56"/>
          <w:szCs w:val="56"/>
        </w:rPr>
      </w:pPr>
    </w:p>
    <w:p>
      <w:pPr>
        <w:pStyle w:val="10"/>
        <w:ind w:firstLine="640" w:firstLineChars="200"/>
        <w:rPr>
          <w:rFonts w:cs="仿宋"/>
          <w:sz w:val="32"/>
          <w:szCs w:val="32"/>
        </w:rPr>
      </w:pPr>
    </w:p>
    <w:p>
      <w:pPr>
        <w:pStyle w:val="10"/>
        <w:ind w:firstLine="640" w:firstLineChars="200"/>
        <w:rPr>
          <w:rFonts w:cs="仿宋"/>
          <w:sz w:val="32"/>
          <w:szCs w:val="32"/>
        </w:rPr>
      </w:pPr>
    </w:p>
    <w:p>
      <w:pPr>
        <w:pStyle w:val="10"/>
        <w:ind w:firstLine="640" w:firstLineChars="200"/>
        <w:rPr>
          <w:rFonts w:cs="仿宋"/>
          <w:sz w:val="32"/>
          <w:szCs w:val="32"/>
        </w:rPr>
      </w:pPr>
    </w:p>
    <w:p>
      <w:pPr>
        <w:pStyle w:val="10"/>
        <w:ind w:firstLine="640" w:firstLineChars="200"/>
        <w:rPr>
          <w:rFonts w:cs="仿宋"/>
          <w:sz w:val="32"/>
          <w:szCs w:val="32"/>
        </w:rPr>
      </w:pPr>
    </w:p>
    <w:p>
      <w:pPr>
        <w:pStyle w:val="10"/>
        <w:ind w:firstLine="640" w:firstLineChars="200"/>
        <w:rPr>
          <w:rFonts w:cs="仿宋"/>
          <w:sz w:val="32"/>
          <w:szCs w:val="32"/>
        </w:rPr>
      </w:pPr>
    </w:p>
    <w:p>
      <w:pPr>
        <w:pStyle w:val="10"/>
        <w:ind w:firstLine="720" w:firstLineChars="200"/>
        <w:jc w:val="center"/>
        <w:rPr>
          <w:rFonts w:cs="仿宋"/>
          <w:b/>
          <w:sz w:val="36"/>
          <w:szCs w:val="28"/>
        </w:rPr>
      </w:pPr>
      <w:r>
        <w:rPr>
          <w:rFonts w:hint="eastAsia" w:cs="仿宋"/>
          <w:b/>
          <w:sz w:val="36"/>
          <w:szCs w:val="28"/>
        </w:rPr>
        <w:t>目录</w:t>
      </w:r>
    </w:p>
    <w:p>
      <w:pPr>
        <w:pStyle w:val="10"/>
        <w:ind w:firstLine="560" w:firstLineChars="200"/>
        <w:rPr>
          <w:rFonts w:ascii="仿宋_GB2312" w:hAnsi="仿宋_GB2312" w:cs="仿宋"/>
          <w:b/>
          <w:sz w:val="28"/>
          <w:szCs w:val="28"/>
        </w:rPr>
      </w:pPr>
      <w:r>
        <w:rPr>
          <w:rFonts w:hint="eastAsia" w:cs="仿宋"/>
          <w:b/>
          <w:sz w:val="28"/>
          <w:szCs w:val="28"/>
        </w:rPr>
        <w:t>第一部分</w:t>
      </w:r>
      <w:r>
        <w:rPr>
          <w:rFonts w:hint="eastAsia" w:cs="仿宋"/>
          <w:b/>
          <w:sz w:val="28"/>
          <w:szCs w:val="28"/>
          <w:lang w:val="en-US" w:eastAsia="zh-CN"/>
        </w:rPr>
        <w:t>怀化市</w:t>
      </w:r>
      <w:r>
        <w:rPr>
          <w:rFonts w:hint="eastAsia" w:cs="仿宋"/>
          <w:b/>
          <w:sz w:val="28"/>
          <w:szCs w:val="28"/>
        </w:rPr>
        <w:t>鹤城区红十字会单位概况</w:t>
      </w:r>
    </w:p>
    <w:p>
      <w:pPr>
        <w:pStyle w:val="10"/>
        <w:ind w:firstLine="560" w:firstLineChars="200"/>
        <w:rPr>
          <w:rFonts w:cs="仿宋" w:asciiTheme="minorEastAsia" w:hAnsiTheme="minorEastAsia" w:eastAsiaTheme="minorEastAsia"/>
          <w:sz w:val="28"/>
          <w:szCs w:val="28"/>
        </w:rPr>
      </w:pPr>
      <w:r>
        <w:rPr>
          <w:rFonts w:cs="仿宋" w:asciiTheme="minorEastAsia" w:hAnsiTheme="minorEastAsia" w:eastAsiaTheme="minorEastAsia"/>
          <w:sz w:val="28"/>
          <w:szCs w:val="28"/>
        </w:rPr>
        <w:t>一、部门职责</w:t>
      </w:r>
    </w:p>
    <w:p>
      <w:pPr>
        <w:pStyle w:val="10"/>
        <w:ind w:firstLine="560" w:firstLineChars="200"/>
        <w:rPr>
          <w:rFonts w:cs="仿宋" w:asciiTheme="minorEastAsia" w:hAnsiTheme="minorEastAsia" w:eastAsiaTheme="minorEastAsia"/>
          <w:sz w:val="28"/>
          <w:szCs w:val="28"/>
        </w:rPr>
      </w:pPr>
      <w:r>
        <w:rPr>
          <w:rFonts w:cs="仿宋" w:asciiTheme="minorEastAsia" w:hAnsiTheme="minorEastAsia" w:eastAsiaTheme="minorEastAsia"/>
          <w:sz w:val="28"/>
          <w:szCs w:val="28"/>
        </w:rPr>
        <w:t>二、机构设置</w:t>
      </w:r>
    </w:p>
    <w:p>
      <w:pPr>
        <w:pStyle w:val="10"/>
        <w:ind w:firstLine="560" w:firstLineChars="200"/>
        <w:rPr>
          <w:rFonts w:ascii="仿宋_GB2312" w:hAnsi="仿宋_GB2312" w:cs="仿宋"/>
          <w:b/>
          <w:sz w:val="28"/>
          <w:szCs w:val="28"/>
        </w:rPr>
      </w:pPr>
      <w:r>
        <w:rPr>
          <w:rFonts w:hint="eastAsia" w:hAnsi="仿宋_GB2312" w:cs="仿宋"/>
          <w:b/>
          <w:sz w:val="28"/>
          <w:szCs w:val="28"/>
        </w:rPr>
        <w:t>第二部分</w:t>
      </w:r>
      <w:r>
        <w:rPr>
          <w:rFonts w:hAnsi="仿宋_GB2312" w:cs="仿宋"/>
          <w:b/>
          <w:sz w:val="28"/>
          <w:szCs w:val="28"/>
        </w:rPr>
        <w:t>20</w:t>
      </w:r>
      <w:r>
        <w:rPr>
          <w:rFonts w:hint="eastAsia" w:hAnsi="仿宋_GB2312" w:cs="仿宋"/>
          <w:b/>
          <w:sz w:val="28"/>
          <w:szCs w:val="28"/>
        </w:rPr>
        <w:t>21年度部门决算表</w:t>
      </w:r>
    </w:p>
    <w:p>
      <w:pPr>
        <w:pStyle w:val="10"/>
        <w:ind w:firstLine="560" w:firstLineChars="200"/>
        <w:rPr>
          <w:rFonts w:cs="仿宋" w:asciiTheme="minorEastAsia" w:hAnsiTheme="minorEastAsia" w:eastAsiaTheme="minorEastAsia"/>
          <w:sz w:val="28"/>
          <w:szCs w:val="28"/>
        </w:rPr>
      </w:pPr>
      <w:r>
        <w:rPr>
          <w:rFonts w:cs="仿宋" w:asciiTheme="minorEastAsia" w:hAnsiTheme="minorEastAsia" w:eastAsiaTheme="minorEastAsia"/>
          <w:sz w:val="28"/>
          <w:szCs w:val="28"/>
        </w:rPr>
        <w:t>一、收入支出决算总表</w:t>
      </w:r>
    </w:p>
    <w:p>
      <w:pPr>
        <w:pStyle w:val="10"/>
        <w:ind w:firstLine="560" w:firstLineChars="200"/>
        <w:rPr>
          <w:rFonts w:cs="仿宋" w:asciiTheme="minorEastAsia" w:hAnsiTheme="minorEastAsia" w:eastAsiaTheme="minorEastAsia"/>
          <w:sz w:val="28"/>
          <w:szCs w:val="28"/>
        </w:rPr>
      </w:pPr>
      <w:r>
        <w:rPr>
          <w:rFonts w:cs="仿宋" w:asciiTheme="minorEastAsia" w:hAnsiTheme="minorEastAsia" w:eastAsiaTheme="minorEastAsia"/>
          <w:sz w:val="28"/>
          <w:szCs w:val="28"/>
        </w:rPr>
        <w:t>二、收入决算表</w:t>
      </w:r>
    </w:p>
    <w:p>
      <w:pPr>
        <w:pStyle w:val="10"/>
        <w:ind w:firstLine="560" w:firstLineChars="200"/>
        <w:rPr>
          <w:rFonts w:cs="仿宋" w:asciiTheme="minorEastAsia" w:hAnsiTheme="minorEastAsia" w:eastAsiaTheme="minorEastAsia"/>
          <w:sz w:val="28"/>
          <w:szCs w:val="28"/>
        </w:rPr>
      </w:pPr>
      <w:r>
        <w:rPr>
          <w:rFonts w:cs="仿宋" w:asciiTheme="minorEastAsia" w:hAnsiTheme="minorEastAsia" w:eastAsiaTheme="minorEastAsia"/>
          <w:sz w:val="28"/>
          <w:szCs w:val="28"/>
        </w:rPr>
        <w:t>三、支出决算表</w:t>
      </w:r>
    </w:p>
    <w:p>
      <w:pPr>
        <w:pStyle w:val="10"/>
        <w:ind w:firstLine="560" w:firstLineChars="200"/>
        <w:rPr>
          <w:rFonts w:cs="仿宋" w:asciiTheme="minorEastAsia" w:hAnsiTheme="minorEastAsia" w:eastAsiaTheme="minorEastAsia"/>
          <w:sz w:val="28"/>
          <w:szCs w:val="28"/>
        </w:rPr>
      </w:pPr>
      <w:r>
        <w:rPr>
          <w:rFonts w:cs="仿宋" w:asciiTheme="minorEastAsia" w:hAnsiTheme="minorEastAsia" w:eastAsiaTheme="minorEastAsia"/>
          <w:sz w:val="28"/>
          <w:szCs w:val="28"/>
        </w:rPr>
        <w:t>四、财政拨款收入支出决算总表</w:t>
      </w:r>
    </w:p>
    <w:p>
      <w:pPr>
        <w:pStyle w:val="10"/>
        <w:ind w:firstLine="560" w:firstLineChars="200"/>
        <w:rPr>
          <w:rFonts w:cs="仿宋" w:asciiTheme="minorEastAsia" w:hAnsiTheme="minorEastAsia" w:eastAsiaTheme="minorEastAsia"/>
          <w:sz w:val="28"/>
          <w:szCs w:val="28"/>
        </w:rPr>
      </w:pPr>
      <w:r>
        <w:rPr>
          <w:rFonts w:cs="仿宋" w:asciiTheme="minorEastAsia" w:hAnsiTheme="minorEastAsia" w:eastAsiaTheme="minorEastAsia"/>
          <w:sz w:val="28"/>
          <w:szCs w:val="28"/>
        </w:rPr>
        <w:t>五、一般公共预算财政拨款支出决算表</w:t>
      </w:r>
    </w:p>
    <w:p>
      <w:pPr>
        <w:pStyle w:val="10"/>
        <w:ind w:firstLine="560" w:firstLineChars="200"/>
        <w:rPr>
          <w:rFonts w:cs="仿宋" w:asciiTheme="minorEastAsia" w:hAnsiTheme="minorEastAsia" w:eastAsiaTheme="minorEastAsia"/>
          <w:sz w:val="28"/>
          <w:szCs w:val="28"/>
        </w:rPr>
      </w:pPr>
      <w:r>
        <w:rPr>
          <w:rFonts w:cs="仿宋" w:asciiTheme="minorEastAsia" w:hAnsiTheme="minorEastAsia" w:eastAsiaTheme="minorEastAsia"/>
          <w:sz w:val="28"/>
          <w:szCs w:val="28"/>
        </w:rPr>
        <w:t>六、一般公共预算财政拨款基本支出决算</w:t>
      </w:r>
      <w:r>
        <w:rPr>
          <w:rFonts w:hint="eastAsia" w:cs="仿宋" w:asciiTheme="minorEastAsia" w:hAnsiTheme="minorEastAsia" w:eastAsiaTheme="minorEastAsia"/>
          <w:sz w:val="28"/>
          <w:szCs w:val="28"/>
        </w:rPr>
        <w:t>明细</w:t>
      </w:r>
      <w:r>
        <w:rPr>
          <w:rFonts w:cs="仿宋" w:asciiTheme="minorEastAsia" w:hAnsiTheme="minorEastAsia" w:eastAsiaTheme="minorEastAsia"/>
          <w:sz w:val="28"/>
          <w:szCs w:val="28"/>
        </w:rPr>
        <w:t>表</w:t>
      </w:r>
    </w:p>
    <w:p>
      <w:pPr>
        <w:pStyle w:val="10"/>
        <w:ind w:firstLine="560" w:firstLineChars="200"/>
        <w:rPr>
          <w:rFonts w:cs="仿宋" w:asciiTheme="minorEastAsia" w:hAnsiTheme="minorEastAsia" w:eastAsiaTheme="minorEastAsia"/>
          <w:sz w:val="28"/>
          <w:szCs w:val="28"/>
        </w:rPr>
      </w:pPr>
      <w:r>
        <w:rPr>
          <w:rFonts w:cs="仿宋" w:asciiTheme="minorEastAsia" w:hAnsiTheme="minorEastAsia" w:eastAsiaTheme="minorEastAsia"/>
          <w:sz w:val="28"/>
          <w:szCs w:val="28"/>
        </w:rPr>
        <w:t>七、一般公共预算财政拨款“三公”经费支出决算表</w:t>
      </w:r>
    </w:p>
    <w:p>
      <w:pPr>
        <w:pStyle w:val="10"/>
        <w:ind w:firstLine="560" w:firstLineChars="200"/>
        <w:rPr>
          <w:rFonts w:cs="仿宋" w:asciiTheme="minorEastAsia" w:hAnsiTheme="minorEastAsia" w:eastAsiaTheme="minorEastAsia"/>
          <w:sz w:val="28"/>
          <w:szCs w:val="28"/>
        </w:rPr>
      </w:pPr>
      <w:r>
        <w:rPr>
          <w:rFonts w:cs="仿宋" w:asciiTheme="minorEastAsia" w:hAnsiTheme="minorEastAsia" w:eastAsiaTheme="minorEastAsia"/>
          <w:sz w:val="28"/>
          <w:szCs w:val="28"/>
        </w:rPr>
        <w:t>八、政府性基金预算财政拨款收入支出决算表</w:t>
      </w:r>
    </w:p>
    <w:p>
      <w:pPr>
        <w:pStyle w:val="10"/>
        <w:ind w:firstLine="560" w:firstLineChars="200"/>
        <w:rPr>
          <w:rFonts w:cs="仿宋" w:asciiTheme="minorEastAsia" w:hAnsiTheme="minorEastAsia" w:eastAsiaTheme="minorEastAsia"/>
          <w:sz w:val="28"/>
          <w:szCs w:val="28"/>
        </w:rPr>
      </w:pPr>
      <w:r>
        <w:rPr>
          <w:rFonts w:hint="eastAsia" w:cs="仿宋" w:asciiTheme="minorEastAsia" w:hAnsiTheme="minorEastAsia" w:eastAsiaTheme="minorEastAsia"/>
          <w:sz w:val="28"/>
          <w:szCs w:val="28"/>
        </w:rPr>
        <w:t>九、国有资本经营预算财政拨款支出决算表</w:t>
      </w:r>
    </w:p>
    <w:p>
      <w:pPr>
        <w:pStyle w:val="10"/>
        <w:ind w:firstLine="560" w:firstLineChars="200"/>
        <w:rPr>
          <w:rFonts w:ascii="仿宋_GB2312" w:hAnsi="仿宋_GB2312" w:cs="仿宋"/>
          <w:b/>
          <w:sz w:val="28"/>
          <w:szCs w:val="28"/>
        </w:rPr>
      </w:pPr>
      <w:r>
        <w:rPr>
          <w:rFonts w:hint="eastAsia" w:hAnsi="仿宋_GB2312" w:cs="仿宋"/>
          <w:b/>
          <w:sz w:val="28"/>
          <w:szCs w:val="28"/>
        </w:rPr>
        <w:t>第三部分</w:t>
      </w:r>
      <w:r>
        <w:rPr>
          <w:rFonts w:hAnsi="仿宋_GB2312" w:cs="仿宋"/>
          <w:b/>
          <w:sz w:val="28"/>
          <w:szCs w:val="28"/>
        </w:rPr>
        <w:t>20</w:t>
      </w:r>
      <w:r>
        <w:rPr>
          <w:rFonts w:hint="eastAsia" w:hAnsi="仿宋_GB2312" w:cs="仿宋"/>
          <w:b/>
          <w:sz w:val="28"/>
          <w:szCs w:val="28"/>
        </w:rPr>
        <w:t>21年度部门决算情况说明</w:t>
      </w:r>
    </w:p>
    <w:p>
      <w:pPr>
        <w:pStyle w:val="10"/>
        <w:ind w:firstLine="560" w:firstLineChars="200"/>
        <w:rPr>
          <w:rFonts w:cs="仿宋" w:asciiTheme="minorEastAsia" w:hAnsiTheme="minorEastAsia" w:eastAsiaTheme="minorEastAsia"/>
          <w:sz w:val="28"/>
          <w:szCs w:val="28"/>
        </w:rPr>
      </w:pPr>
      <w:r>
        <w:rPr>
          <w:rFonts w:cs="仿宋" w:asciiTheme="minorEastAsia" w:hAnsiTheme="minorEastAsia" w:eastAsiaTheme="minorEastAsia"/>
          <w:sz w:val="28"/>
          <w:szCs w:val="28"/>
        </w:rPr>
        <w:t>一、收入支出决算总体情况说明</w:t>
      </w:r>
    </w:p>
    <w:p>
      <w:pPr>
        <w:ind w:firstLine="560" w:firstLineChars="200"/>
        <w:jc w:val="left"/>
        <w:rPr>
          <w:rFonts w:ascii="仿宋_GB2312" w:hAnsi="仿宋_GB2312" w:cs="仿宋"/>
          <w:sz w:val="28"/>
          <w:szCs w:val="28"/>
        </w:rPr>
      </w:pPr>
      <w:r>
        <w:rPr>
          <w:rFonts w:ascii="仿宋_GB2312" w:hAnsi="仿宋_GB2312" w:cs="仿宋"/>
          <w:sz w:val="28"/>
          <w:szCs w:val="28"/>
        </w:rPr>
        <w:t>二、收入决算情况说明</w:t>
      </w:r>
    </w:p>
    <w:p>
      <w:pPr>
        <w:autoSpaceDE w:val="0"/>
        <w:autoSpaceDN w:val="0"/>
        <w:adjustRightInd w:val="0"/>
        <w:ind w:firstLine="560" w:firstLineChars="200"/>
        <w:jc w:val="left"/>
        <w:rPr>
          <w:rFonts w:ascii="仿宋_GB2312" w:hAnsi="仿宋_GB2312" w:cs="仿宋"/>
          <w:color w:val="000000"/>
          <w:kern w:val="0"/>
          <w:sz w:val="28"/>
          <w:szCs w:val="28"/>
        </w:rPr>
      </w:pPr>
      <w:r>
        <w:rPr>
          <w:rFonts w:ascii="仿宋_GB2312" w:hAnsi="仿宋_GB2312" w:cs="仿宋"/>
          <w:color w:val="000000"/>
          <w:kern w:val="0"/>
          <w:sz w:val="28"/>
          <w:szCs w:val="28"/>
        </w:rPr>
        <w:t>三、支出决算情况说明</w:t>
      </w:r>
    </w:p>
    <w:p>
      <w:pPr>
        <w:autoSpaceDE w:val="0"/>
        <w:autoSpaceDN w:val="0"/>
        <w:adjustRightInd w:val="0"/>
        <w:ind w:firstLine="560" w:firstLineChars="200"/>
        <w:jc w:val="left"/>
        <w:rPr>
          <w:rFonts w:ascii="仿宋_GB2312" w:hAnsi="仿宋_GB2312" w:cs="仿宋"/>
          <w:color w:val="000000"/>
          <w:kern w:val="0"/>
          <w:sz w:val="28"/>
          <w:szCs w:val="28"/>
        </w:rPr>
      </w:pPr>
      <w:r>
        <w:rPr>
          <w:rFonts w:ascii="仿宋_GB2312" w:hAnsi="仿宋_GB2312" w:cs="仿宋"/>
          <w:color w:val="000000"/>
          <w:kern w:val="0"/>
          <w:sz w:val="28"/>
          <w:szCs w:val="28"/>
        </w:rPr>
        <w:t>四、财政拨款收入支出决算总体情况说明</w:t>
      </w:r>
    </w:p>
    <w:p>
      <w:pPr>
        <w:autoSpaceDE w:val="0"/>
        <w:autoSpaceDN w:val="0"/>
        <w:adjustRightInd w:val="0"/>
        <w:ind w:firstLine="560" w:firstLineChars="200"/>
        <w:jc w:val="left"/>
        <w:rPr>
          <w:rFonts w:ascii="仿宋_GB2312" w:hAnsi="仿宋_GB2312" w:cs="仿宋"/>
          <w:color w:val="000000"/>
          <w:kern w:val="0"/>
          <w:sz w:val="28"/>
          <w:szCs w:val="28"/>
        </w:rPr>
      </w:pPr>
      <w:r>
        <w:rPr>
          <w:rFonts w:ascii="仿宋_GB2312" w:hAnsi="仿宋_GB2312" w:cs="仿宋"/>
          <w:color w:val="000000"/>
          <w:kern w:val="0"/>
          <w:sz w:val="28"/>
          <w:szCs w:val="28"/>
        </w:rPr>
        <w:t>五、一般公共预算财政拨款支出决算情况说明</w:t>
      </w:r>
    </w:p>
    <w:p>
      <w:pPr>
        <w:autoSpaceDE w:val="0"/>
        <w:autoSpaceDN w:val="0"/>
        <w:adjustRightInd w:val="0"/>
        <w:ind w:firstLine="560" w:firstLineChars="200"/>
        <w:jc w:val="left"/>
        <w:rPr>
          <w:rFonts w:ascii="仿宋_GB2312" w:hAnsi="仿宋_GB2312" w:cs="仿宋"/>
          <w:color w:val="000000"/>
          <w:kern w:val="0"/>
          <w:sz w:val="28"/>
          <w:szCs w:val="28"/>
        </w:rPr>
      </w:pPr>
      <w:r>
        <w:rPr>
          <w:rFonts w:ascii="仿宋_GB2312" w:hAnsi="仿宋_GB2312" w:cs="仿宋"/>
          <w:color w:val="000000"/>
          <w:kern w:val="0"/>
          <w:sz w:val="28"/>
          <w:szCs w:val="28"/>
        </w:rPr>
        <w:t>六、一般公共预算财政拨款基本支出决算情况说明</w:t>
      </w:r>
    </w:p>
    <w:p>
      <w:pPr>
        <w:autoSpaceDE w:val="0"/>
        <w:autoSpaceDN w:val="0"/>
        <w:adjustRightInd w:val="0"/>
        <w:ind w:firstLine="560" w:firstLineChars="200"/>
        <w:jc w:val="left"/>
        <w:rPr>
          <w:rFonts w:ascii="仿宋_GB2312" w:hAnsi="仿宋_GB2312" w:cs="仿宋"/>
          <w:color w:val="000000"/>
          <w:kern w:val="0"/>
          <w:sz w:val="28"/>
          <w:szCs w:val="28"/>
        </w:rPr>
      </w:pPr>
      <w:r>
        <w:rPr>
          <w:rFonts w:ascii="仿宋_GB2312" w:hAnsi="仿宋_GB2312" w:cs="仿宋"/>
          <w:color w:val="000000"/>
          <w:kern w:val="0"/>
          <w:sz w:val="28"/>
          <w:szCs w:val="28"/>
        </w:rPr>
        <w:t>七、一般公共预算财政拨款</w:t>
      </w:r>
      <w:r>
        <w:rPr>
          <w:rFonts w:hint="eastAsia" w:ascii="仿宋_GB2312" w:hAnsi="仿宋_GB2312" w:cs="仿宋"/>
          <w:color w:val="000000"/>
          <w:kern w:val="0"/>
          <w:sz w:val="28"/>
          <w:szCs w:val="28"/>
        </w:rPr>
        <w:t>“</w:t>
      </w:r>
      <w:r>
        <w:rPr>
          <w:rFonts w:ascii="仿宋_GB2312" w:hAnsi="仿宋_GB2312" w:cs="仿宋"/>
          <w:color w:val="000000"/>
          <w:kern w:val="0"/>
          <w:sz w:val="28"/>
          <w:szCs w:val="28"/>
        </w:rPr>
        <w:t>三公</w:t>
      </w:r>
      <w:r>
        <w:rPr>
          <w:rFonts w:hint="eastAsia" w:ascii="仿宋_GB2312" w:hAnsi="仿宋_GB2312" w:cs="仿宋"/>
          <w:color w:val="000000"/>
          <w:kern w:val="0"/>
          <w:sz w:val="28"/>
          <w:szCs w:val="28"/>
        </w:rPr>
        <w:t>”</w:t>
      </w:r>
      <w:r>
        <w:rPr>
          <w:rFonts w:ascii="仿宋_GB2312" w:hAnsi="仿宋_GB2312" w:cs="仿宋"/>
          <w:color w:val="000000"/>
          <w:kern w:val="0"/>
          <w:sz w:val="28"/>
          <w:szCs w:val="28"/>
        </w:rPr>
        <w:t>经费支出决算情况说明</w:t>
      </w:r>
    </w:p>
    <w:p>
      <w:pPr>
        <w:autoSpaceDE w:val="0"/>
        <w:autoSpaceDN w:val="0"/>
        <w:adjustRightInd w:val="0"/>
        <w:ind w:firstLine="560" w:firstLineChars="200"/>
        <w:jc w:val="left"/>
        <w:rPr>
          <w:rFonts w:ascii="仿宋_GB2312" w:hAnsi="仿宋_GB2312" w:cs="仿宋"/>
          <w:color w:val="000000"/>
          <w:kern w:val="0"/>
          <w:sz w:val="28"/>
          <w:szCs w:val="28"/>
        </w:rPr>
      </w:pPr>
      <w:r>
        <w:rPr>
          <w:rFonts w:hint="eastAsia" w:ascii="仿宋_GB2312" w:hAnsi="仿宋_GB2312" w:cs="仿宋"/>
          <w:color w:val="000000"/>
          <w:kern w:val="0"/>
          <w:sz w:val="28"/>
          <w:szCs w:val="28"/>
        </w:rPr>
        <w:t>八</w:t>
      </w:r>
      <w:r>
        <w:rPr>
          <w:rFonts w:ascii="仿宋_GB2312" w:hAnsi="仿宋_GB2312" w:cs="仿宋"/>
          <w:color w:val="000000"/>
          <w:kern w:val="0"/>
          <w:sz w:val="28"/>
          <w:szCs w:val="28"/>
        </w:rPr>
        <w:t>、</w:t>
      </w:r>
      <w:r>
        <w:rPr>
          <w:rFonts w:hint="eastAsia" w:ascii="仿宋_GB2312" w:hAnsi="仿宋_GB2312" w:cs="仿宋"/>
          <w:color w:val="000000"/>
          <w:kern w:val="0"/>
          <w:sz w:val="28"/>
          <w:szCs w:val="28"/>
        </w:rPr>
        <w:t>政府性基金预算收入支出决算情况</w:t>
      </w:r>
    </w:p>
    <w:p>
      <w:pPr>
        <w:autoSpaceDE w:val="0"/>
        <w:autoSpaceDN w:val="0"/>
        <w:adjustRightInd w:val="0"/>
        <w:ind w:firstLine="560" w:firstLineChars="200"/>
        <w:jc w:val="left"/>
        <w:rPr>
          <w:rFonts w:cs="仿宋" w:asciiTheme="minorEastAsia" w:hAnsiTheme="minorEastAsia"/>
          <w:sz w:val="28"/>
          <w:szCs w:val="28"/>
        </w:rPr>
      </w:pPr>
      <w:r>
        <w:rPr>
          <w:rFonts w:hint="eastAsia" w:ascii="仿宋_GB2312" w:hAnsi="仿宋_GB2312" w:cs="仿宋"/>
          <w:color w:val="000000"/>
          <w:kern w:val="0"/>
          <w:sz w:val="28"/>
          <w:szCs w:val="28"/>
        </w:rPr>
        <w:t>九、</w:t>
      </w:r>
      <w:r>
        <w:rPr>
          <w:rFonts w:hint="eastAsia" w:cs="仿宋" w:asciiTheme="minorEastAsia" w:hAnsiTheme="minorEastAsia"/>
          <w:sz w:val="28"/>
          <w:szCs w:val="28"/>
        </w:rPr>
        <w:t>国有资本经营预算财政拨款收支决算情况</w:t>
      </w:r>
    </w:p>
    <w:p>
      <w:pPr>
        <w:autoSpaceDE w:val="0"/>
        <w:autoSpaceDN w:val="0"/>
        <w:adjustRightInd w:val="0"/>
        <w:ind w:firstLine="560" w:firstLineChars="200"/>
        <w:jc w:val="left"/>
        <w:rPr>
          <w:rFonts w:ascii="仿宋_GB2312" w:hAnsi="仿宋_GB2312" w:cs="仿宋"/>
          <w:color w:val="000000"/>
          <w:kern w:val="0"/>
          <w:sz w:val="28"/>
          <w:szCs w:val="28"/>
        </w:rPr>
      </w:pPr>
      <w:r>
        <w:rPr>
          <w:rFonts w:hint="eastAsia" w:ascii="仿宋_GB2312" w:hAnsi="仿宋_GB2312" w:cs="仿宋"/>
          <w:color w:val="000000"/>
          <w:kern w:val="0"/>
          <w:sz w:val="28"/>
          <w:szCs w:val="28"/>
        </w:rPr>
        <w:t>十</w:t>
      </w:r>
      <w:r>
        <w:rPr>
          <w:rFonts w:ascii="仿宋_GB2312" w:hAnsi="仿宋_GB2312" w:cs="仿宋"/>
          <w:color w:val="000000"/>
          <w:kern w:val="0"/>
          <w:sz w:val="28"/>
          <w:szCs w:val="28"/>
        </w:rPr>
        <w:t>、</w:t>
      </w:r>
      <w:r>
        <w:rPr>
          <w:rFonts w:hint="eastAsia" w:ascii="仿宋_GB2312" w:hAnsi="仿宋_GB2312" w:cs="仿宋"/>
          <w:color w:val="000000"/>
          <w:kern w:val="0"/>
          <w:sz w:val="28"/>
          <w:szCs w:val="28"/>
        </w:rPr>
        <w:t>机关运行经费支出说明</w:t>
      </w:r>
    </w:p>
    <w:p>
      <w:pPr>
        <w:autoSpaceDE w:val="0"/>
        <w:autoSpaceDN w:val="0"/>
        <w:adjustRightInd w:val="0"/>
        <w:ind w:firstLine="560" w:firstLineChars="200"/>
        <w:jc w:val="left"/>
        <w:rPr>
          <w:rFonts w:ascii="仿宋_GB2312" w:hAnsi="仿宋_GB2312" w:cs="仿宋"/>
          <w:color w:val="000000"/>
          <w:kern w:val="0"/>
          <w:sz w:val="28"/>
          <w:szCs w:val="28"/>
        </w:rPr>
      </w:pPr>
      <w:r>
        <w:rPr>
          <w:rFonts w:hint="eastAsia" w:ascii="仿宋_GB2312" w:hAnsi="仿宋_GB2312" w:cs="仿宋"/>
          <w:color w:val="000000"/>
          <w:kern w:val="0"/>
          <w:sz w:val="28"/>
          <w:szCs w:val="28"/>
        </w:rPr>
        <w:t>十一、一般性支出情况说明</w:t>
      </w:r>
    </w:p>
    <w:p>
      <w:pPr>
        <w:autoSpaceDE w:val="0"/>
        <w:autoSpaceDN w:val="0"/>
        <w:adjustRightInd w:val="0"/>
        <w:ind w:firstLine="560" w:firstLineChars="200"/>
        <w:jc w:val="left"/>
        <w:rPr>
          <w:rFonts w:ascii="仿宋_GB2312" w:hAnsi="仿宋_GB2312" w:cs="仿宋"/>
          <w:color w:val="000000"/>
          <w:kern w:val="0"/>
          <w:sz w:val="28"/>
          <w:szCs w:val="28"/>
        </w:rPr>
      </w:pPr>
      <w:r>
        <w:rPr>
          <w:rFonts w:hint="eastAsia" w:ascii="仿宋_GB2312" w:hAnsi="仿宋_GB2312" w:cs="仿宋"/>
          <w:color w:val="000000"/>
          <w:kern w:val="0"/>
          <w:sz w:val="28"/>
          <w:szCs w:val="28"/>
        </w:rPr>
        <w:t>十二、政府采购支出说明</w:t>
      </w:r>
    </w:p>
    <w:p>
      <w:pPr>
        <w:pStyle w:val="10"/>
        <w:ind w:firstLine="560" w:firstLineChars="200"/>
        <w:rPr>
          <w:rFonts w:ascii="仿宋_GB2312" w:hAnsi="仿宋_GB2312" w:cs="仿宋" w:eastAsiaTheme="minorEastAsia"/>
          <w:sz w:val="28"/>
          <w:szCs w:val="28"/>
        </w:rPr>
      </w:pPr>
      <w:r>
        <w:rPr>
          <w:rFonts w:hint="eastAsia" w:ascii="仿宋_GB2312" w:hAnsi="仿宋_GB2312" w:cs="仿宋" w:eastAsiaTheme="minorEastAsia"/>
          <w:sz w:val="28"/>
          <w:szCs w:val="28"/>
        </w:rPr>
        <w:t>十三、国有资产占用情况说明</w:t>
      </w:r>
    </w:p>
    <w:p>
      <w:pPr>
        <w:pStyle w:val="10"/>
        <w:ind w:firstLine="560" w:firstLineChars="200"/>
        <w:rPr>
          <w:rFonts w:ascii="仿宋_GB2312" w:hAnsi="仿宋_GB2312" w:cs="仿宋" w:eastAsiaTheme="minorEastAsia"/>
          <w:sz w:val="28"/>
          <w:szCs w:val="28"/>
        </w:rPr>
      </w:pPr>
      <w:r>
        <w:rPr>
          <w:rFonts w:hint="eastAsia" w:ascii="仿宋_GB2312" w:hAnsi="仿宋_GB2312" w:cs="仿宋" w:eastAsiaTheme="minorEastAsia"/>
          <w:sz w:val="28"/>
          <w:szCs w:val="28"/>
        </w:rPr>
        <w:t>十四、</w:t>
      </w:r>
      <w:r>
        <w:rPr>
          <w:rFonts w:hint="eastAsia" w:cs="仿宋" w:asciiTheme="minorEastAsia" w:hAnsiTheme="minorEastAsia" w:eastAsiaTheme="minorEastAsia"/>
          <w:sz w:val="28"/>
          <w:szCs w:val="28"/>
        </w:rPr>
        <w:t>2021年</w:t>
      </w:r>
      <w:r>
        <w:rPr>
          <w:rFonts w:hint="eastAsia" w:ascii="仿宋_GB2312" w:hAnsi="仿宋_GB2312" w:cs="仿宋" w:eastAsiaTheme="minorEastAsia"/>
          <w:sz w:val="28"/>
          <w:szCs w:val="28"/>
        </w:rPr>
        <w:t>度预算绩效情况说明</w:t>
      </w:r>
    </w:p>
    <w:p>
      <w:pPr>
        <w:autoSpaceDE w:val="0"/>
        <w:autoSpaceDN w:val="0"/>
        <w:adjustRightInd w:val="0"/>
        <w:ind w:firstLine="560" w:firstLineChars="200"/>
        <w:jc w:val="left"/>
        <w:rPr>
          <w:rFonts w:ascii="黑体" w:hAnsi="黑体" w:eastAsia="黑体" w:cs="仿宋"/>
          <w:b/>
          <w:color w:val="000000"/>
          <w:kern w:val="0"/>
          <w:sz w:val="28"/>
          <w:szCs w:val="28"/>
        </w:rPr>
      </w:pPr>
      <w:r>
        <w:rPr>
          <w:rFonts w:ascii="黑体" w:hAnsi="黑体" w:eastAsia="黑体" w:cs="仿宋"/>
          <w:b/>
          <w:color w:val="000000"/>
          <w:kern w:val="0"/>
          <w:sz w:val="28"/>
          <w:szCs w:val="28"/>
        </w:rPr>
        <w:t>第四部分名词解释</w:t>
      </w:r>
    </w:p>
    <w:p>
      <w:pPr>
        <w:autoSpaceDE w:val="0"/>
        <w:autoSpaceDN w:val="0"/>
        <w:adjustRightInd w:val="0"/>
        <w:ind w:firstLine="560" w:firstLineChars="200"/>
        <w:jc w:val="left"/>
        <w:rPr>
          <w:rFonts w:ascii="黑体" w:hAnsi="黑体" w:eastAsia="黑体" w:cs="仿宋"/>
          <w:b/>
          <w:color w:val="000000"/>
          <w:kern w:val="0"/>
          <w:sz w:val="28"/>
          <w:szCs w:val="28"/>
        </w:rPr>
      </w:pPr>
      <w:r>
        <w:rPr>
          <w:rFonts w:hint="eastAsia" w:ascii="黑体" w:hAnsi="黑体" w:eastAsia="黑体" w:cs="仿宋"/>
          <w:b/>
          <w:color w:val="000000"/>
          <w:kern w:val="0"/>
          <w:sz w:val="28"/>
          <w:szCs w:val="28"/>
        </w:rPr>
        <w:t>第五部分附件</w:t>
      </w:r>
    </w:p>
    <w:p>
      <w:pPr>
        <w:ind w:firstLine="1440" w:firstLineChars="200"/>
        <w:jc w:val="left"/>
        <w:rPr>
          <w:rFonts w:cs="仿宋"/>
          <w:sz w:val="72"/>
          <w:szCs w:val="72"/>
        </w:rPr>
      </w:pPr>
    </w:p>
    <w:p>
      <w:pPr>
        <w:ind w:firstLine="1440" w:firstLineChars="200"/>
        <w:jc w:val="left"/>
        <w:rPr>
          <w:rFonts w:cs="仿宋"/>
          <w:sz w:val="72"/>
          <w:szCs w:val="72"/>
        </w:rPr>
      </w:pPr>
    </w:p>
    <w:p>
      <w:pPr>
        <w:ind w:firstLine="1440" w:firstLineChars="200"/>
        <w:jc w:val="left"/>
        <w:rPr>
          <w:rFonts w:cs="仿宋"/>
          <w:sz w:val="72"/>
          <w:szCs w:val="72"/>
        </w:rPr>
      </w:pPr>
    </w:p>
    <w:p>
      <w:pPr>
        <w:ind w:firstLine="1440" w:firstLineChars="200"/>
        <w:jc w:val="left"/>
        <w:rPr>
          <w:rFonts w:cs="仿宋"/>
          <w:sz w:val="72"/>
          <w:szCs w:val="72"/>
        </w:rPr>
      </w:pPr>
    </w:p>
    <w:p>
      <w:pPr>
        <w:ind w:firstLine="1440" w:firstLineChars="200"/>
        <w:jc w:val="left"/>
        <w:rPr>
          <w:rFonts w:cs="仿宋"/>
          <w:sz w:val="72"/>
          <w:szCs w:val="72"/>
        </w:rPr>
      </w:pPr>
    </w:p>
    <w:p>
      <w:pPr>
        <w:ind w:firstLine="1440" w:firstLineChars="200"/>
        <w:jc w:val="left"/>
        <w:rPr>
          <w:rFonts w:cs="仿宋"/>
          <w:sz w:val="72"/>
          <w:szCs w:val="72"/>
        </w:rPr>
      </w:pPr>
    </w:p>
    <w:p>
      <w:pPr>
        <w:ind w:firstLine="1440" w:firstLineChars="200"/>
        <w:jc w:val="left"/>
        <w:rPr>
          <w:rFonts w:cs="仿宋"/>
          <w:sz w:val="72"/>
          <w:szCs w:val="72"/>
        </w:rPr>
      </w:pPr>
    </w:p>
    <w:p>
      <w:pPr>
        <w:ind w:firstLine="1440" w:firstLineChars="200"/>
        <w:jc w:val="left"/>
        <w:rPr>
          <w:rFonts w:cs="仿宋"/>
          <w:sz w:val="72"/>
          <w:szCs w:val="72"/>
        </w:rPr>
      </w:pPr>
    </w:p>
    <w:p>
      <w:pPr>
        <w:ind w:firstLine="1440" w:firstLineChars="200"/>
        <w:jc w:val="left"/>
        <w:rPr>
          <w:rFonts w:cs="仿宋"/>
          <w:sz w:val="72"/>
          <w:szCs w:val="72"/>
        </w:rPr>
      </w:pPr>
    </w:p>
    <w:p>
      <w:pPr>
        <w:ind w:firstLine="1440" w:firstLineChars="200"/>
        <w:jc w:val="left"/>
        <w:rPr>
          <w:rFonts w:cs="仿宋"/>
          <w:sz w:val="72"/>
          <w:szCs w:val="72"/>
        </w:rPr>
      </w:pPr>
    </w:p>
    <w:p>
      <w:pPr>
        <w:pStyle w:val="10"/>
        <w:jc w:val="center"/>
        <w:rPr>
          <w:rFonts w:cs="仿宋"/>
          <w:sz w:val="84"/>
          <w:szCs w:val="84"/>
        </w:rPr>
      </w:pPr>
    </w:p>
    <w:p>
      <w:pPr>
        <w:pStyle w:val="10"/>
        <w:jc w:val="center"/>
        <w:rPr>
          <w:rFonts w:cs="仿宋"/>
          <w:sz w:val="84"/>
          <w:szCs w:val="84"/>
        </w:rPr>
      </w:pPr>
    </w:p>
    <w:p>
      <w:pPr>
        <w:pStyle w:val="10"/>
        <w:jc w:val="center"/>
        <w:rPr>
          <w:rFonts w:cs="仿宋"/>
          <w:sz w:val="84"/>
          <w:szCs w:val="84"/>
        </w:rPr>
      </w:pPr>
      <w:r>
        <w:rPr>
          <w:rFonts w:hint="eastAsia" w:cs="仿宋"/>
          <w:sz w:val="84"/>
          <w:szCs w:val="84"/>
        </w:rPr>
        <w:t>第一部分</w:t>
      </w:r>
    </w:p>
    <w:p>
      <w:pPr>
        <w:pStyle w:val="10"/>
        <w:jc w:val="center"/>
        <w:rPr>
          <w:rFonts w:cs="仿宋"/>
          <w:sz w:val="84"/>
          <w:szCs w:val="84"/>
        </w:rPr>
      </w:pPr>
    </w:p>
    <w:p>
      <w:pPr>
        <w:pStyle w:val="10"/>
        <w:jc w:val="center"/>
        <w:rPr>
          <w:rFonts w:cs="仿宋"/>
          <w:sz w:val="84"/>
          <w:szCs w:val="84"/>
        </w:rPr>
      </w:pPr>
      <w:r>
        <w:rPr>
          <w:rFonts w:hint="eastAsia" w:cs="仿宋"/>
          <w:sz w:val="84"/>
          <w:szCs w:val="84"/>
          <w:lang w:val="en-US" w:eastAsia="zh-CN"/>
        </w:rPr>
        <w:t>怀化市</w:t>
      </w:r>
      <w:r>
        <w:rPr>
          <w:rFonts w:hint="eastAsia" w:cs="仿宋"/>
          <w:sz w:val="84"/>
          <w:szCs w:val="84"/>
        </w:rPr>
        <w:t>鹤城区红十字会单位概况</w:t>
      </w:r>
    </w:p>
    <w:p>
      <w:pPr>
        <w:ind w:firstLine="1440" w:firstLineChars="200"/>
        <w:jc w:val="left"/>
        <w:rPr>
          <w:rFonts w:cs="仿宋"/>
          <w:sz w:val="72"/>
          <w:szCs w:val="72"/>
        </w:rPr>
      </w:pPr>
    </w:p>
    <w:p>
      <w:pPr>
        <w:ind w:firstLine="1440" w:firstLineChars="200"/>
        <w:jc w:val="left"/>
        <w:rPr>
          <w:rFonts w:cs="仿宋"/>
          <w:sz w:val="72"/>
          <w:szCs w:val="72"/>
        </w:rPr>
      </w:pPr>
    </w:p>
    <w:p>
      <w:pPr>
        <w:ind w:firstLine="1440" w:firstLineChars="200"/>
        <w:jc w:val="left"/>
        <w:rPr>
          <w:rFonts w:cs="仿宋"/>
          <w:sz w:val="72"/>
          <w:szCs w:val="72"/>
        </w:rPr>
      </w:pPr>
    </w:p>
    <w:p>
      <w:pPr>
        <w:ind w:firstLine="1440" w:firstLineChars="200"/>
        <w:jc w:val="left"/>
        <w:rPr>
          <w:rFonts w:cs="仿宋"/>
          <w:sz w:val="72"/>
          <w:szCs w:val="72"/>
        </w:rPr>
      </w:pPr>
    </w:p>
    <w:p>
      <w:pPr>
        <w:pStyle w:val="11"/>
        <w:ind w:firstLine="0" w:firstLineChars="0"/>
        <w:jc w:val="left"/>
        <w:rPr>
          <w:rFonts w:ascii="黑体" w:hAnsi="黑体" w:eastAsia="黑体" w:cs="仿宋"/>
          <w:sz w:val="32"/>
          <w:szCs w:val="32"/>
        </w:rPr>
      </w:pPr>
    </w:p>
    <w:p>
      <w:pPr>
        <w:widowControl/>
        <w:ind w:firstLine="640" w:firstLineChars="200"/>
        <w:jc w:val="left"/>
        <w:rPr>
          <w:rFonts w:hint="eastAsia" w:ascii="黑体" w:hAnsi="黑体" w:eastAsia="黑体" w:cs="仿宋"/>
          <w:b/>
          <w:bCs w:val="0"/>
          <w:kern w:val="0"/>
          <w:sz w:val="32"/>
          <w:szCs w:val="32"/>
        </w:rPr>
      </w:pPr>
      <w:r>
        <w:rPr>
          <w:rFonts w:hint="eastAsia" w:ascii="黑体" w:hAnsi="黑体" w:eastAsia="黑体" w:cs="仿宋"/>
          <w:b/>
          <w:bCs w:val="0"/>
          <w:kern w:val="0"/>
          <w:sz w:val="32"/>
          <w:szCs w:val="32"/>
        </w:rPr>
        <w:t>一、部门职责</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hint="eastAsia" w:cs="仿宋" w:asciiTheme="minorEastAsia" w:hAnsiTheme="minorEastAsia" w:eastAsiaTheme="minorEastAsia"/>
          <w:sz w:val="32"/>
          <w:szCs w:val="32"/>
          <w:lang w:val="en-US" w:eastAsia="zh-CN"/>
        </w:rPr>
      </w:pPr>
      <w:r>
        <w:rPr>
          <w:rFonts w:hint="eastAsia" w:cs="仿宋" w:asciiTheme="minorEastAsia" w:hAnsiTheme="minorEastAsia" w:eastAsiaTheme="minorEastAsia"/>
          <w:sz w:val="32"/>
          <w:szCs w:val="32"/>
          <w:lang w:val="en-US" w:eastAsia="zh-CN"/>
        </w:rPr>
        <w:t>（一）鹤城区红十字会负责发展红十字会基层组织，开展备灾救灾和社会性救助工作；</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hint="eastAsia" w:cs="仿宋" w:asciiTheme="minorEastAsia" w:hAnsiTheme="minorEastAsia" w:eastAsiaTheme="minorEastAsia"/>
          <w:sz w:val="32"/>
          <w:szCs w:val="32"/>
          <w:lang w:val="en-US" w:eastAsia="zh-CN"/>
        </w:rPr>
      </w:pPr>
      <w:r>
        <w:rPr>
          <w:rFonts w:hint="eastAsia" w:cs="仿宋" w:asciiTheme="minorEastAsia" w:hAnsiTheme="minorEastAsia" w:eastAsiaTheme="minorEastAsia"/>
          <w:sz w:val="32"/>
          <w:szCs w:val="32"/>
          <w:lang w:val="en-US" w:eastAsia="zh-CN"/>
        </w:rPr>
        <w:t>（二）组织献血宣传和卫生救护、发展红会青少年工作，救灾物资接运管理与发放，备灾募捐与医疗服务；</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hint="eastAsia" w:cs="仿宋" w:asciiTheme="minorEastAsia" w:hAnsiTheme="minorEastAsia" w:eastAsiaTheme="minorEastAsia"/>
          <w:sz w:val="32"/>
          <w:szCs w:val="32"/>
          <w:lang w:val="en-US" w:eastAsia="zh-CN"/>
        </w:rPr>
      </w:pPr>
      <w:r>
        <w:rPr>
          <w:rFonts w:hint="eastAsia" w:cs="仿宋" w:asciiTheme="minorEastAsia" w:hAnsiTheme="minorEastAsia" w:eastAsiaTheme="minorEastAsia"/>
          <w:sz w:val="32"/>
          <w:szCs w:val="32"/>
          <w:lang w:val="en-US" w:eastAsia="zh-CN"/>
        </w:rPr>
        <w:t>（三）红十字会业务培训。</w:t>
      </w:r>
    </w:p>
    <w:p>
      <w:pPr>
        <w:widowControl/>
        <w:ind w:firstLine="640" w:firstLineChars="200"/>
        <w:jc w:val="left"/>
        <w:rPr>
          <w:rFonts w:ascii="黑体" w:hAnsi="黑体" w:eastAsia="黑体" w:cs="仿宋"/>
          <w:b/>
          <w:bCs w:val="0"/>
          <w:kern w:val="0"/>
          <w:sz w:val="32"/>
          <w:szCs w:val="32"/>
        </w:rPr>
      </w:pPr>
      <w:r>
        <w:rPr>
          <w:rFonts w:hint="eastAsia" w:ascii="黑体" w:hAnsi="黑体" w:eastAsia="黑体" w:cs="仿宋"/>
          <w:b/>
          <w:bCs w:val="0"/>
          <w:kern w:val="0"/>
          <w:sz w:val="32"/>
          <w:szCs w:val="32"/>
        </w:rPr>
        <w:t>二、机构设置及决算单位构成</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hint="eastAsia" w:cs="仿宋" w:asciiTheme="minorEastAsia" w:hAnsiTheme="minorEastAsia" w:eastAsiaTheme="minorEastAsia"/>
          <w:sz w:val="32"/>
          <w:szCs w:val="32"/>
          <w:lang w:val="en-US" w:eastAsia="zh-CN"/>
        </w:rPr>
      </w:pPr>
      <w:r>
        <w:rPr>
          <w:rFonts w:hint="eastAsia" w:cs="仿宋" w:asciiTheme="minorEastAsia" w:hAnsiTheme="minorEastAsia" w:eastAsiaTheme="minorEastAsia"/>
          <w:sz w:val="32"/>
          <w:szCs w:val="32"/>
          <w:lang w:val="en-US" w:eastAsia="zh-CN"/>
        </w:rPr>
        <w:t>（一）内设机构设置。</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hint="eastAsia" w:cs="仿宋" w:asciiTheme="minorEastAsia" w:hAnsiTheme="minorEastAsia" w:eastAsiaTheme="minorEastAsia"/>
          <w:sz w:val="32"/>
          <w:szCs w:val="32"/>
          <w:lang w:val="en-US" w:eastAsia="zh-CN"/>
        </w:rPr>
      </w:pPr>
      <w:r>
        <w:rPr>
          <w:rFonts w:hint="eastAsia" w:cs="仿宋" w:asciiTheme="minorEastAsia" w:hAnsiTheme="minorEastAsia" w:eastAsiaTheme="minorEastAsia"/>
          <w:sz w:val="32"/>
          <w:szCs w:val="32"/>
          <w:lang w:val="en-US" w:eastAsia="zh-CN"/>
        </w:rPr>
        <w:t>鹤城区红十字会作为一级部门预算单位，内设4个股室：综合办公室、财务信息室、业务股、备灾中心。现有编制数16人（其中：参照公务员管理编制6人，事业编制10人）。单位实有人员19人，其中：在职13人（全额拨款人员13人），离（退）休人员6人（退休6人）。</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hint="eastAsia" w:cs="仿宋" w:asciiTheme="minorEastAsia" w:hAnsiTheme="minorEastAsia" w:eastAsiaTheme="minorEastAsia"/>
          <w:sz w:val="32"/>
          <w:szCs w:val="32"/>
          <w:lang w:val="en-US" w:eastAsia="zh-CN"/>
        </w:rPr>
      </w:pPr>
      <w:r>
        <w:rPr>
          <w:rFonts w:hint="eastAsia" w:cs="仿宋" w:asciiTheme="minorEastAsia" w:hAnsiTheme="minorEastAsia" w:eastAsiaTheme="minorEastAsia"/>
          <w:sz w:val="32"/>
          <w:szCs w:val="32"/>
          <w:lang w:val="en-US" w:eastAsia="zh-CN"/>
        </w:rPr>
        <w:t>（二）决算单位构成。</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hint="eastAsia" w:cs="仿宋" w:asciiTheme="minorEastAsia" w:hAnsiTheme="minorEastAsia" w:eastAsiaTheme="minorEastAsia"/>
          <w:sz w:val="32"/>
          <w:szCs w:val="32"/>
          <w:lang w:val="en-US" w:eastAsia="zh-CN"/>
        </w:rPr>
      </w:pPr>
      <w:r>
        <w:rPr>
          <w:rFonts w:hint="eastAsia" w:cs="仿宋" w:asciiTheme="minorEastAsia" w:hAnsiTheme="minorEastAsia" w:eastAsiaTheme="minorEastAsia"/>
          <w:sz w:val="32"/>
          <w:szCs w:val="32"/>
          <w:lang w:val="en-US" w:eastAsia="zh-CN"/>
        </w:rPr>
        <w:t>鹤城区红十字会2021年部门决算汇总公开单位构成包括：</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hint="eastAsia" w:cs="仿宋" w:asciiTheme="minorEastAsia" w:hAnsiTheme="minorEastAsia" w:eastAsiaTheme="minorEastAsia"/>
          <w:sz w:val="32"/>
          <w:szCs w:val="32"/>
          <w:lang w:val="en-US" w:eastAsia="zh-CN"/>
        </w:rPr>
      </w:pPr>
      <w:r>
        <w:rPr>
          <w:rFonts w:hint="eastAsia" w:cs="仿宋" w:asciiTheme="minorEastAsia" w:hAnsiTheme="minorEastAsia" w:eastAsiaTheme="minorEastAsia"/>
          <w:sz w:val="32"/>
          <w:szCs w:val="32"/>
          <w:lang w:val="en-US" w:eastAsia="zh-CN"/>
        </w:rPr>
        <w:t>1、红十字会部门本级。</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hint="eastAsia" w:cs="仿宋" w:asciiTheme="minorEastAsia" w:hAnsiTheme="minorEastAsia" w:eastAsiaTheme="minorEastAsia"/>
          <w:sz w:val="32"/>
          <w:szCs w:val="32"/>
          <w:lang w:val="en-US" w:eastAsia="zh-CN"/>
        </w:rPr>
      </w:pPr>
      <w:r>
        <w:rPr>
          <w:rFonts w:hint="eastAsia" w:cs="仿宋" w:asciiTheme="minorEastAsia" w:hAnsiTheme="minorEastAsia" w:eastAsiaTheme="minorEastAsia"/>
          <w:sz w:val="32"/>
          <w:szCs w:val="32"/>
          <w:lang w:val="en-US" w:eastAsia="zh-CN"/>
        </w:rPr>
        <w:t>2、下属红十字备灾中心一个二级机构，二级机构没有实行财务独立核算。</w:t>
      </w:r>
    </w:p>
    <w:p>
      <w:pPr>
        <w:ind w:firstLine="560" w:firstLineChars="200"/>
        <w:jc w:val="left"/>
        <w:rPr>
          <w:rFonts w:ascii="仿宋_GB2312" w:eastAsia="仿宋_GB2312" w:cs="仿宋" w:hAnsiTheme="minorEastAsia"/>
          <w:sz w:val="28"/>
          <w:szCs w:val="32"/>
        </w:rPr>
      </w:pPr>
    </w:p>
    <w:p>
      <w:pPr>
        <w:ind w:firstLine="560" w:firstLineChars="200"/>
        <w:jc w:val="left"/>
        <w:rPr>
          <w:rFonts w:ascii="黑体" w:hAnsi="黑体" w:eastAsia="黑体" w:cs="仿宋"/>
          <w:sz w:val="28"/>
          <w:szCs w:val="28"/>
        </w:rPr>
      </w:pPr>
    </w:p>
    <w:p>
      <w:pPr>
        <w:ind w:firstLine="560" w:firstLineChars="200"/>
        <w:jc w:val="left"/>
        <w:rPr>
          <w:rFonts w:ascii="黑体" w:hAnsi="黑体" w:eastAsia="黑体" w:cs="仿宋"/>
          <w:sz w:val="28"/>
          <w:szCs w:val="28"/>
        </w:rPr>
      </w:pPr>
    </w:p>
    <w:p>
      <w:pPr>
        <w:ind w:firstLine="560" w:firstLineChars="200"/>
        <w:jc w:val="left"/>
        <w:rPr>
          <w:rFonts w:ascii="黑体" w:hAnsi="黑体" w:eastAsia="黑体" w:cs="仿宋"/>
          <w:sz w:val="28"/>
          <w:szCs w:val="28"/>
        </w:rPr>
      </w:pPr>
    </w:p>
    <w:p>
      <w:pPr>
        <w:ind w:firstLine="560" w:firstLineChars="200"/>
        <w:jc w:val="left"/>
        <w:rPr>
          <w:rFonts w:ascii="黑体" w:hAnsi="黑体" w:eastAsia="黑体" w:cs="仿宋"/>
          <w:sz w:val="28"/>
          <w:szCs w:val="28"/>
        </w:rPr>
      </w:pPr>
    </w:p>
    <w:p>
      <w:pPr>
        <w:ind w:firstLine="560" w:firstLineChars="200"/>
        <w:jc w:val="left"/>
        <w:rPr>
          <w:rFonts w:ascii="黑体" w:hAnsi="黑体" w:eastAsia="黑体" w:cs="仿宋"/>
          <w:sz w:val="28"/>
          <w:szCs w:val="28"/>
        </w:rPr>
      </w:pPr>
    </w:p>
    <w:p>
      <w:pPr>
        <w:ind w:firstLine="560" w:firstLineChars="200"/>
        <w:jc w:val="left"/>
        <w:rPr>
          <w:rFonts w:ascii="黑体" w:hAnsi="黑体" w:eastAsia="黑体" w:cs="仿宋"/>
          <w:sz w:val="28"/>
          <w:szCs w:val="28"/>
        </w:rPr>
      </w:pPr>
    </w:p>
    <w:p>
      <w:pPr>
        <w:ind w:firstLine="560" w:firstLineChars="200"/>
        <w:jc w:val="left"/>
        <w:rPr>
          <w:rFonts w:ascii="黑体" w:hAnsi="黑体" w:eastAsia="黑体" w:cs="仿宋"/>
          <w:sz w:val="28"/>
          <w:szCs w:val="28"/>
        </w:rPr>
      </w:pPr>
    </w:p>
    <w:p>
      <w:pPr>
        <w:ind w:firstLine="1440" w:firstLineChars="200"/>
        <w:jc w:val="left"/>
        <w:rPr>
          <w:rFonts w:cs="仿宋"/>
          <w:sz w:val="72"/>
          <w:szCs w:val="72"/>
        </w:rPr>
      </w:pPr>
    </w:p>
    <w:p>
      <w:pPr>
        <w:ind w:firstLine="1440" w:firstLineChars="200"/>
        <w:jc w:val="left"/>
        <w:rPr>
          <w:rFonts w:cs="仿宋"/>
          <w:sz w:val="72"/>
          <w:szCs w:val="72"/>
        </w:rPr>
      </w:pP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ascii="黑体" w:hAnsi="黑体" w:eastAsia="黑体" w:cs="黑体"/>
          <w:sz w:val="72"/>
          <w:szCs w:val="72"/>
        </w:rPr>
      </w:pPr>
      <w:r>
        <w:rPr>
          <w:rFonts w:hint="eastAsia" w:ascii="黑体" w:hAnsi="黑体" w:eastAsia="黑体" w:cs="黑体"/>
          <w:sz w:val="72"/>
          <w:szCs w:val="72"/>
        </w:rPr>
        <w:t>第二部分</w:t>
      </w:r>
    </w:p>
    <w:p>
      <w:pPr>
        <w:jc w:val="center"/>
        <w:rPr>
          <w:rFonts w:ascii="黑体" w:hAnsi="黑体" w:eastAsia="黑体" w:cs="黑体"/>
          <w:sz w:val="72"/>
          <w:szCs w:val="72"/>
        </w:rPr>
      </w:pPr>
    </w:p>
    <w:p>
      <w:pPr>
        <w:jc w:val="center"/>
        <w:rPr>
          <w:rFonts w:ascii="黑体" w:hAnsi="黑体" w:eastAsia="黑体" w:cs="黑体"/>
          <w:sz w:val="72"/>
          <w:szCs w:val="72"/>
        </w:rPr>
      </w:pPr>
      <w:r>
        <w:rPr>
          <w:rFonts w:hint="eastAsia" w:ascii="黑体" w:hAnsi="黑体" w:eastAsia="黑体" w:cs="黑体"/>
          <w:sz w:val="72"/>
          <w:szCs w:val="72"/>
        </w:rPr>
        <w:t>部门决算表</w:t>
      </w:r>
    </w:p>
    <w:p>
      <w:pPr>
        <w:jc w:val="center"/>
        <w:rPr>
          <w:rFonts w:ascii="黑体" w:hAnsi="黑体" w:eastAsia="黑体" w:cs="黑体"/>
          <w:sz w:val="72"/>
          <w:szCs w:val="72"/>
        </w:rPr>
      </w:pPr>
      <w:r>
        <w:rPr>
          <w:rFonts w:hint="eastAsia" w:ascii="黑体" w:hAnsi="黑体" w:eastAsia="黑体" w:cs="黑体"/>
          <w:sz w:val="72"/>
          <w:szCs w:val="72"/>
        </w:rPr>
        <w:t>（表格见附件）</w:t>
      </w:r>
    </w:p>
    <w:p>
      <w:pPr>
        <w:ind w:firstLine="1440" w:firstLineChars="200"/>
        <w:jc w:val="left"/>
        <w:rPr>
          <w:rFonts w:cs="仿宋"/>
          <w:sz w:val="72"/>
          <w:szCs w:val="72"/>
        </w:rPr>
      </w:pPr>
    </w:p>
    <w:p>
      <w:pPr>
        <w:ind w:firstLine="1440" w:firstLineChars="200"/>
        <w:jc w:val="left"/>
        <w:rPr>
          <w:rFonts w:cs="仿宋"/>
          <w:sz w:val="72"/>
          <w:szCs w:val="72"/>
        </w:rPr>
      </w:pPr>
    </w:p>
    <w:p>
      <w:pPr>
        <w:pStyle w:val="10"/>
        <w:ind w:firstLine="1440" w:firstLineChars="200"/>
        <w:rPr>
          <w:rFonts w:cs="仿宋"/>
          <w:sz w:val="72"/>
          <w:szCs w:val="72"/>
        </w:rPr>
      </w:pPr>
    </w:p>
    <w:p>
      <w:pPr>
        <w:pStyle w:val="10"/>
        <w:ind w:firstLine="1440" w:firstLineChars="200"/>
        <w:rPr>
          <w:rFonts w:cs="仿宋"/>
          <w:sz w:val="72"/>
          <w:szCs w:val="72"/>
        </w:rPr>
      </w:pPr>
    </w:p>
    <w:p>
      <w:pPr>
        <w:pStyle w:val="10"/>
        <w:ind w:firstLine="1440" w:firstLineChars="200"/>
        <w:rPr>
          <w:rFonts w:cs="仿宋"/>
          <w:sz w:val="72"/>
          <w:szCs w:val="72"/>
        </w:rPr>
      </w:pPr>
    </w:p>
    <w:p>
      <w:pPr>
        <w:pStyle w:val="10"/>
        <w:ind w:firstLine="1440" w:firstLineChars="200"/>
        <w:jc w:val="center"/>
        <w:rPr>
          <w:rFonts w:cs="仿宋"/>
          <w:sz w:val="72"/>
          <w:szCs w:val="72"/>
        </w:rPr>
      </w:pPr>
    </w:p>
    <w:p>
      <w:pPr>
        <w:pStyle w:val="10"/>
        <w:ind w:firstLine="1440" w:firstLineChars="200"/>
        <w:jc w:val="center"/>
        <w:rPr>
          <w:rFonts w:cs="仿宋"/>
          <w:sz w:val="72"/>
          <w:szCs w:val="72"/>
        </w:rPr>
      </w:pPr>
    </w:p>
    <w:p>
      <w:pPr>
        <w:pStyle w:val="10"/>
        <w:ind w:firstLine="1440" w:firstLineChars="200"/>
        <w:jc w:val="center"/>
        <w:rPr>
          <w:rFonts w:cs="仿宋"/>
          <w:sz w:val="72"/>
          <w:szCs w:val="72"/>
        </w:rPr>
      </w:pPr>
    </w:p>
    <w:p>
      <w:pPr>
        <w:pStyle w:val="10"/>
        <w:ind w:firstLine="1440" w:firstLineChars="200"/>
        <w:jc w:val="center"/>
        <w:rPr>
          <w:rFonts w:cs="仿宋"/>
          <w:sz w:val="72"/>
          <w:szCs w:val="72"/>
        </w:rPr>
      </w:pPr>
    </w:p>
    <w:p>
      <w:pPr>
        <w:pStyle w:val="10"/>
        <w:ind w:firstLine="1440" w:firstLineChars="200"/>
        <w:jc w:val="center"/>
        <w:rPr>
          <w:rFonts w:cs="仿宋"/>
          <w:sz w:val="72"/>
          <w:szCs w:val="72"/>
        </w:rPr>
      </w:pPr>
    </w:p>
    <w:p>
      <w:pPr>
        <w:pStyle w:val="10"/>
        <w:ind w:firstLine="1440" w:firstLineChars="200"/>
        <w:jc w:val="center"/>
        <w:rPr>
          <w:rFonts w:cs="仿宋"/>
          <w:sz w:val="72"/>
          <w:szCs w:val="72"/>
        </w:rPr>
      </w:pPr>
    </w:p>
    <w:p>
      <w:pPr>
        <w:pStyle w:val="10"/>
        <w:jc w:val="center"/>
        <w:rPr>
          <w:rFonts w:cs="仿宋"/>
          <w:sz w:val="72"/>
          <w:szCs w:val="72"/>
        </w:rPr>
      </w:pPr>
      <w:r>
        <w:rPr>
          <w:rFonts w:hint="eastAsia" w:cs="仿宋"/>
          <w:sz w:val="72"/>
          <w:szCs w:val="72"/>
        </w:rPr>
        <w:t>第三部分</w:t>
      </w:r>
    </w:p>
    <w:p>
      <w:pPr>
        <w:pStyle w:val="10"/>
        <w:jc w:val="center"/>
        <w:rPr>
          <w:rFonts w:cs="仿宋"/>
          <w:sz w:val="70"/>
          <w:szCs w:val="70"/>
        </w:rPr>
      </w:pPr>
    </w:p>
    <w:p>
      <w:pPr>
        <w:pStyle w:val="10"/>
        <w:jc w:val="center"/>
        <w:rPr>
          <w:rFonts w:cs="仿宋"/>
          <w:sz w:val="70"/>
          <w:szCs w:val="70"/>
        </w:rPr>
      </w:pPr>
      <w:r>
        <w:rPr>
          <w:rFonts w:cs="仿宋"/>
          <w:sz w:val="70"/>
          <w:szCs w:val="70"/>
        </w:rPr>
        <w:t>20</w:t>
      </w:r>
      <w:r>
        <w:rPr>
          <w:rFonts w:hint="eastAsia" w:cs="仿宋"/>
          <w:sz w:val="70"/>
          <w:szCs w:val="70"/>
        </w:rPr>
        <w:t>21年度部门决算</w:t>
      </w:r>
    </w:p>
    <w:p>
      <w:pPr>
        <w:pStyle w:val="10"/>
        <w:jc w:val="center"/>
        <w:rPr>
          <w:rFonts w:cs="仿宋"/>
          <w:sz w:val="70"/>
          <w:szCs w:val="70"/>
        </w:rPr>
      </w:pPr>
      <w:r>
        <w:rPr>
          <w:rFonts w:hint="eastAsia" w:cs="仿宋"/>
          <w:sz w:val="70"/>
          <w:szCs w:val="70"/>
        </w:rPr>
        <w:t>情况说明</w:t>
      </w:r>
    </w:p>
    <w:p>
      <w:pPr>
        <w:widowControl/>
        <w:jc w:val="both"/>
        <w:rPr>
          <w:rFonts w:hAnsi="黑体" w:cs="仿宋"/>
          <w:b/>
          <w:sz w:val="32"/>
          <w:szCs w:val="32"/>
        </w:rPr>
      </w:pPr>
      <w:r>
        <w:rPr>
          <w:rFonts w:cs="仿宋"/>
          <w:sz w:val="70"/>
          <w:szCs w:val="70"/>
        </w:rPr>
        <w:br w:type="page"/>
      </w:r>
      <w:r>
        <w:rPr>
          <w:rFonts w:hint="eastAsia" w:hAnsi="黑体" w:cs="仿宋"/>
          <w:b/>
          <w:sz w:val="32"/>
          <w:szCs w:val="32"/>
        </w:rPr>
        <w:t>一、收入支出决算总体情况说明</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asciiTheme="minorEastAsia" w:hAnsiTheme="minorEastAsia" w:eastAsiaTheme="minorEastAsia"/>
          <w:sz w:val="32"/>
          <w:szCs w:val="32"/>
        </w:rPr>
      </w:pPr>
      <w:r>
        <w:rPr>
          <w:rFonts w:hint="eastAsia" w:cs="仿宋" w:asciiTheme="minorEastAsia" w:hAnsiTheme="minorEastAsia" w:eastAsiaTheme="minorEastAsia"/>
          <w:sz w:val="32"/>
          <w:szCs w:val="32"/>
        </w:rPr>
        <w:t>2021年度收入合计160.7万元</w:t>
      </w:r>
      <w:r>
        <w:rPr>
          <w:rFonts w:hint="eastAsia"/>
          <w:lang w:eastAsia="zh-CN"/>
        </w:rPr>
        <w:t>，</w:t>
      </w:r>
      <w:r>
        <w:rPr>
          <w:rFonts w:hint="eastAsia" w:cs="仿宋" w:asciiTheme="minorEastAsia" w:hAnsiTheme="minorEastAsia" w:eastAsiaTheme="minorEastAsia"/>
          <w:sz w:val="32"/>
          <w:szCs w:val="32"/>
          <w:lang w:val="en-US" w:eastAsia="zh-CN"/>
        </w:rPr>
        <w:t>年初结转和结余0.26万元，收入总计160.96万元</w:t>
      </w:r>
      <w:r>
        <w:rPr>
          <w:rFonts w:hint="eastAsia" w:cs="仿宋" w:asciiTheme="minorEastAsia" w:hAnsiTheme="minorEastAsia" w:eastAsiaTheme="minorEastAsia"/>
          <w:sz w:val="32"/>
          <w:szCs w:val="32"/>
        </w:rPr>
        <w:t>，与上年相比，减少33.87万元，减少17.41%，主要原因为</w:t>
      </w:r>
      <w:r>
        <w:rPr>
          <w:rFonts w:hint="eastAsia" w:asciiTheme="minorEastAsia" w:hAnsiTheme="minorEastAsia" w:eastAsiaTheme="minorEastAsia"/>
          <w:sz w:val="32"/>
          <w:szCs w:val="32"/>
        </w:rPr>
        <w:t>新冠疫情防控得力，未发生重大疫情，捐赠收入减少。</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asciiTheme="minorEastAsia" w:hAnsiTheme="minorEastAsia" w:eastAsiaTheme="minorEastAsia"/>
          <w:sz w:val="32"/>
          <w:szCs w:val="32"/>
        </w:rPr>
      </w:pPr>
      <w:r>
        <w:rPr>
          <w:rFonts w:hint="eastAsia" w:cs="仿宋" w:asciiTheme="minorEastAsia" w:hAnsiTheme="minorEastAsia" w:eastAsiaTheme="minorEastAsia"/>
          <w:sz w:val="32"/>
          <w:szCs w:val="32"/>
        </w:rPr>
        <w:t>2021年度支出合计160.8万元</w:t>
      </w:r>
      <w:r>
        <w:rPr>
          <w:rFonts w:hint="eastAsia"/>
          <w:lang w:eastAsia="zh-CN"/>
        </w:rPr>
        <w:t>，</w:t>
      </w:r>
      <w:r>
        <w:rPr>
          <w:rFonts w:hint="eastAsia" w:cs="仿宋" w:asciiTheme="minorEastAsia" w:hAnsiTheme="minorEastAsia" w:eastAsiaTheme="minorEastAsia"/>
          <w:sz w:val="32"/>
          <w:szCs w:val="32"/>
          <w:lang w:val="en-US" w:eastAsia="zh-CN"/>
        </w:rPr>
        <w:t>年初结转和结余0.16万元，收入总计160.96万元，</w:t>
      </w:r>
      <w:r>
        <w:rPr>
          <w:rFonts w:hint="eastAsia" w:cs="仿宋" w:asciiTheme="minorEastAsia" w:hAnsiTheme="minorEastAsia" w:eastAsiaTheme="minorEastAsia"/>
          <w:sz w:val="32"/>
          <w:szCs w:val="32"/>
        </w:rPr>
        <w:t>与上年相比，减少33.65万元，减少17.31%，主要原因为</w:t>
      </w:r>
      <w:r>
        <w:rPr>
          <w:rFonts w:hint="eastAsia" w:asciiTheme="minorEastAsia" w:hAnsiTheme="minorEastAsia" w:eastAsiaTheme="minorEastAsia"/>
          <w:sz w:val="32"/>
          <w:szCs w:val="32"/>
        </w:rPr>
        <w:t>新冠疫情防控得力，未发生重大疫情，捐赠收入减少。</w:t>
      </w:r>
    </w:p>
    <w:p>
      <w:pPr>
        <w:pStyle w:val="10"/>
        <w:keepNext w:val="0"/>
        <w:keepLines w:val="0"/>
        <w:pageBreakBefore w:val="0"/>
        <w:widowControl w:val="0"/>
        <w:kinsoku/>
        <w:wordWrap/>
        <w:overflowPunct/>
        <w:topLinePunct w:val="0"/>
        <w:bidi w:val="0"/>
        <w:snapToGrid/>
        <w:spacing w:line="240" w:lineRule="auto"/>
        <w:textAlignment w:val="auto"/>
        <w:rPr>
          <w:rFonts w:hAnsi="黑体" w:cs="仿宋"/>
          <w:b/>
          <w:sz w:val="32"/>
          <w:szCs w:val="32"/>
        </w:rPr>
      </w:pPr>
      <w:r>
        <w:rPr>
          <w:rFonts w:hint="eastAsia" w:hAnsi="黑体" w:cs="仿宋"/>
          <w:b/>
          <w:sz w:val="32"/>
          <w:szCs w:val="32"/>
        </w:rPr>
        <w:t>二、收入决算情况说明</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2021年度收入合计160.7万元，其中：财政拨款收入159.32万元，占99%；上级补助收入0万元，占0%；事业收入0万元，占0%；经营收入0万元，占0%；附属单位上缴收入0万元，占0%；其他收入1.38万元，占1%。</w:t>
      </w:r>
    </w:p>
    <w:p>
      <w:pPr>
        <w:pStyle w:val="10"/>
        <w:keepNext w:val="0"/>
        <w:keepLines w:val="0"/>
        <w:pageBreakBefore w:val="0"/>
        <w:widowControl w:val="0"/>
        <w:kinsoku/>
        <w:wordWrap/>
        <w:overflowPunct/>
        <w:topLinePunct w:val="0"/>
        <w:bidi w:val="0"/>
        <w:snapToGrid/>
        <w:spacing w:line="240" w:lineRule="auto"/>
        <w:textAlignment w:val="auto"/>
        <w:rPr>
          <w:rFonts w:hAnsi="黑体" w:cs="仿宋"/>
          <w:b/>
          <w:sz w:val="32"/>
          <w:szCs w:val="32"/>
        </w:rPr>
      </w:pPr>
      <w:r>
        <w:rPr>
          <w:rFonts w:hint="eastAsia" w:hAnsi="黑体" w:cs="仿宋"/>
          <w:b/>
          <w:sz w:val="32"/>
          <w:szCs w:val="32"/>
        </w:rPr>
        <w:t>三、支出决算情况说明</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2021年度支出合计160.8万元，其中：基本支出159.42万元，占99%；项目支出1.38万元，占1%；上缴上级支出0万元，占0%；经营支出0万元，占0%；对附属单位补助支出0万元，占0%。</w:t>
      </w:r>
    </w:p>
    <w:p>
      <w:pPr>
        <w:pStyle w:val="10"/>
        <w:keepNext w:val="0"/>
        <w:keepLines w:val="0"/>
        <w:pageBreakBefore w:val="0"/>
        <w:widowControl w:val="0"/>
        <w:numPr>
          <w:ilvl w:val="0"/>
          <w:numId w:val="1"/>
        </w:numPr>
        <w:kinsoku/>
        <w:wordWrap/>
        <w:overflowPunct/>
        <w:topLinePunct w:val="0"/>
        <w:bidi w:val="0"/>
        <w:snapToGrid/>
        <w:spacing w:line="240" w:lineRule="auto"/>
        <w:ind w:left="-640" w:leftChars="0" w:firstLine="640" w:firstLineChars="0"/>
        <w:textAlignment w:val="auto"/>
        <w:rPr>
          <w:rFonts w:hAnsi="黑体" w:cs="仿宋"/>
          <w:b/>
          <w:sz w:val="32"/>
          <w:szCs w:val="32"/>
        </w:rPr>
      </w:pPr>
      <w:r>
        <w:rPr>
          <w:rFonts w:hint="eastAsia" w:hAnsi="黑体" w:cs="仿宋"/>
          <w:b/>
          <w:sz w:val="32"/>
          <w:szCs w:val="32"/>
        </w:rPr>
        <w:t>财政拨款收入支出决算总体情况说明</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ascii="宋体" w:hAnsi="宋体" w:eastAsia="宋体" w:cs="宋体"/>
          <w:sz w:val="32"/>
          <w:szCs w:val="32"/>
        </w:rPr>
      </w:pPr>
      <w:r>
        <w:rPr>
          <w:rFonts w:hint="eastAsia" w:ascii="宋体" w:hAnsi="宋体" w:eastAsia="宋体" w:cs="宋体"/>
          <w:sz w:val="32"/>
          <w:szCs w:val="32"/>
        </w:rPr>
        <w:t>2021年度财政拨款收入合计159.</w:t>
      </w:r>
      <w:r>
        <w:rPr>
          <w:rFonts w:hint="eastAsia" w:ascii="宋体" w:hAnsi="宋体" w:eastAsia="宋体" w:cs="宋体"/>
          <w:sz w:val="32"/>
          <w:szCs w:val="32"/>
          <w:lang w:val="en-US" w:eastAsia="zh-CN"/>
        </w:rPr>
        <w:t>58</w:t>
      </w:r>
      <w:r>
        <w:rPr>
          <w:rFonts w:hint="eastAsia" w:ascii="宋体" w:hAnsi="宋体" w:eastAsia="宋体" w:cs="宋体"/>
          <w:sz w:val="32"/>
          <w:szCs w:val="32"/>
        </w:rPr>
        <w:t>万元，与上年相比，增加19.77万元，增长14.11%，主要是因为在职人数增加3人及财政保障公用经费标准提高。</w:t>
      </w:r>
    </w:p>
    <w:p>
      <w:pPr>
        <w:keepNext w:val="0"/>
        <w:keepLines w:val="0"/>
        <w:pageBreakBefore w:val="0"/>
        <w:widowControl w:val="0"/>
        <w:kinsoku/>
        <w:wordWrap/>
        <w:overflowPunct/>
        <w:topLinePunct w:val="0"/>
        <w:bidi w:val="0"/>
        <w:snapToGrid/>
        <w:spacing w:line="240" w:lineRule="auto"/>
        <w:ind w:firstLine="640" w:firstLineChars="200"/>
        <w:textAlignment w:val="auto"/>
        <w:rPr>
          <w:rFonts w:cs="仿宋" w:asciiTheme="minorEastAsia" w:hAnsiTheme="minorEastAsia"/>
          <w:sz w:val="32"/>
          <w:szCs w:val="32"/>
        </w:rPr>
      </w:pPr>
      <w:r>
        <w:rPr>
          <w:rFonts w:hint="eastAsia" w:ascii="宋体" w:hAnsi="宋体" w:eastAsia="宋体" w:cs="宋体"/>
          <w:sz w:val="32"/>
          <w:szCs w:val="32"/>
        </w:rPr>
        <w:t>2021年度财政拨款支出合计159.</w:t>
      </w:r>
      <w:r>
        <w:rPr>
          <w:rFonts w:hint="eastAsia" w:ascii="宋体" w:hAnsi="宋体" w:eastAsia="宋体" w:cs="宋体"/>
          <w:sz w:val="32"/>
          <w:szCs w:val="32"/>
          <w:lang w:val="en-US" w:eastAsia="zh-CN"/>
        </w:rPr>
        <w:t>58</w:t>
      </w:r>
      <w:r>
        <w:rPr>
          <w:rFonts w:hint="eastAsia" w:ascii="宋体" w:hAnsi="宋体" w:eastAsia="宋体" w:cs="宋体"/>
          <w:sz w:val="32"/>
          <w:szCs w:val="32"/>
        </w:rPr>
        <w:t>万元，与上年相比，增加19.99万元，增长14.34%，主要是因为在职人数增加3人及财政保障公用经费标准提高。</w:t>
      </w:r>
    </w:p>
    <w:p>
      <w:pPr>
        <w:pStyle w:val="10"/>
        <w:keepNext w:val="0"/>
        <w:keepLines w:val="0"/>
        <w:pageBreakBefore w:val="0"/>
        <w:widowControl w:val="0"/>
        <w:kinsoku/>
        <w:wordWrap/>
        <w:overflowPunct/>
        <w:topLinePunct w:val="0"/>
        <w:bidi w:val="0"/>
        <w:snapToGrid/>
        <w:spacing w:line="240" w:lineRule="auto"/>
        <w:textAlignment w:val="auto"/>
        <w:rPr>
          <w:rFonts w:hAnsi="黑体" w:cs="仿宋"/>
          <w:b/>
          <w:sz w:val="32"/>
          <w:szCs w:val="32"/>
        </w:rPr>
      </w:pPr>
      <w:r>
        <w:rPr>
          <w:rFonts w:hint="eastAsia" w:hAnsi="黑体" w:cs="仿宋"/>
          <w:b/>
          <w:sz w:val="32"/>
          <w:szCs w:val="32"/>
        </w:rPr>
        <w:t>五、一般公共预算财政拨款支出决算情况说明</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cs="仿宋" w:asciiTheme="minorEastAsia" w:hAnsiTheme="minorEastAsia" w:eastAsiaTheme="minorEastAsia"/>
          <w:b/>
          <w:sz w:val="32"/>
          <w:szCs w:val="32"/>
        </w:rPr>
      </w:pPr>
      <w:r>
        <w:rPr>
          <w:rFonts w:hint="eastAsia" w:cs="仿宋" w:asciiTheme="minorEastAsia" w:hAnsiTheme="minorEastAsia" w:eastAsiaTheme="minorEastAsia"/>
          <w:b/>
          <w:sz w:val="32"/>
          <w:szCs w:val="32"/>
        </w:rPr>
        <w:t>（一）财政拨款支出决算总体情况</w:t>
      </w:r>
    </w:p>
    <w:p>
      <w:pPr>
        <w:keepNext w:val="0"/>
        <w:keepLines w:val="0"/>
        <w:pageBreakBefore w:val="0"/>
        <w:widowControl w:val="0"/>
        <w:kinsoku/>
        <w:wordWrap/>
        <w:overflowPunct/>
        <w:topLinePunct w:val="0"/>
        <w:bidi w:val="0"/>
        <w:snapToGrid/>
        <w:spacing w:line="240" w:lineRule="auto"/>
        <w:ind w:firstLine="640" w:firstLineChars="200"/>
        <w:textAlignment w:val="auto"/>
        <w:rPr>
          <w:rFonts w:ascii="宋体" w:hAnsi="宋体" w:eastAsia="宋体" w:cs="宋体"/>
          <w:sz w:val="32"/>
          <w:szCs w:val="32"/>
        </w:rPr>
      </w:pPr>
      <w:r>
        <w:rPr>
          <w:rFonts w:hint="eastAsia" w:cs="仿宋" w:asciiTheme="minorEastAsia" w:hAnsiTheme="minorEastAsia"/>
          <w:sz w:val="32"/>
          <w:szCs w:val="32"/>
        </w:rPr>
        <w:t>2021年度财政拨款支出159.</w:t>
      </w:r>
      <w:r>
        <w:rPr>
          <w:rFonts w:hint="eastAsia" w:cs="仿宋" w:asciiTheme="minorEastAsia" w:hAnsiTheme="minorEastAsia"/>
          <w:sz w:val="32"/>
          <w:szCs w:val="32"/>
          <w:lang w:val="en-US" w:eastAsia="zh-CN"/>
        </w:rPr>
        <w:t>58</w:t>
      </w:r>
      <w:r>
        <w:rPr>
          <w:rFonts w:hint="eastAsia" w:cs="仿宋" w:asciiTheme="minorEastAsia" w:hAnsiTheme="minorEastAsia"/>
          <w:sz w:val="32"/>
          <w:szCs w:val="32"/>
        </w:rPr>
        <w:t>万元，占本年支出合计的99%，与上年</w:t>
      </w:r>
      <w:r>
        <w:rPr>
          <w:rFonts w:hint="eastAsia" w:ascii="宋体" w:hAnsi="宋体" w:eastAsia="宋体" w:cs="宋体"/>
          <w:sz w:val="32"/>
          <w:szCs w:val="32"/>
        </w:rPr>
        <w:t>相比，财政拨款支出增加19.99万元，增长14.34%，主要是因为在职人数增加3人及财政保障公用经费标准提高。</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cs="仿宋" w:asciiTheme="minorEastAsia" w:hAnsiTheme="minorEastAsia" w:eastAsiaTheme="minorEastAsia"/>
          <w:b/>
          <w:sz w:val="32"/>
          <w:szCs w:val="32"/>
        </w:rPr>
      </w:pPr>
      <w:r>
        <w:rPr>
          <w:rFonts w:hint="eastAsia" w:cs="仿宋" w:asciiTheme="minorEastAsia" w:hAnsiTheme="minorEastAsia" w:eastAsiaTheme="minorEastAsia"/>
          <w:b/>
          <w:sz w:val="32"/>
          <w:szCs w:val="32"/>
        </w:rPr>
        <w:t>（二）财政拨款支出决算结构情况</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asciiTheme="minorEastAsia" w:hAnsiTheme="minorEastAsia" w:eastAsiaTheme="minorEastAsia"/>
          <w:sz w:val="32"/>
          <w:szCs w:val="32"/>
        </w:rPr>
      </w:pPr>
      <w:r>
        <w:rPr>
          <w:rFonts w:hint="eastAsia" w:cs="仿宋" w:asciiTheme="minorEastAsia" w:hAnsiTheme="minorEastAsia" w:eastAsiaTheme="minorEastAsia"/>
          <w:sz w:val="32"/>
          <w:szCs w:val="32"/>
        </w:rPr>
        <w:t>2021年度财政拨款支出159.42万元，主要用于以下方面：</w:t>
      </w:r>
      <w:r>
        <w:rPr>
          <w:rFonts w:hint="eastAsia" w:asciiTheme="minorEastAsia" w:hAnsiTheme="minorEastAsia" w:eastAsiaTheme="minorEastAsia"/>
          <w:sz w:val="32"/>
          <w:szCs w:val="32"/>
        </w:rPr>
        <w:t>社会保障和就业支出142.42万元，占89.34%;卫生健康支出6.66万元，占4.17%；住房保障支出10.34万元，占6.49%</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cs="仿宋" w:asciiTheme="minorEastAsia" w:hAnsiTheme="minorEastAsia" w:eastAsiaTheme="minorEastAsia"/>
          <w:b/>
          <w:sz w:val="32"/>
          <w:szCs w:val="32"/>
        </w:rPr>
      </w:pPr>
      <w:r>
        <w:rPr>
          <w:rFonts w:hint="eastAsia" w:cs="仿宋" w:asciiTheme="minorEastAsia" w:hAnsiTheme="minorEastAsia" w:eastAsiaTheme="minorEastAsia"/>
          <w:b/>
          <w:sz w:val="32"/>
          <w:szCs w:val="32"/>
        </w:rPr>
        <w:t>（三）财政拨款支出决算具体情况</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2021年度财政拨款支出年初预算数为154.72万元，支出决算数为159.42万元，完成年初预算的103.04%，其中：</w:t>
      </w:r>
    </w:p>
    <w:p>
      <w:pPr>
        <w:pStyle w:val="10"/>
        <w:keepNext w:val="0"/>
        <w:keepLines w:val="0"/>
        <w:pageBreakBefore w:val="0"/>
        <w:widowControl w:val="0"/>
        <w:numPr>
          <w:ilvl w:val="0"/>
          <w:numId w:val="2"/>
        </w:numPr>
        <w:kinsoku/>
        <w:wordWrap/>
        <w:overflowPunct/>
        <w:topLinePunct w:val="0"/>
        <w:bidi w:val="0"/>
        <w:snapToGrid/>
        <w:spacing w:line="240" w:lineRule="auto"/>
        <w:ind w:firstLine="640" w:firstLineChars="200"/>
        <w:textAlignment w:val="auto"/>
        <w:rPr>
          <w:rFonts w:hint="eastAsia" w:cs="仿宋" w:asciiTheme="minorEastAsia" w:hAnsiTheme="minorEastAsia" w:eastAsiaTheme="minorEastAsia"/>
          <w:color w:val="auto"/>
          <w:sz w:val="32"/>
          <w:szCs w:val="32"/>
        </w:rPr>
      </w:pPr>
      <w:r>
        <w:rPr>
          <w:rFonts w:hint="eastAsia" w:cs="仿宋" w:asciiTheme="minorEastAsia" w:hAnsiTheme="minorEastAsia" w:eastAsiaTheme="minorEastAsia"/>
          <w:color w:val="auto"/>
          <w:sz w:val="32"/>
          <w:szCs w:val="32"/>
        </w:rPr>
        <w:t>社会保障和就业支出（类）行政事业单位养老支出（款）行政单位离退休（项）：</w:t>
      </w:r>
    </w:p>
    <w:p>
      <w:pPr>
        <w:pStyle w:val="10"/>
        <w:keepNext w:val="0"/>
        <w:keepLines w:val="0"/>
        <w:pageBreakBefore w:val="0"/>
        <w:widowControl w:val="0"/>
        <w:numPr>
          <w:ilvl w:val="0"/>
          <w:numId w:val="0"/>
        </w:numPr>
        <w:kinsoku/>
        <w:wordWrap/>
        <w:overflowPunct/>
        <w:topLinePunct w:val="0"/>
        <w:bidi w:val="0"/>
        <w:snapToGrid/>
        <w:spacing w:line="240" w:lineRule="auto"/>
        <w:ind w:firstLine="640" w:firstLineChars="200"/>
        <w:textAlignment w:val="auto"/>
        <w:rPr>
          <w:rFonts w:cs="仿宋" w:asciiTheme="minorEastAsia" w:hAnsiTheme="minorEastAsia" w:eastAsiaTheme="minorEastAsia"/>
          <w:color w:val="auto"/>
          <w:sz w:val="32"/>
          <w:szCs w:val="32"/>
        </w:rPr>
      </w:pPr>
      <w:r>
        <w:rPr>
          <w:rFonts w:hint="eastAsia" w:cs="仿宋" w:asciiTheme="minorEastAsia" w:hAnsiTheme="minorEastAsia" w:eastAsiaTheme="minorEastAsia"/>
          <w:color w:val="auto"/>
          <w:sz w:val="32"/>
          <w:szCs w:val="32"/>
        </w:rPr>
        <w:t>年初预算为0.18万元，支出决算为0.14万元，完成年初预算的77.78%，</w:t>
      </w:r>
      <w:r>
        <w:rPr>
          <w:rFonts w:hint="eastAsia" w:asciiTheme="minorEastAsia" w:hAnsiTheme="minorEastAsia" w:eastAsiaTheme="minorEastAsia"/>
          <w:color w:val="auto"/>
          <w:sz w:val="32"/>
          <w:szCs w:val="32"/>
        </w:rPr>
        <w:t>决算数小于年初预算数主要是退休人员经费开支减少</w:t>
      </w:r>
      <w:r>
        <w:rPr>
          <w:rFonts w:hint="eastAsia" w:cs="仿宋" w:asciiTheme="minorEastAsia" w:hAnsiTheme="minorEastAsia" w:eastAsiaTheme="minorEastAsia"/>
          <w:color w:val="auto"/>
          <w:sz w:val="32"/>
          <w:szCs w:val="32"/>
        </w:rPr>
        <w:t>。</w:t>
      </w:r>
    </w:p>
    <w:p>
      <w:pPr>
        <w:pStyle w:val="10"/>
        <w:keepNext w:val="0"/>
        <w:keepLines w:val="0"/>
        <w:pageBreakBefore w:val="0"/>
        <w:widowControl w:val="0"/>
        <w:numPr>
          <w:ilvl w:val="0"/>
          <w:numId w:val="2"/>
        </w:numPr>
        <w:kinsoku/>
        <w:wordWrap/>
        <w:overflowPunct/>
        <w:topLinePunct w:val="0"/>
        <w:bidi w:val="0"/>
        <w:snapToGrid/>
        <w:spacing w:line="240" w:lineRule="auto"/>
        <w:ind w:left="0" w:leftChars="0" w:firstLine="640" w:firstLineChars="200"/>
        <w:textAlignment w:val="auto"/>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社会保障和就业支出（类）行政事业单位养老支出（款）机关事业单位基本养老保险缴费支出（项）：</w:t>
      </w:r>
    </w:p>
    <w:p>
      <w:pPr>
        <w:pStyle w:val="10"/>
        <w:keepNext w:val="0"/>
        <w:keepLines w:val="0"/>
        <w:pageBreakBefore w:val="0"/>
        <w:widowControl w:val="0"/>
        <w:numPr>
          <w:ilvl w:val="0"/>
          <w:numId w:val="0"/>
        </w:numPr>
        <w:kinsoku/>
        <w:wordWrap/>
        <w:overflowPunct/>
        <w:topLinePunct w:val="0"/>
        <w:bidi w:val="0"/>
        <w:snapToGrid/>
        <w:spacing w:line="240" w:lineRule="auto"/>
        <w:ind w:leftChars="200" w:firstLine="640" w:firstLineChars="200"/>
        <w:textAlignment w:val="auto"/>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年初预算为13.79万元，支出决算为14.45万元，完成年初预算的105%，决算数大于年初预算数主要是本年度补缴以前年度欠缴。</w:t>
      </w:r>
    </w:p>
    <w:p>
      <w:pPr>
        <w:pStyle w:val="10"/>
        <w:keepNext w:val="0"/>
        <w:keepLines w:val="0"/>
        <w:pageBreakBefore w:val="0"/>
        <w:widowControl w:val="0"/>
        <w:numPr>
          <w:ilvl w:val="0"/>
          <w:numId w:val="2"/>
        </w:numPr>
        <w:kinsoku/>
        <w:wordWrap/>
        <w:overflowPunct/>
        <w:topLinePunct w:val="0"/>
        <w:bidi w:val="0"/>
        <w:snapToGrid/>
        <w:spacing w:line="240" w:lineRule="auto"/>
        <w:ind w:left="0" w:leftChars="0" w:firstLine="640" w:firstLineChars="200"/>
        <w:textAlignment w:val="auto"/>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社会保障和就业支出（类）红十字事业（款）行政运行（项）：</w:t>
      </w:r>
    </w:p>
    <w:p>
      <w:pPr>
        <w:pStyle w:val="10"/>
        <w:keepNext w:val="0"/>
        <w:keepLines w:val="0"/>
        <w:pageBreakBefore w:val="0"/>
        <w:widowControl w:val="0"/>
        <w:numPr>
          <w:ilvl w:val="0"/>
          <w:numId w:val="0"/>
        </w:numPr>
        <w:kinsoku/>
        <w:wordWrap/>
        <w:overflowPunct/>
        <w:topLinePunct w:val="0"/>
        <w:bidi w:val="0"/>
        <w:snapToGrid/>
        <w:spacing w:line="240" w:lineRule="auto"/>
        <w:ind w:leftChars="200" w:firstLine="640" w:firstLineChars="200"/>
        <w:textAlignment w:val="auto"/>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年初预算为123.51万元，支出决算为127.82万元，完成年初预算的103.49%，决算数大于年初预算数主要是年中安排绩效奖支出增加。</w:t>
      </w:r>
    </w:p>
    <w:p>
      <w:pPr>
        <w:pStyle w:val="10"/>
        <w:keepNext w:val="0"/>
        <w:keepLines w:val="0"/>
        <w:pageBreakBefore w:val="0"/>
        <w:widowControl w:val="0"/>
        <w:numPr>
          <w:ilvl w:val="0"/>
          <w:numId w:val="2"/>
        </w:numPr>
        <w:kinsoku/>
        <w:wordWrap/>
        <w:overflowPunct/>
        <w:topLinePunct w:val="0"/>
        <w:bidi w:val="0"/>
        <w:snapToGrid/>
        <w:spacing w:line="240" w:lineRule="auto"/>
        <w:ind w:left="0" w:leftChars="0" w:firstLine="640" w:firstLineChars="200"/>
        <w:textAlignment w:val="auto"/>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卫生健康支出（类）行政事业单位医疗（款）行政单位医疗（项）：</w:t>
      </w:r>
    </w:p>
    <w:p>
      <w:pPr>
        <w:pStyle w:val="10"/>
        <w:keepNext w:val="0"/>
        <w:keepLines w:val="0"/>
        <w:pageBreakBefore w:val="0"/>
        <w:widowControl w:val="0"/>
        <w:numPr>
          <w:ilvl w:val="0"/>
          <w:numId w:val="0"/>
        </w:numPr>
        <w:kinsoku/>
        <w:wordWrap/>
        <w:overflowPunct/>
        <w:topLinePunct w:val="0"/>
        <w:bidi w:val="0"/>
        <w:snapToGrid/>
        <w:spacing w:line="240" w:lineRule="auto"/>
        <w:ind w:leftChars="200" w:firstLine="640" w:firstLineChars="200"/>
        <w:textAlignment w:val="auto"/>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年初预算为6.89万元，支出决算为:6.66万元，完成年初预算的96.66%，决算数小于年初预算数主要是年中有在职人员退休减少医疗保险缴费。</w:t>
      </w:r>
    </w:p>
    <w:p>
      <w:pPr>
        <w:pStyle w:val="10"/>
        <w:keepNext w:val="0"/>
        <w:keepLines w:val="0"/>
        <w:pageBreakBefore w:val="0"/>
        <w:widowControl w:val="0"/>
        <w:numPr>
          <w:ilvl w:val="0"/>
          <w:numId w:val="2"/>
        </w:numPr>
        <w:kinsoku/>
        <w:wordWrap/>
        <w:overflowPunct/>
        <w:topLinePunct w:val="0"/>
        <w:bidi w:val="0"/>
        <w:snapToGrid/>
        <w:spacing w:line="240" w:lineRule="auto"/>
        <w:ind w:left="0" w:leftChars="0" w:firstLine="640" w:firstLineChars="200"/>
        <w:textAlignment w:val="auto"/>
        <w:rPr>
          <w:rFonts w:hint="eastAsia"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住房保障支出（类）住房改革支出（款）住房公积金（项）：</w:t>
      </w:r>
    </w:p>
    <w:p>
      <w:pPr>
        <w:pStyle w:val="10"/>
        <w:keepNext w:val="0"/>
        <w:keepLines w:val="0"/>
        <w:pageBreakBefore w:val="0"/>
        <w:widowControl w:val="0"/>
        <w:numPr>
          <w:ilvl w:val="0"/>
          <w:numId w:val="0"/>
        </w:numPr>
        <w:kinsoku/>
        <w:wordWrap/>
        <w:overflowPunct/>
        <w:topLinePunct w:val="0"/>
        <w:bidi w:val="0"/>
        <w:snapToGrid/>
        <w:spacing w:line="240" w:lineRule="auto"/>
        <w:ind w:leftChars="200" w:firstLine="640" w:firstLineChars="200"/>
        <w:textAlignment w:val="auto"/>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年初预算为10.34万元，支出决算为10.34万元，完成年初预算的100%，决算数与年初预算数保持一致。</w:t>
      </w:r>
    </w:p>
    <w:p>
      <w:pPr>
        <w:pStyle w:val="10"/>
        <w:keepNext w:val="0"/>
        <w:keepLines w:val="0"/>
        <w:pageBreakBefore w:val="0"/>
        <w:widowControl w:val="0"/>
        <w:kinsoku/>
        <w:wordWrap/>
        <w:overflowPunct/>
        <w:topLinePunct w:val="0"/>
        <w:bidi w:val="0"/>
        <w:snapToGrid/>
        <w:spacing w:line="240" w:lineRule="auto"/>
        <w:textAlignment w:val="auto"/>
        <w:rPr>
          <w:rFonts w:hAnsi="黑体" w:cs="仿宋"/>
          <w:b/>
          <w:sz w:val="32"/>
          <w:szCs w:val="32"/>
        </w:rPr>
      </w:pPr>
      <w:r>
        <w:rPr>
          <w:rFonts w:hint="eastAsia" w:hAnsi="黑体" w:cs="仿宋"/>
          <w:b/>
          <w:sz w:val="32"/>
          <w:szCs w:val="32"/>
        </w:rPr>
        <w:t>六、一般公共预算财政拨款基本支出决算情况说明</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2021年度财政拨款基本支出159.42万元，其中：人员经费152.79万元，占基本支出的95.84%,主要包括基本工资、津贴补贴、奖金、伙食补助费、生活补助；公用经费6.63万元，占基本支出的4.16%，主要包括办公费、印刷费、邮电费、培训费、办公设备。</w:t>
      </w:r>
    </w:p>
    <w:p>
      <w:pPr>
        <w:pStyle w:val="10"/>
        <w:keepNext w:val="0"/>
        <w:keepLines w:val="0"/>
        <w:pageBreakBefore w:val="0"/>
        <w:widowControl w:val="0"/>
        <w:kinsoku/>
        <w:wordWrap/>
        <w:overflowPunct/>
        <w:topLinePunct w:val="0"/>
        <w:bidi w:val="0"/>
        <w:snapToGrid/>
        <w:spacing w:line="240" w:lineRule="auto"/>
        <w:textAlignment w:val="auto"/>
        <w:rPr>
          <w:rFonts w:hAnsi="黑体" w:cs="仿宋"/>
          <w:b/>
          <w:sz w:val="32"/>
          <w:szCs w:val="32"/>
        </w:rPr>
      </w:pPr>
      <w:r>
        <w:rPr>
          <w:rFonts w:hint="eastAsia" w:hAnsi="黑体" w:cs="仿宋"/>
          <w:b/>
          <w:sz w:val="32"/>
          <w:szCs w:val="32"/>
        </w:rPr>
        <w:t>七、一般公共预算财政拨款“三公”经费支出决算情况说明</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cs="仿宋" w:asciiTheme="minorEastAsia" w:hAnsiTheme="minorEastAsia" w:eastAsiaTheme="minorEastAsia"/>
          <w:b/>
          <w:sz w:val="32"/>
          <w:szCs w:val="32"/>
        </w:rPr>
      </w:pPr>
      <w:r>
        <w:rPr>
          <w:rFonts w:hint="eastAsia" w:cs="仿宋" w:asciiTheme="minorEastAsia" w:hAnsiTheme="minorEastAsia" w:eastAsiaTheme="minorEastAsia"/>
          <w:b/>
          <w:sz w:val="32"/>
          <w:szCs w:val="32"/>
        </w:rPr>
        <w:t>（一）“三公”经费财政拨款支出决算总体情况说明</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2021年度“三公”经费财政拨款支出预算为0万元，支出决算为0万元，其中：</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hint="eastAsia" w:cs="仿宋" w:asciiTheme="minorEastAsia" w:hAnsiTheme="minorEastAsia" w:eastAsiaTheme="minorEastAsia"/>
          <w:sz w:val="32"/>
          <w:szCs w:val="32"/>
          <w:lang w:eastAsia="zh-CN"/>
        </w:rPr>
      </w:pPr>
      <w:r>
        <w:rPr>
          <w:rFonts w:hint="eastAsia" w:cs="仿宋" w:asciiTheme="minorEastAsia" w:hAnsiTheme="minorEastAsia" w:eastAsiaTheme="minorEastAsia"/>
          <w:sz w:val="32"/>
          <w:szCs w:val="32"/>
        </w:rPr>
        <w:t>因公出国（境）费支出预算为0万元，支出决算为0万元</w:t>
      </w:r>
      <w:r>
        <w:rPr>
          <w:rFonts w:hint="eastAsia" w:cs="仿宋" w:asciiTheme="minorEastAsia" w:hAnsiTheme="minorEastAsia" w:eastAsiaTheme="minorEastAsia"/>
          <w:sz w:val="32"/>
          <w:szCs w:val="32"/>
          <w:lang w:eastAsia="zh-CN"/>
        </w:rPr>
        <w:t>，</w:t>
      </w:r>
      <w:r>
        <w:rPr>
          <w:rFonts w:hint="eastAsia" w:cs="仿宋" w:asciiTheme="minorEastAsia" w:hAnsiTheme="minorEastAsia" w:eastAsiaTheme="minorEastAsia"/>
          <w:sz w:val="32"/>
          <w:szCs w:val="32"/>
        </w:rPr>
        <w:t>因预算金额0万元，无法计算百分比。</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公务接待费支出预算为0万元，支出决算为0万元。因预算金额0万元，无法计算百分比。</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公务用车购置费支出预算为0万元，支出决算为0万元。因预算金额0万元，无法计算百分比。</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公务用车运行维护费支出预算为0万元，支出决算为0万元。因预算金额0万元，无法计算百分比。</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cs="仿宋" w:asciiTheme="minorEastAsia" w:hAnsiTheme="minorEastAsia" w:eastAsiaTheme="minorEastAsia"/>
          <w:b/>
          <w:sz w:val="32"/>
          <w:szCs w:val="32"/>
        </w:rPr>
      </w:pPr>
      <w:r>
        <w:rPr>
          <w:rFonts w:hint="eastAsia" w:cs="仿宋" w:asciiTheme="minorEastAsia" w:hAnsiTheme="minorEastAsia" w:eastAsiaTheme="minorEastAsia"/>
          <w:b/>
          <w:sz w:val="32"/>
          <w:szCs w:val="32"/>
        </w:rPr>
        <w:t>（二）“三公”经费财政拨款支出决算具体情况说明</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2021年度“三公”经费财政拨款支出决算中，公务接待费支出决算0万元，占0%,因公出国（境）费支出决算0万元，占0%,公务用车购置费及运行维护费支出决算0万元，占0%。其中：</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1、因公出国（境）费支出决算为0万元，全年安排因公出国（境）团组0个，累计0人次。</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2、公务接待费支出决算为0万元，全年共接待来访团组0个、来宾0人次。</w:t>
      </w:r>
    </w:p>
    <w:p>
      <w:pPr>
        <w:keepNext w:val="0"/>
        <w:keepLines w:val="0"/>
        <w:pageBreakBefore w:val="0"/>
        <w:widowControl w:val="0"/>
        <w:kinsoku/>
        <w:wordWrap/>
        <w:overflowPunct/>
        <w:topLinePunct w:val="0"/>
        <w:bidi w:val="0"/>
        <w:snapToGrid/>
        <w:spacing w:line="240" w:lineRule="auto"/>
        <w:ind w:firstLine="640" w:firstLineChars="200"/>
        <w:jc w:val="left"/>
        <w:textAlignment w:val="auto"/>
        <w:rPr>
          <w:rFonts w:cs="仿宋" w:asciiTheme="minorEastAsia" w:hAnsiTheme="minorEastAsia"/>
          <w:color w:val="000000"/>
          <w:kern w:val="0"/>
          <w:sz w:val="32"/>
          <w:szCs w:val="32"/>
        </w:rPr>
      </w:pPr>
      <w:r>
        <w:rPr>
          <w:rFonts w:hint="eastAsia" w:cs="仿宋" w:asciiTheme="minorEastAsia" w:hAnsiTheme="minorEastAsia"/>
          <w:sz w:val="32"/>
          <w:szCs w:val="32"/>
        </w:rPr>
        <w:t>3、公务用车购置费及运行维护费支出决算为0万元，其中：公务用车购置费0万元</w:t>
      </w:r>
      <w:r>
        <w:rPr>
          <w:rFonts w:hint="eastAsia" w:cs="仿宋" w:asciiTheme="minorEastAsia" w:hAnsiTheme="minorEastAsia"/>
          <w:sz w:val="32"/>
          <w:szCs w:val="32"/>
          <w:lang w:eastAsia="zh-CN"/>
        </w:rPr>
        <w:t>，</w:t>
      </w:r>
      <w:r>
        <w:rPr>
          <w:rFonts w:hint="eastAsia" w:cs="仿宋" w:asciiTheme="minorEastAsia" w:hAnsiTheme="minorEastAsia"/>
          <w:sz w:val="32"/>
          <w:szCs w:val="32"/>
        </w:rPr>
        <w:t>更新公务用车0辆。公务用车运行维护费0万元，截止2021年12月31日，我单位开支财政拨款的公务用车保有量为0辆。</w:t>
      </w:r>
    </w:p>
    <w:p>
      <w:pPr>
        <w:pStyle w:val="10"/>
        <w:keepNext w:val="0"/>
        <w:keepLines w:val="0"/>
        <w:pageBreakBefore w:val="0"/>
        <w:widowControl w:val="0"/>
        <w:kinsoku/>
        <w:wordWrap/>
        <w:overflowPunct/>
        <w:topLinePunct w:val="0"/>
        <w:bidi w:val="0"/>
        <w:snapToGrid/>
        <w:spacing w:line="240" w:lineRule="auto"/>
        <w:textAlignment w:val="auto"/>
        <w:rPr>
          <w:rFonts w:hAnsi="黑体" w:cs="仿宋"/>
          <w:b/>
          <w:sz w:val="32"/>
          <w:szCs w:val="32"/>
        </w:rPr>
      </w:pPr>
      <w:r>
        <w:rPr>
          <w:rFonts w:hint="eastAsia" w:hAnsi="黑体" w:cs="仿宋"/>
          <w:b/>
          <w:sz w:val="32"/>
          <w:szCs w:val="32"/>
        </w:rPr>
        <w:t>八、政府性基金预算收入支出决算情况</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cs="仿宋" w:asciiTheme="minorEastAsia" w:hAnsiTheme="minorEastAsia" w:eastAsiaTheme="minorEastAsia"/>
          <w:i/>
          <w:color w:val="FF0000"/>
          <w:sz w:val="32"/>
          <w:szCs w:val="32"/>
        </w:rPr>
      </w:pPr>
      <w:r>
        <w:rPr>
          <w:rFonts w:hint="eastAsia" w:cs="仿宋" w:asciiTheme="minorEastAsia" w:hAnsiTheme="minorEastAsia" w:eastAsiaTheme="minorEastAsia"/>
          <w:sz w:val="32"/>
          <w:szCs w:val="32"/>
        </w:rPr>
        <w:t>2021年度政府性基金预算财政拨款收入0万元；年初结转和结余0万元；支出0万元，其中基本支出0万元，项目支出0万元；年末结转和结余0万元。</w:t>
      </w:r>
    </w:p>
    <w:p>
      <w:pPr>
        <w:pStyle w:val="10"/>
        <w:keepNext w:val="0"/>
        <w:keepLines w:val="0"/>
        <w:pageBreakBefore w:val="0"/>
        <w:widowControl w:val="0"/>
        <w:kinsoku/>
        <w:wordWrap/>
        <w:overflowPunct/>
        <w:topLinePunct w:val="0"/>
        <w:bidi w:val="0"/>
        <w:snapToGrid/>
        <w:spacing w:line="240" w:lineRule="auto"/>
        <w:textAlignment w:val="auto"/>
        <w:rPr>
          <w:rFonts w:hAnsi="黑体" w:cs="仿宋"/>
          <w:b/>
          <w:sz w:val="32"/>
          <w:szCs w:val="32"/>
        </w:rPr>
      </w:pPr>
      <w:r>
        <w:rPr>
          <w:rFonts w:hint="eastAsia" w:hAnsi="黑体" w:cs="仿宋"/>
          <w:b/>
          <w:sz w:val="32"/>
          <w:szCs w:val="32"/>
        </w:rPr>
        <w:t>九、国有资本经营预算财政拨款支出情况</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cs="仿宋" w:asciiTheme="minorEastAsia" w:hAnsiTheme="minorEastAsia" w:eastAsiaTheme="minorEastAsia"/>
          <w:i/>
          <w:color w:val="FF0000"/>
          <w:sz w:val="32"/>
          <w:szCs w:val="32"/>
        </w:rPr>
      </w:pPr>
      <w:r>
        <w:rPr>
          <w:rFonts w:hint="eastAsia" w:asciiTheme="minorEastAsia" w:hAnsiTheme="minorEastAsia" w:eastAsiaTheme="minorEastAsia"/>
          <w:sz w:val="32"/>
          <w:szCs w:val="32"/>
          <w:lang w:val="en-US" w:eastAsia="zh-CN"/>
        </w:rPr>
        <w:t>2021年度国有资本经营预算财政拨款收入0万元；年初结转和结余0万元；支出0万元，其中基本支出0万元，项目支出0万元；年末结转和结余0万元。</w:t>
      </w:r>
    </w:p>
    <w:p>
      <w:pPr>
        <w:pStyle w:val="10"/>
        <w:keepNext w:val="0"/>
        <w:keepLines w:val="0"/>
        <w:pageBreakBefore w:val="0"/>
        <w:widowControl w:val="0"/>
        <w:kinsoku/>
        <w:wordWrap/>
        <w:overflowPunct/>
        <w:topLinePunct w:val="0"/>
        <w:bidi w:val="0"/>
        <w:snapToGrid/>
        <w:spacing w:line="240" w:lineRule="auto"/>
        <w:textAlignment w:val="auto"/>
        <w:rPr>
          <w:rFonts w:hAnsi="黑体" w:cs="仿宋"/>
          <w:b/>
          <w:sz w:val="32"/>
          <w:szCs w:val="32"/>
        </w:rPr>
      </w:pPr>
      <w:r>
        <w:rPr>
          <w:rFonts w:hint="eastAsia" w:hAnsi="黑体" w:cs="仿宋"/>
          <w:b/>
          <w:sz w:val="32"/>
          <w:szCs w:val="32"/>
        </w:rPr>
        <w:t>十、机关运行经费支出说明</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cs="仿宋" w:asciiTheme="minorEastAsia" w:hAnsiTheme="minorEastAsia" w:eastAsiaTheme="minorEastAsia"/>
          <w:color w:val="FF0000"/>
          <w:sz w:val="32"/>
          <w:szCs w:val="32"/>
        </w:rPr>
      </w:pPr>
      <w:r>
        <w:rPr>
          <w:rFonts w:hint="eastAsia" w:cs="仿宋" w:asciiTheme="minorEastAsia" w:hAnsiTheme="minorEastAsia" w:eastAsiaTheme="minorEastAsia"/>
          <w:sz w:val="32"/>
          <w:szCs w:val="32"/>
        </w:rPr>
        <w:t>本部门2021年度机关运行经费支出</w:t>
      </w:r>
      <w:r>
        <w:rPr>
          <w:rFonts w:hint="eastAsia" w:cs="仿宋" w:asciiTheme="minorEastAsia" w:hAnsiTheme="minorEastAsia" w:eastAsiaTheme="minorEastAsia"/>
          <w:sz w:val="32"/>
          <w:szCs w:val="32"/>
          <w:lang w:val="en-US" w:eastAsia="zh-CN"/>
        </w:rPr>
        <w:t>6.63</w:t>
      </w:r>
      <w:r>
        <w:rPr>
          <w:rFonts w:hint="eastAsia" w:cs="仿宋" w:asciiTheme="minorEastAsia" w:hAnsiTheme="minorEastAsia" w:eastAsiaTheme="minorEastAsia"/>
          <w:sz w:val="32"/>
          <w:szCs w:val="32"/>
        </w:rPr>
        <w:t>万元，比年初预算数14.09万元减少8.33万元，下降59.12%。主要原因是：单位贯彻执行过“紧日子”思想，严控一般性支出，大力压减办公经费。</w:t>
      </w:r>
    </w:p>
    <w:p>
      <w:pPr>
        <w:pStyle w:val="10"/>
        <w:keepNext w:val="0"/>
        <w:keepLines w:val="0"/>
        <w:pageBreakBefore w:val="0"/>
        <w:widowControl w:val="0"/>
        <w:kinsoku/>
        <w:wordWrap/>
        <w:overflowPunct/>
        <w:topLinePunct w:val="0"/>
        <w:bidi w:val="0"/>
        <w:snapToGrid/>
        <w:spacing w:line="240" w:lineRule="auto"/>
        <w:textAlignment w:val="auto"/>
        <w:rPr>
          <w:rFonts w:hAnsi="黑体" w:cs="仿宋"/>
          <w:b/>
          <w:sz w:val="32"/>
          <w:szCs w:val="32"/>
        </w:rPr>
      </w:pPr>
      <w:r>
        <w:rPr>
          <w:rFonts w:hint="eastAsia" w:hAnsi="黑体" w:cs="仿宋"/>
          <w:b/>
          <w:sz w:val="32"/>
          <w:szCs w:val="32"/>
        </w:rPr>
        <w:t>十一、一般性支出情况说明</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cs="仿宋" w:asciiTheme="minorEastAsia" w:hAnsiTheme="minorEastAsia" w:eastAsiaTheme="minorEastAsia"/>
          <w:sz w:val="32"/>
          <w:szCs w:val="32"/>
        </w:rPr>
      </w:pPr>
      <w:r>
        <w:rPr>
          <w:rFonts w:hint="eastAsia" w:asciiTheme="minorEastAsia" w:hAnsiTheme="minorEastAsia" w:eastAsiaTheme="minorEastAsia"/>
          <w:color w:val="auto"/>
          <w:sz w:val="32"/>
          <w:szCs w:val="32"/>
        </w:rPr>
        <w:t>2021年本部门开支会议费0万元，用于召开0会议，人数0人，内容为无；</w:t>
      </w:r>
      <w:r>
        <w:rPr>
          <w:rFonts w:hint="eastAsia" w:cs="仿宋" w:asciiTheme="minorEastAsia" w:hAnsiTheme="minorEastAsia" w:eastAsiaTheme="minorEastAsia"/>
          <w:sz w:val="32"/>
          <w:szCs w:val="32"/>
        </w:rPr>
        <w:t>开支培训费0.03万元，主要是事业单位工作人员网上培训</w:t>
      </w:r>
      <w:r>
        <w:rPr>
          <w:rFonts w:hint="eastAsia" w:cs="仿宋" w:asciiTheme="minorEastAsia" w:hAnsiTheme="minorEastAsia" w:eastAsiaTheme="minorEastAsia"/>
          <w:sz w:val="32"/>
          <w:szCs w:val="32"/>
          <w:lang w:eastAsia="zh-CN"/>
        </w:rPr>
        <w:t>；</w:t>
      </w:r>
      <w:bookmarkStart w:id="0" w:name="_GoBack"/>
      <w:bookmarkEnd w:id="0"/>
      <w:r>
        <w:rPr>
          <w:rFonts w:hint="eastAsia" w:asciiTheme="minorEastAsia" w:hAnsiTheme="minorEastAsia" w:eastAsiaTheme="minorEastAsia"/>
          <w:color w:val="auto"/>
          <w:sz w:val="32"/>
          <w:szCs w:val="32"/>
        </w:rPr>
        <w:t>举办0场节庆、晚会、论坛、赛事等活动，开支0万元。</w:t>
      </w:r>
    </w:p>
    <w:p>
      <w:pPr>
        <w:pStyle w:val="10"/>
        <w:keepNext w:val="0"/>
        <w:keepLines w:val="0"/>
        <w:pageBreakBefore w:val="0"/>
        <w:widowControl w:val="0"/>
        <w:kinsoku/>
        <w:wordWrap/>
        <w:overflowPunct/>
        <w:topLinePunct w:val="0"/>
        <w:bidi w:val="0"/>
        <w:snapToGrid/>
        <w:spacing w:line="240" w:lineRule="auto"/>
        <w:textAlignment w:val="auto"/>
        <w:rPr>
          <w:rFonts w:hAnsi="黑体" w:cs="仿宋"/>
          <w:b/>
          <w:sz w:val="32"/>
          <w:szCs w:val="32"/>
        </w:rPr>
      </w:pPr>
      <w:r>
        <w:rPr>
          <w:rFonts w:hint="eastAsia" w:hAnsi="黑体" w:cs="仿宋"/>
          <w:b/>
          <w:sz w:val="32"/>
          <w:szCs w:val="32"/>
        </w:rPr>
        <w:t>十二、政府采购支出说明</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本部门2021年度政府采购支出总额2.56万元，其中：政府采购货物支出2.56万元、政府采购工程支出0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0"/>
        <w:keepNext w:val="0"/>
        <w:keepLines w:val="0"/>
        <w:pageBreakBefore w:val="0"/>
        <w:widowControl w:val="0"/>
        <w:kinsoku/>
        <w:wordWrap/>
        <w:overflowPunct/>
        <w:topLinePunct w:val="0"/>
        <w:bidi w:val="0"/>
        <w:snapToGrid/>
        <w:spacing w:line="240" w:lineRule="auto"/>
        <w:textAlignment w:val="auto"/>
        <w:rPr>
          <w:rFonts w:hAnsi="黑体" w:cs="仿宋"/>
          <w:b/>
          <w:sz w:val="32"/>
          <w:szCs w:val="32"/>
        </w:rPr>
      </w:pPr>
      <w:r>
        <w:rPr>
          <w:rFonts w:hint="eastAsia" w:hAnsi="黑体" w:cs="仿宋"/>
          <w:b/>
          <w:sz w:val="32"/>
          <w:szCs w:val="32"/>
        </w:rPr>
        <w:t>十三、国有资产占用情况说明</w:t>
      </w:r>
    </w:p>
    <w:p>
      <w:pPr>
        <w:pStyle w:val="10"/>
        <w:keepNext w:val="0"/>
        <w:keepLines w:val="0"/>
        <w:pageBreakBefore w:val="0"/>
        <w:widowControl w:val="0"/>
        <w:kinsoku/>
        <w:wordWrap/>
        <w:overflowPunct/>
        <w:topLinePunct w:val="0"/>
        <w:bidi w:val="0"/>
        <w:snapToGrid/>
        <w:spacing w:line="240" w:lineRule="auto"/>
        <w:ind w:firstLine="640" w:firstLineChars="200"/>
        <w:textAlignment w:val="auto"/>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截至2021年12月31日，部门（单位）共有车辆0辆，其中，主要领导干部用车0辆，机要通信用车0辆、应急保障用车0辆、执法执勤用车0辆、特种专业技术用车0辆、其他用车0辆；单位价值50万元以上通用设备0台（套）；单位价值100万元以上专用设备0台（套）。</w:t>
      </w:r>
    </w:p>
    <w:p>
      <w:pPr>
        <w:pStyle w:val="10"/>
        <w:keepNext w:val="0"/>
        <w:keepLines w:val="0"/>
        <w:pageBreakBefore w:val="0"/>
        <w:widowControl w:val="0"/>
        <w:kinsoku/>
        <w:wordWrap/>
        <w:overflowPunct/>
        <w:topLinePunct w:val="0"/>
        <w:bidi w:val="0"/>
        <w:snapToGrid/>
        <w:spacing w:line="240" w:lineRule="auto"/>
        <w:textAlignment w:val="auto"/>
        <w:rPr>
          <w:rFonts w:hAnsi="黑体" w:cs="仿宋"/>
          <w:b/>
          <w:sz w:val="32"/>
          <w:szCs w:val="32"/>
        </w:rPr>
      </w:pPr>
      <w:r>
        <w:rPr>
          <w:rFonts w:hint="eastAsia" w:hAnsi="黑体" w:cs="仿宋"/>
          <w:b/>
          <w:sz w:val="32"/>
          <w:szCs w:val="32"/>
        </w:rPr>
        <w:t>十四、2021年度预算绩效情况说明</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cs="仿宋" w:asciiTheme="minorEastAsia" w:hAnsiTheme="minorEastAsia"/>
          <w:color w:val="000000"/>
          <w:kern w:val="0"/>
          <w:sz w:val="32"/>
          <w:szCs w:val="32"/>
        </w:rPr>
      </w:pPr>
      <w:r>
        <w:rPr>
          <w:rFonts w:hint="eastAsia" w:cs="仿宋" w:asciiTheme="minorEastAsia" w:hAnsiTheme="minorEastAsia"/>
          <w:b/>
          <w:color w:val="000000"/>
          <w:kern w:val="0"/>
          <w:sz w:val="32"/>
          <w:szCs w:val="32"/>
        </w:rPr>
        <w:t>（1）绩效管理评价工作开展情况</w:t>
      </w:r>
      <w:r>
        <w:rPr>
          <w:rFonts w:hint="eastAsia" w:cs="仿宋" w:asciiTheme="minorEastAsia" w:hAnsiTheme="minorEastAsia"/>
          <w:color w:val="000000"/>
          <w:kern w:val="0"/>
          <w:sz w:val="32"/>
          <w:szCs w:val="32"/>
        </w:rPr>
        <w:t>。</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cs="仿宋" w:asciiTheme="minorEastAsia" w:hAnsiTheme="minorEastAsia"/>
          <w:color w:val="000000"/>
          <w:kern w:val="0"/>
          <w:sz w:val="32"/>
          <w:szCs w:val="32"/>
        </w:rPr>
      </w:pPr>
      <w:r>
        <w:rPr>
          <w:rFonts w:hint="eastAsia" w:cs="仿宋" w:asciiTheme="minorEastAsia" w:hAnsiTheme="minorEastAsia"/>
          <w:color w:val="000000"/>
          <w:kern w:val="0"/>
          <w:sz w:val="32"/>
          <w:szCs w:val="32"/>
        </w:rPr>
        <w:t>根据预算绩效管理要求，我单位组织对</w:t>
      </w:r>
      <w:r>
        <w:rPr>
          <w:rFonts w:cs="仿宋" w:asciiTheme="minorEastAsia" w:hAnsiTheme="minorEastAsia"/>
          <w:color w:val="000000"/>
          <w:kern w:val="0"/>
          <w:sz w:val="32"/>
          <w:szCs w:val="32"/>
        </w:rPr>
        <w:t xml:space="preserve">2021 </w:t>
      </w:r>
      <w:r>
        <w:rPr>
          <w:rFonts w:hint="eastAsia" w:cs="仿宋" w:asciiTheme="minorEastAsia" w:hAnsiTheme="minorEastAsia"/>
          <w:color w:val="000000"/>
          <w:kern w:val="0"/>
          <w:sz w:val="32"/>
          <w:szCs w:val="32"/>
        </w:rPr>
        <w:t>年度一般公共预算项目支出全面开展绩效自评，其中，一级项目0个，二级项目0个，共涉及资金0万元，占一般公共预算项目支出总额的0</w:t>
      </w:r>
      <w:r>
        <w:rPr>
          <w:rFonts w:cs="仿宋" w:asciiTheme="minorEastAsia" w:hAnsiTheme="minorEastAsia"/>
          <w:color w:val="000000"/>
          <w:kern w:val="0"/>
          <w:sz w:val="32"/>
          <w:szCs w:val="32"/>
        </w:rPr>
        <w:t>%</w:t>
      </w:r>
      <w:r>
        <w:rPr>
          <w:rFonts w:hint="eastAsia" w:cs="仿宋" w:asciiTheme="minorEastAsia" w:hAnsiTheme="minorEastAsia"/>
          <w:color w:val="000000"/>
          <w:kern w:val="0"/>
          <w:sz w:val="32"/>
          <w:szCs w:val="32"/>
        </w:rPr>
        <w:t>。组织对</w:t>
      </w:r>
      <w:r>
        <w:rPr>
          <w:rFonts w:cs="仿宋" w:asciiTheme="minorEastAsia" w:hAnsiTheme="minorEastAsia"/>
          <w:color w:val="000000"/>
          <w:kern w:val="0"/>
          <w:sz w:val="32"/>
          <w:szCs w:val="32"/>
        </w:rPr>
        <w:t>2021</w:t>
      </w:r>
      <w:r>
        <w:rPr>
          <w:rFonts w:hint="eastAsia" w:cs="仿宋" w:asciiTheme="minorEastAsia" w:hAnsiTheme="minorEastAsia"/>
          <w:color w:val="000000"/>
          <w:kern w:val="0"/>
          <w:sz w:val="32"/>
          <w:szCs w:val="32"/>
        </w:rPr>
        <w:t>年度0个政府性基金预算项目支出开展绩效自评，共涉及资金0万元，占政府性基金预算项目支出总额的0</w:t>
      </w:r>
      <w:r>
        <w:rPr>
          <w:rFonts w:cs="仿宋" w:asciiTheme="minorEastAsia" w:hAnsiTheme="minorEastAsia"/>
          <w:color w:val="000000"/>
          <w:kern w:val="0"/>
          <w:sz w:val="32"/>
          <w:szCs w:val="32"/>
        </w:rPr>
        <w:t>%</w:t>
      </w:r>
      <w:r>
        <w:rPr>
          <w:rFonts w:hint="eastAsia" w:cs="仿宋" w:asciiTheme="minorEastAsia" w:hAnsiTheme="minorEastAsia"/>
          <w:color w:val="000000"/>
          <w:kern w:val="0"/>
          <w:sz w:val="32"/>
          <w:szCs w:val="32"/>
        </w:rPr>
        <w:t>。组织对</w:t>
      </w:r>
      <w:r>
        <w:rPr>
          <w:rFonts w:cs="仿宋" w:asciiTheme="minorEastAsia" w:hAnsiTheme="minorEastAsia"/>
          <w:color w:val="000000"/>
          <w:kern w:val="0"/>
          <w:sz w:val="32"/>
          <w:szCs w:val="32"/>
        </w:rPr>
        <w:t xml:space="preserve">2021 </w:t>
      </w:r>
      <w:r>
        <w:rPr>
          <w:rFonts w:hint="eastAsia" w:cs="仿宋" w:asciiTheme="minorEastAsia" w:hAnsiTheme="minorEastAsia"/>
          <w:color w:val="000000"/>
          <w:kern w:val="0"/>
          <w:sz w:val="32"/>
          <w:szCs w:val="32"/>
        </w:rPr>
        <w:t>年度0个国有资本经营预算项目支出开展绩效自评，共涉及资金0万元，占国有资本经营预算项目支出总额的0</w:t>
      </w:r>
      <w:r>
        <w:rPr>
          <w:rFonts w:cs="仿宋" w:asciiTheme="minorEastAsia" w:hAnsiTheme="minorEastAsia"/>
          <w:color w:val="000000"/>
          <w:kern w:val="0"/>
          <w:sz w:val="32"/>
          <w:szCs w:val="32"/>
        </w:rPr>
        <w:t>%</w:t>
      </w:r>
      <w:r>
        <w:rPr>
          <w:rFonts w:hint="eastAsia" w:cs="仿宋" w:asciiTheme="minorEastAsia" w:hAnsiTheme="minorEastAsia"/>
          <w:color w:val="000000"/>
          <w:kern w:val="0"/>
          <w:sz w:val="32"/>
          <w:szCs w:val="32"/>
        </w:rPr>
        <w:t>。</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cs="仿宋" w:asciiTheme="minorEastAsia" w:hAnsiTheme="minorEastAsia"/>
          <w:color w:val="000000"/>
          <w:kern w:val="0"/>
          <w:sz w:val="32"/>
          <w:szCs w:val="32"/>
        </w:rPr>
      </w:pPr>
      <w:r>
        <w:rPr>
          <w:rFonts w:hint="eastAsia" w:cs="仿宋" w:asciiTheme="minorEastAsia" w:hAnsiTheme="minorEastAsia"/>
          <w:color w:val="000000"/>
          <w:kern w:val="0"/>
          <w:sz w:val="32"/>
          <w:szCs w:val="32"/>
        </w:rPr>
        <w:t>组织对0个项目开展了部门评价，涉及一般公共预算支出0万元，政府性基金预算支出0万元，国有资本经营预算支出0万元。</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cs="仿宋" w:asciiTheme="minorEastAsia" w:hAnsiTheme="minorEastAsia"/>
          <w:color w:val="000000"/>
          <w:kern w:val="0"/>
          <w:sz w:val="32"/>
          <w:szCs w:val="32"/>
        </w:rPr>
      </w:pPr>
      <w:r>
        <w:rPr>
          <w:rFonts w:hint="eastAsia" w:cs="仿宋" w:asciiTheme="minorEastAsia" w:hAnsiTheme="minorEastAsia"/>
          <w:color w:val="000000"/>
          <w:kern w:val="0"/>
          <w:sz w:val="32"/>
          <w:szCs w:val="32"/>
        </w:rPr>
        <w:t>组织对1个单位开展整体支出绩效评价，涉及一般公共预算支出160.8万元，政府性基金预算支出0万元。</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cs="仿宋" w:asciiTheme="minorEastAsia" w:hAnsiTheme="minorEastAsia"/>
          <w:b/>
          <w:color w:val="000000"/>
          <w:kern w:val="0"/>
          <w:sz w:val="32"/>
          <w:szCs w:val="32"/>
        </w:rPr>
      </w:pPr>
      <w:r>
        <w:rPr>
          <w:rFonts w:hint="eastAsia" w:cs="仿宋" w:asciiTheme="minorEastAsia" w:hAnsiTheme="minorEastAsia"/>
          <w:b/>
          <w:color w:val="000000"/>
          <w:kern w:val="0"/>
          <w:sz w:val="32"/>
          <w:szCs w:val="32"/>
        </w:rPr>
        <w:t>（2）部门决算中项目绩效自评结果。</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cs="仿宋" w:asciiTheme="minorEastAsia" w:hAnsiTheme="minorEastAsia"/>
          <w:color w:val="000000"/>
          <w:kern w:val="0"/>
          <w:sz w:val="32"/>
          <w:szCs w:val="32"/>
        </w:rPr>
      </w:pPr>
      <w:r>
        <w:rPr>
          <w:rFonts w:hint="eastAsia" w:cs="仿宋" w:asciiTheme="minorEastAsia" w:hAnsiTheme="minorEastAsia"/>
          <w:color w:val="000000"/>
          <w:kern w:val="0"/>
          <w:sz w:val="32"/>
          <w:szCs w:val="32"/>
        </w:rPr>
        <w:t>本单位决算中没有项目支出，因此没有项目绩效自评结果。</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cs="仿宋" w:asciiTheme="minorEastAsia" w:hAnsiTheme="minorEastAsia"/>
          <w:color w:val="000000"/>
          <w:kern w:val="0"/>
          <w:sz w:val="32"/>
          <w:szCs w:val="32"/>
        </w:rPr>
      </w:pPr>
      <w:r>
        <w:rPr>
          <w:rFonts w:hint="eastAsia" w:cs="仿宋" w:asciiTheme="minorEastAsia" w:hAnsiTheme="minorEastAsia"/>
          <w:b/>
          <w:color w:val="000000"/>
          <w:kern w:val="0"/>
          <w:sz w:val="32"/>
          <w:szCs w:val="32"/>
        </w:rPr>
        <w:t>（</w:t>
      </w:r>
      <w:r>
        <w:rPr>
          <w:rFonts w:cs="仿宋" w:asciiTheme="minorEastAsia" w:hAnsiTheme="minorEastAsia"/>
          <w:b/>
          <w:color w:val="000000"/>
          <w:kern w:val="0"/>
          <w:sz w:val="32"/>
          <w:szCs w:val="32"/>
        </w:rPr>
        <w:t>3</w:t>
      </w:r>
      <w:r>
        <w:rPr>
          <w:rFonts w:hint="eastAsia" w:cs="仿宋" w:asciiTheme="minorEastAsia" w:hAnsiTheme="minorEastAsia"/>
          <w:b/>
          <w:color w:val="000000"/>
          <w:kern w:val="0"/>
          <w:sz w:val="32"/>
          <w:szCs w:val="32"/>
        </w:rPr>
        <w:t>）部门评价项目绩效评价结果。</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cs="仿宋" w:asciiTheme="minorEastAsia" w:hAnsiTheme="minorEastAsia"/>
          <w:color w:val="000000"/>
          <w:kern w:val="0"/>
          <w:sz w:val="32"/>
          <w:szCs w:val="32"/>
        </w:rPr>
      </w:pPr>
      <w:r>
        <w:rPr>
          <w:rFonts w:hint="eastAsia" w:cs="仿宋" w:asciiTheme="minorEastAsia" w:hAnsiTheme="minorEastAsia"/>
          <w:color w:val="000000"/>
          <w:kern w:val="0"/>
          <w:sz w:val="32"/>
          <w:szCs w:val="32"/>
        </w:rPr>
        <w:t>本单位2021年无项目支出，因此没有部门项目绩效评价结果。</w:t>
      </w:r>
    </w:p>
    <w:p>
      <w:pPr>
        <w:pStyle w:val="10"/>
        <w:keepNext w:val="0"/>
        <w:keepLines w:val="0"/>
        <w:pageBreakBefore w:val="0"/>
        <w:widowControl w:val="0"/>
        <w:kinsoku/>
        <w:wordWrap/>
        <w:overflowPunct/>
        <w:topLinePunct w:val="0"/>
        <w:bidi w:val="0"/>
        <w:snapToGrid/>
        <w:spacing w:line="240" w:lineRule="auto"/>
        <w:ind w:firstLine="1440" w:firstLineChars="200"/>
        <w:textAlignment w:val="auto"/>
        <w:rPr>
          <w:rFonts w:cs="仿宋"/>
          <w:sz w:val="72"/>
          <w:szCs w:val="72"/>
        </w:rPr>
      </w:pPr>
    </w:p>
    <w:p>
      <w:pPr>
        <w:pStyle w:val="10"/>
        <w:keepNext w:val="0"/>
        <w:keepLines w:val="0"/>
        <w:pageBreakBefore w:val="0"/>
        <w:widowControl w:val="0"/>
        <w:kinsoku/>
        <w:wordWrap/>
        <w:overflowPunct/>
        <w:topLinePunct w:val="0"/>
        <w:bidi w:val="0"/>
        <w:snapToGrid/>
        <w:spacing w:line="240" w:lineRule="auto"/>
        <w:ind w:firstLine="1440" w:firstLineChars="200"/>
        <w:textAlignment w:val="auto"/>
        <w:rPr>
          <w:rFonts w:cs="仿宋"/>
          <w:sz w:val="72"/>
          <w:szCs w:val="72"/>
        </w:rPr>
      </w:pPr>
    </w:p>
    <w:p>
      <w:pPr>
        <w:pStyle w:val="10"/>
        <w:keepNext w:val="0"/>
        <w:keepLines w:val="0"/>
        <w:pageBreakBefore w:val="0"/>
        <w:widowControl w:val="0"/>
        <w:kinsoku/>
        <w:wordWrap/>
        <w:overflowPunct/>
        <w:topLinePunct w:val="0"/>
        <w:bidi w:val="0"/>
        <w:snapToGrid/>
        <w:spacing w:line="240" w:lineRule="auto"/>
        <w:ind w:firstLine="1440" w:firstLineChars="200"/>
        <w:textAlignment w:val="auto"/>
        <w:rPr>
          <w:rFonts w:cs="仿宋"/>
          <w:sz w:val="72"/>
          <w:szCs w:val="72"/>
        </w:rPr>
      </w:pPr>
    </w:p>
    <w:p>
      <w:pPr>
        <w:pStyle w:val="10"/>
        <w:keepNext w:val="0"/>
        <w:keepLines w:val="0"/>
        <w:pageBreakBefore w:val="0"/>
        <w:widowControl w:val="0"/>
        <w:kinsoku/>
        <w:wordWrap/>
        <w:overflowPunct/>
        <w:topLinePunct w:val="0"/>
        <w:bidi w:val="0"/>
        <w:snapToGrid/>
        <w:spacing w:line="240" w:lineRule="auto"/>
        <w:ind w:firstLine="1440" w:firstLineChars="200"/>
        <w:textAlignment w:val="auto"/>
        <w:rPr>
          <w:rFonts w:cs="仿宋"/>
          <w:sz w:val="72"/>
          <w:szCs w:val="72"/>
        </w:rPr>
      </w:pPr>
    </w:p>
    <w:p>
      <w:pPr>
        <w:pStyle w:val="10"/>
        <w:ind w:firstLine="1440" w:firstLineChars="200"/>
        <w:rPr>
          <w:rFonts w:cs="仿宋"/>
          <w:sz w:val="72"/>
          <w:szCs w:val="72"/>
        </w:rPr>
      </w:pPr>
    </w:p>
    <w:p>
      <w:pPr>
        <w:pStyle w:val="10"/>
        <w:ind w:firstLine="1440" w:firstLineChars="200"/>
        <w:rPr>
          <w:rFonts w:cs="仿宋"/>
          <w:sz w:val="72"/>
          <w:szCs w:val="72"/>
        </w:rPr>
      </w:pPr>
    </w:p>
    <w:p>
      <w:pPr>
        <w:pStyle w:val="10"/>
        <w:ind w:firstLine="1440" w:firstLineChars="200"/>
        <w:rPr>
          <w:rFonts w:cs="仿宋"/>
          <w:sz w:val="72"/>
          <w:szCs w:val="72"/>
        </w:rPr>
      </w:pPr>
    </w:p>
    <w:p>
      <w:pPr>
        <w:pStyle w:val="10"/>
        <w:ind w:firstLine="1440" w:firstLineChars="200"/>
        <w:rPr>
          <w:rFonts w:cs="仿宋"/>
          <w:sz w:val="72"/>
          <w:szCs w:val="72"/>
        </w:rPr>
      </w:pPr>
    </w:p>
    <w:p>
      <w:pPr>
        <w:pStyle w:val="10"/>
        <w:ind w:firstLine="1440" w:firstLineChars="200"/>
        <w:rPr>
          <w:rFonts w:cs="仿宋"/>
          <w:sz w:val="72"/>
          <w:szCs w:val="72"/>
        </w:rPr>
      </w:pPr>
    </w:p>
    <w:p>
      <w:pPr>
        <w:pStyle w:val="10"/>
        <w:ind w:firstLine="1440" w:firstLineChars="200"/>
        <w:rPr>
          <w:rFonts w:cs="仿宋"/>
          <w:sz w:val="72"/>
          <w:szCs w:val="72"/>
        </w:rPr>
      </w:pPr>
    </w:p>
    <w:p>
      <w:pPr>
        <w:pStyle w:val="10"/>
        <w:ind w:firstLine="1440" w:firstLineChars="200"/>
        <w:rPr>
          <w:rFonts w:cs="仿宋"/>
          <w:sz w:val="72"/>
          <w:szCs w:val="72"/>
        </w:rPr>
      </w:pPr>
    </w:p>
    <w:p>
      <w:pPr>
        <w:pStyle w:val="10"/>
        <w:ind w:firstLine="1440" w:firstLineChars="200"/>
        <w:rPr>
          <w:rFonts w:cs="仿宋"/>
          <w:sz w:val="72"/>
          <w:szCs w:val="72"/>
        </w:rPr>
      </w:pPr>
    </w:p>
    <w:p>
      <w:pPr>
        <w:pStyle w:val="10"/>
        <w:ind w:firstLine="1440" w:firstLineChars="200"/>
        <w:rPr>
          <w:rFonts w:cs="仿宋"/>
          <w:sz w:val="72"/>
          <w:szCs w:val="72"/>
        </w:rPr>
      </w:pPr>
    </w:p>
    <w:p>
      <w:pPr>
        <w:pStyle w:val="10"/>
        <w:ind w:firstLine="1440" w:firstLineChars="200"/>
        <w:rPr>
          <w:rFonts w:cs="仿宋"/>
          <w:sz w:val="72"/>
          <w:szCs w:val="72"/>
        </w:rPr>
      </w:pPr>
    </w:p>
    <w:p>
      <w:pPr>
        <w:pStyle w:val="10"/>
        <w:ind w:firstLine="1440" w:firstLineChars="200"/>
        <w:rPr>
          <w:rFonts w:cs="仿宋"/>
          <w:sz w:val="72"/>
          <w:szCs w:val="72"/>
        </w:rPr>
      </w:pPr>
    </w:p>
    <w:p>
      <w:pPr>
        <w:pStyle w:val="10"/>
        <w:rPr>
          <w:rFonts w:cs="仿宋"/>
          <w:sz w:val="72"/>
          <w:szCs w:val="72"/>
        </w:rPr>
      </w:pPr>
    </w:p>
    <w:p>
      <w:pPr>
        <w:pStyle w:val="10"/>
        <w:jc w:val="center"/>
        <w:rPr>
          <w:rFonts w:cs="仿宋"/>
          <w:sz w:val="72"/>
          <w:szCs w:val="72"/>
        </w:rPr>
      </w:pPr>
      <w:r>
        <w:rPr>
          <w:rFonts w:hint="eastAsia" w:cs="仿宋"/>
          <w:sz w:val="72"/>
          <w:szCs w:val="72"/>
        </w:rPr>
        <w:t>第四部分</w:t>
      </w:r>
    </w:p>
    <w:p>
      <w:pPr>
        <w:jc w:val="center"/>
        <w:rPr>
          <w:rFonts w:ascii="黑体" w:eastAsia="黑体" w:cs="仿宋"/>
          <w:color w:val="000000"/>
          <w:kern w:val="0"/>
          <w:sz w:val="70"/>
          <w:szCs w:val="70"/>
        </w:rPr>
      </w:pPr>
    </w:p>
    <w:p>
      <w:pPr>
        <w:jc w:val="center"/>
        <w:rPr>
          <w:rFonts w:ascii="黑体" w:eastAsia="黑体" w:cs="仿宋"/>
          <w:color w:val="000000"/>
          <w:kern w:val="0"/>
          <w:sz w:val="70"/>
          <w:szCs w:val="70"/>
        </w:rPr>
      </w:pPr>
      <w:r>
        <w:rPr>
          <w:rFonts w:hint="eastAsia" w:ascii="黑体" w:eastAsia="黑体" w:cs="仿宋"/>
          <w:color w:val="000000"/>
          <w:kern w:val="0"/>
          <w:sz w:val="70"/>
          <w:szCs w:val="70"/>
        </w:rPr>
        <w:t>名词解释</w:t>
      </w:r>
    </w:p>
    <w:p>
      <w:pPr>
        <w:widowControl/>
        <w:ind w:firstLine="1400" w:firstLineChars="200"/>
        <w:jc w:val="left"/>
        <w:rPr>
          <w:rFonts w:ascii="黑体" w:eastAsia="黑体" w:cs="仿宋"/>
          <w:color w:val="000000"/>
          <w:kern w:val="0"/>
          <w:sz w:val="70"/>
          <w:szCs w:val="70"/>
        </w:rPr>
      </w:pPr>
      <w:r>
        <w:rPr>
          <w:rFonts w:ascii="黑体" w:eastAsia="黑体" w:cs="仿宋"/>
          <w:color w:val="000000"/>
          <w:kern w:val="0"/>
          <w:sz w:val="70"/>
          <w:szCs w:val="70"/>
        </w:rPr>
        <w:br w:type="page"/>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hint="eastAsia" w:cs="仿宋" w:asciiTheme="minorEastAsia" w:hAnsiTheme="minorEastAsia"/>
          <w:color w:val="000000"/>
          <w:kern w:val="0"/>
          <w:sz w:val="32"/>
          <w:szCs w:val="32"/>
        </w:rPr>
      </w:pPr>
      <w:r>
        <w:rPr>
          <w:rFonts w:hint="eastAsia" w:cs="仿宋" w:asciiTheme="minorEastAsia" w:hAnsiTheme="minorEastAsia"/>
          <w:color w:val="000000"/>
          <w:kern w:val="0"/>
          <w:sz w:val="32"/>
          <w:szCs w:val="32"/>
        </w:rPr>
        <w:t xml:space="preserve">一、财政拨款收入：指财政当年拨付的资金。 </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hint="eastAsia" w:cs="仿宋" w:asciiTheme="minorEastAsia" w:hAnsiTheme="minorEastAsia"/>
          <w:color w:val="000000"/>
          <w:kern w:val="0"/>
          <w:sz w:val="32"/>
          <w:szCs w:val="32"/>
        </w:rPr>
      </w:pPr>
      <w:r>
        <w:rPr>
          <w:rFonts w:hint="eastAsia" w:cs="仿宋" w:asciiTheme="minorEastAsia" w:hAnsiTheme="minorEastAsia"/>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hint="eastAsia" w:cs="仿宋" w:asciiTheme="minorEastAsia" w:hAnsiTheme="minorEastAsia"/>
          <w:color w:val="000000"/>
          <w:kern w:val="0"/>
          <w:sz w:val="32"/>
          <w:szCs w:val="32"/>
        </w:rPr>
      </w:pPr>
      <w:r>
        <w:rPr>
          <w:rFonts w:hint="eastAsia" w:cs="仿宋" w:asciiTheme="minorEastAsia" w:hAnsiTheme="minorEastAsia"/>
          <w:color w:val="000000"/>
          <w:kern w:val="0"/>
          <w:sz w:val="32"/>
          <w:szCs w:val="32"/>
        </w:rPr>
        <w:t xml:space="preserve">三、经营收入：指事业单位在专业业务活动及其辅助活动之外开展非独立核算经营活动取得的收入。如：中国财政杂志社广告收入等。 </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hint="eastAsia" w:cs="仿宋" w:asciiTheme="minorEastAsia" w:hAnsiTheme="minorEastAsia"/>
          <w:color w:val="000000"/>
          <w:kern w:val="0"/>
          <w:sz w:val="32"/>
          <w:szCs w:val="32"/>
        </w:rPr>
      </w:pPr>
      <w:r>
        <w:rPr>
          <w:rFonts w:hint="eastAsia" w:cs="仿宋" w:asciiTheme="minorEastAsia" w:hAnsiTheme="minorEastAsia"/>
          <w:color w:val="000000"/>
          <w:kern w:val="0"/>
          <w:sz w:val="32"/>
          <w:szCs w:val="32"/>
        </w:rPr>
        <w:t xml:space="preserve">四、其他收入：指除上述“财政拨款收入”、“事业收入”、“经营收入”等以外的收入。主要是按规定动用的售房收入、存款利息收入等。 </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hint="eastAsia" w:cs="仿宋" w:asciiTheme="minorEastAsia" w:hAnsiTheme="minorEastAsia"/>
          <w:color w:val="000000"/>
          <w:kern w:val="0"/>
          <w:sz w:val="32"/>
          <w:szCs w:val="32"/>
        </w:rPr>
      </w:pPr>
      <w:r>
        <w:rPr>
          <w:rFonts w:hint="eastAsia" w:cs="仿宋" w:asciiTheme="minorEastAsia" w:hAnsiTheme="minorEastAsia"/>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hint="eastAsia" w:cs="仿宋" w:asciiTheme="minorEastAsia" w:hAnsiTheme="minorEastAsia"/>
          <w:color w:val="000000"/>
          <w:kern w:val="0"/>
          <w:sz w:val="32"/>
          <w:szCs w:val="32"/>
        </w:rPr>
      </w:pPr>
      <w:r>
        <w:rPr>
          <w:rFonts w:hint="eastAsia" w:cs="仿宋" w:asciiTheme="minorEastAsia" w:hAnsiTheme="minorEastAsia"/>
          <w:color w:val="000000"/>
          <w:kern w:val="0"/>
          <w:sz w:val="32"/>
          <w:szCs w:val="32"/>
        </w:rPr>
        <w:t xml:space="preserve">六、年初结转和结余：指以前年度尚未完成、结转到本年按有关规定继续使用的资金。 </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hint="eastAsia" w:cs="仿宋" w:asciiTheme="minorEastAsia" w:hAnsiTheme="minorEastAsia"/>
          <w:color w:val="000000"/>
          <w:kern w:val="0"/>
          <w:sz w:val="32"/>
          <w:szCs w:val="32"/>
        </w:rPr>
      </w:pPr>
      <w:r>
        <w:rPr>
          <w:rFonts w:hint="eastAsia" w:cs="仿宋" w:asciiTheme="minorEastAsia" w:hAnsiTheme="minorEastAsia"/>
          <w:color w:val="000000"/>
          <w:kern w:val="0"/>
          <w:sz w:val="32"/>
          <w:szCs w:val="32"/>
        </w:rPr>
        <w:t>七、结余分配：指事业单位按规定提取的职工福利基金、事业基金和缴纳的所得税，以及建设单位按规定应交回的基本建设竣工项目结余资金。</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hint="eastAsia" w:cs="仿宋" w:asciiTheme="minorEastAsia" w:hAnsiTheme="minorEastAsia"/>
          <w:color w:val="000000"/>
          <w:kern w:val="0"/>
          <w:sz w:val="32"/>
          <w:szCs w:val="32"/>
        </w:rPr>
      </w:pPr>
      <w:r>
        <w:rPr>
          <w:rFonts w:hint="eastAsia" w:cs="仿宋" w:asciiTheme="minorEastAsia" w:hAnsiTheme="minorEastAsia"/>
          <w:color w:val="000000"/>
          <w:kern w:val="0"/>
          <w:sz w:val="32"/>
          <w:szCs w:val="32"/>
        </w:rPr>
        <w:t xml:space="preserve">八、年末结转和结余：指本年度或以前年度预算安排、因客观条件发生变化无法按原计划实施，需要延迟到以后年度按有关规定继续使用的资金。 </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hint="eastAsia" w:cs="仿宋" w:asciiTheme="minorEastAsia" w:hAnsiTheme="minorEastAsia"/>
          <w:color w:val="000000"/>
          <w:kern w:val="0"/>
          <w:sz w:val="32"/>
          <w:szCs w:val="32"/>
        </w:rPr>
      </w:pPr>
      <w:r>
        <w:rPr>
          <w:rFonts w:hint="eastAsia" w:cs="仿宋" w:asciiTheme="minorEastAsia" w:hAnsiTheme="minorEastAsia"/>
          <w:color w:val="000000"/>
          <w:kern w:val="0"/>
          <w:sz w:val="32"/>
          <w:szCs w:val="32"/>
        </w:rPr>
        <w:t xml:space="preserve">九、基本支出：指为保障机构正常运转、完成日常工作任务而发生的人员支出和公用支出。 </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hint="eastAsia" w:cs="仿宋" w:asciiTheme="minorEastAsia" w:hAnsiTheme="minorEastAsia"/>
          <w:color w:val="000000"/>
          <w:kern w:val="0"/>
          <w:sz w:val="32"/>
          <w:szCs w:val="32"/>
        </w:rPr>
      </w:pPr>
      <w:r>
        <w:rPr>
          <w:rFonts w:hint="eastAsia" w:cs="仿宋" w:asciiTheme="minorEastAsia" w:hAnsiTheme="minorEastAsia"/>
          <w:color w:val="000000"/>
          <w:kern w:val="0"/>
          <w:sz w:val="32"/>
          <w:szCs w:val="32"/>
        </w:rPr>
        <w:t xml:space="preserve">十、项目支出：指在基本支出之外为完成特定行政任务和事业发展目标所发生的支出。 </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hint="eastAsia" w:cs="仿宋" w:asciiTheme="minorEastAsia" w:hAnsiTheme="minorEastAsia"/>
          <w:color w:val="000000"/>
          <w:kern w:val="0"/>
          <w:sz w:val="32"/>
          <w:szCs w:val="32"/>
        </w:rPr>
      </w:pPr>
      <w:r>
        <w:rPr>
          <w:rFonts w:hint="eastAsia" w:cs="仿宋" w:asciiTheme="minorEastAsia" w:hAnsiTheme="minorEastAsia"/>
          <w:color w:val="000000"/>
          <w:kern w:val="0"/>
          <w:sz w:val="32"/>
          <w:szCs w:val="32"/>
        </w:rPr>
        <w:t xml:space="preserve">十一、经营支出：指事业单位在专业业务活动及其辅助活动之外开展非独立核算经营活动发生的支出。 </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hint="eastAsia" w:cs="仿宋" w:asciiTheme="minorEastAsia" w:hAnsiTheme="minorEastAsia"/>
          <w:color w:val="000000"/>
          <w:kern w:val="0"/>
          <w:sz w:val="32"/>
          <w:szCs w:val="32"/>
        </w:rPr>
      </w:pPr>
      <w:r>
        <w:rPr>
          <w:rFonts w:hint="eastAsia" w:cs="仿宋" w:asciiTheme="minorEastAsia" w:hAnsiTheme="minorEastAsia"/>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hint="eastAsia" w:cs="仿宋" w:asciiTheme="minorEastAsia" w:hAnsiTheme="minorEastAsia"/>
          <w:color w:val="000000"/>
          <w:kern w:val="0"/>
          <w:sz w:val="32"/>
          <w:szCs w:val="32"/>
          <w:lang w:eastAsia="zh-CN"/>
        </w:rPr>
      </w:pPr>
      <w:r>
        <w:rPr>
          <w:rFonts w:hint="eastAsia" w:cs="仿宋" w:asciiTheme="minorEastAsia" w:hAnsiTheme="minorEastAsia"/>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cs="仿宋" w:asciiTheme="minorEastAsia" w:hAnsiTheme="minorEastAsia"/>
          <w:color w:val="000000"/>
          <w:kern w:val="0"/>
          <w:sz w:val="32"/>
          <w:szCs w:val="32"/>
          <w:lang w:eastAsia="zh-CN"/>
        </w:rPr>
        <w:t>。</w:t>
      </w:r>
    </w:p>
    <w:p>
      <w:pPr>
        <w:autoSpaceDE w:val="0"/>
        <w:autoSpaceDN w:val="0"/>
        <w:adjustRightInd w:val="0"/>
        <w:ind w:firstLine="640" w:firstLineChars="200"/>
        <w:jc w:val="left"/>
        <w:rPr>
          <w:rFonts w:hint="eastAsia" w:cs="仿宋" w:asciiTheme="minorEastAsia" w:hAnsiTheme="minorEastAsia"/>
          <w:color w:val="000000"/>
          <w:kern w:val="0"/>
          <w:sz w:val="32"/>
          <w:szCs w:val="32"/>
        </w:rPr>
      </w:pPr>
    </w:p>
    <w:p>
      <w:pPr>
        <w:autoSpaceDE w:val="0"/>
        <w:autoSpaceDN w:val="0"/>
        <w:adjustRightInd w:val="0"/>
        <w:ind w:firstLine="640" w:firstLineChars="200"/>
        <w:jc w:val="left"/>
        <w:rPr>
          <w:rFonts w:hint="eastAsia" w:cs="仿宋" w:asciiTheme="minorEastAsia" w:hAnsiTheme="minorEastAsia"/>
          <w:color w:val="000000"/>
          <w:kern w:val="0"/>
          <w:sz w:val="32"/>
          <w:szCs w:val="32"/>
        </w:rPr>
      </w:pPr>
    </w:p>
    <w:p>
      <w:pPr>
        <w:autoSpaceDE w:val="0"/>
        <w:autoSpaceDN w:val="0"/>
        <w:adjustRightInd w:val="0"/>
        <w:ind w:firstLine="640" w:firstLineChars="200"/>
        <w:jc w:val="left"/>
        <w:rPr>
          <w:rFonts w:hint="eastAsia" w:cs="仿宋" w:asciiTheme="minorEastAsia" w:hAnsiTheme="minorEastAsia"/>
          <w:color w:val="000000"/>
          <w:kern w:val="0"/>
          <w:sz w:val="32"/>
          <w:szCs w:val="32"/>
        </w:rPr>
      </w:pPr>
    </w:p>
    <w:p>
      <w:pPr>
        <w:autoSpaceDE w:val="0"/>
        <w:autoSpaceDN w:val="0"/>
        <w:adjustRightInd w:val="0"/>
        <w:ind w:firstLine="640" w:firstLineChars="200"/>
        <w:jc w:val="left"/>
        <w:rPr>
          <w:rFonts w:hint="eastAsia" w:cs="仿宋" w:asciiTheme="minorEastAsia" w:hAnsiTheme="minorEastAsia"/>
          <w:color w:val="000000"/>
          <w:kern w:val="0"/>
          <w:sz w:val="32"/>
          <w:szCs w:val="32"/>
        </w:rPr>
      </w:pPr>
    </w:p>
    <w:p>
      <w:pPr>
        <w:autoSpaceDE w:val="0"/>
        <w:autoSpaceDN w:val="0"/>
        <w:adjustRightInd w:val="0"/>
        <w:ind w:firstLine="640" w:firstLineChars="200"/>
        <w:jc w:val="left"/>
        <w:rPr>
          <w:rFonts w:hint="eastAsia" w:cs="仿宋" w:asciiTheme="minorEastAsia" w:hAnsiTheme="minorEastAsia"/>
          <w:color w:val="000000"/>
          <w:kern w:val="0"/>
          <w:sz w:val="32"/>
          <w:szCs w:val="32"/>
        </w:rPr>
      </w:pPr>
    </w:p>
    <w:p>
      <w:pPr>
        <w:autoSpaceDE w:val="0"/>
        <w:autoSpaceDN w:val="0"/>
        <w:adjustRightInd w:val="0"/>
        <w:ind w:firstLine="640" w:firstLineChars="200"/>
        <w:jc w:val="left"/>
        <w:rPr>
          <w:rFonts w:hint="eastAsia" w:cs="仿宋" w:asciiTheme="minorEastAsia" w:hAnsiTheme="minorEastAsia"/>
          <w:color w:val="000000"/>
          <w:kern w:val="0"/>
          <w:sz w:val="32"/>
          <w:szCs w:val="32"/>
        </w:rPr>
      </w:pPr>
    </w:p>
    <w:p>
      <w:pPr>
        <w:autoSpaceDE w:val="0"/>
        <w:autoSpaceDN w:val="0"/>
        <w:adjustRightInd w:val="0"/>
        <w:ind w:firstLine="640" w:firstLineChars="200"/>
        <w:jc w:val="left"/>
        <w:rPr>
          <w:rFonts w:hint="eastAsia" w:cs="仿宋" w:asciiTheme="minorEastAsia" w:hAnsiTheme="minorEastAsia"/>
          <w:color w:val="000000"/>
          <w:kern w:val="0"/>
          <w:sz w:val="32"/>
          <w:szCs w:val="32"/>
        </w:rPr>
      </w:pPr>
    </w:p>
    <w:p>
      <w:pPr>
        <w:autoSpaceDE w:val="0"/>
        <w:autoSpaceDN w:val="0"/>
        <w:adjustRightInd w:val="0"/>
        <w:ind w:firstLine="640" w:firstLineChars="200"/>
        <w:jc w:val="left"/>
        <w:rPr>
          <w:rFonts w:hint="eastAsia" w:cs="仿宋" w:asciiTheme="minorEastAsia" w:hAnsiTheme="minorEastAsia"/>
          <w:color w:val="000000"/>
          <w:kern w:val="0"/>
          <w:sz w:val="32"/>
          <w:szCs w:val="32"/>
        </w:rPr>
      </w:pPr>
    </w:p>
    <w:p>
      <w:pPr>
        <w:autoSpaceDE w:val="0"/>
        <w:autoSpaceDN w:val="0"/>
        <w:adjustRightInd w:val="0"/>
        <w:ind w:firstLine="640" w:firstLineChars="200"/>
        <w:jc w:val="left"/>
        <w:rPr>
          <w:rFonts w:hint="eastAsia" w:cs="仿宋" w:asciiTheme="minorEastAsia" w:hAnsiTheme="minorEastAsia"/>
          <w:color w:val="000000"/>
          <w:kern w:val="0"/>
          <w:sz w:val="32"/>
          <w:szCs w:val="32"/>
        </w:rPr>
      </w:pPr>
    </w:p>
    <w:p>
      <w:pPr>
        <w:autoSpaceDE w:val="0"/>
        <w:autoSpaceDN w:val="0"/>
        <w:adjustRightInd w:val="0"/>
        <w:ind w:firstLine="640" w:firstLineChars="200"/>
        <w:jc w:val="left"/>
        <w:rPr>
          <w:rFonts w:hint="eastAsia" w:cs="仿宋" w:asciiTheme="minorEastAsia" w:hAnsiTheme="minorEastAsia"/>
          <w:color w:val="000000"/>
          <w:kern w:val="0"/>
          <w:sz w:val="32"/>
          <w:szCs w:val="32"/>
        </w:rPr>
      </w:pPr>
    </w:p>
    <w:p>
      <w:pPr>
        <w:autoSpaceDE w:val="0"/>
        <w:autoSpaceDN w:val="0"/>
        <w:adjustRightInd w:val="0"/>
        <w:ind w:firstLine="640" w:firstLineChars="200"/>
        <w:jc w:val="left"/>
        <w:rPr>
          <w:rFonts w:hint="eastAsia" w:cs="仿宋" w:asciiTheme="minorEastAsia" w:hAnsiTheme="minorEastAsia"/>
          <w:color w:val="000000"/>
          <w:kern w:val="0"/>
          <w:sz w:val="32"/>
          <w:szCs w:val="32"/>
        </w:rPr>
      </w:pPr>
    </w:p>
    <w:p>
      <w:pPr>
        <w:autoSpaceDE w:val="0"/>
        <w:autoSpaceDN w:val="0"/>
        <w:adjustRightInd w:val="0"/>
        <w:ind w:firstLine="640" w:firstLineChars="200"/>
        <w:jc w:val="left"/>
        <w:rPr>
          <w:rFonts w:hint="eastAsia" w:cs="仿宋" w:asciiTheme="minorEastAsia" w:hAnsiTheme="minorEastAsia"/>
          <w:color w:val="000000"/>
          <w:kern w:val="0"/>
          <w:sz w:val="32"/>
          <w:szCs w:val="32"/>
        </w:rPr>
      </w:pPr>
    </w:p>
    <w:p>
      <w:pPr>
        <w:pStyle w:val="10"/>
        <w:ind w:firstLine="1440" w:firstLineChars="200"/>
        <w:rPr>
          <w:rFonts w:cs="仿宋"/>
          <w:sz w:val="72"/>
          <w:szCs w:val="72"/>
        </w:rPr>
      </w:pPr>
    </w:p>
    <w:p>
      <w:pPr>
        <w:pStyle w:val="10"/>
        <w:ind w:firstLine="1440" w:firstLineChars="200"/>
        <w:rPr>
          <w:rFonts w:cs="仿宋"/>
          <w:sz w:val="72"/>
          <w:szCs w:val="72"/>
        </w:rPr>
      </w:pPr>
    </w:p>
    <w:p>
      <w:pPr>
        <w:pStyle w:val="10"/>
        <w:ind w:firstLine="1440" w:firstLineChars="200"/>
        <w:rPr>
          <w:rFonts w:cs="仿宋"/>
          <w:sz w:val="72"/>
          <w:szCs w:val="72"/>
        </w:rPr>
      </w:pPr>
    </w:p>
    <w:p>
      <w:pPr>
        <w:pStyle w:val="10"/>
        <w:ind w:firstLine="1440" w:firstLineChars="200"/>
        <w:rPr>
          <w:rFonts w:cs="仿宋"/>
          <w:sz w:val="72"/>
          <w:szCs w:val="72"/>
        </w:rPr>
      </w:pPr>
    </w:p>
    <w:p>
      <w:pPr>
        <w:pStyle w:val="10"/>
        <w:ind w:firstLine="1440" w:firstLineChars="200"/>
        <w:rPr>
          <w:rFonts w:cs="仿宋"/>
          <w:sz w:val="72"/>
          <w:szCs w:val="72"/>
        </w:rPr>
      </w:pPr>
    </w:p>
    <w:p>
      <w:pPr>
        <w:pStyle w:val="10"/>
        <w:ind w:firstLine="2160" w:firstLineChars="300"/>
        <w:rPr>
          <w:rFonts w:cs="仿宋"/>
          <w:sz w:val="72"/>
          <w:szCs w:val="72"/>
        </w:rPr>
      </w:pPr>
      <w:r>
        <w:rPr>
          <w:rFonts w:hint="eastAsia" w:cs="仿宋"/>
          <w:sz w:val="72"/>
          <w:szCs w:val="72"/>
        </w:rPr>
        <w:t>第五部分</w:t>
      </w:r>
    </w:p>
    <w:p>
      <w:pPr>
        <w:ind w:firstLine="1400" w:firstLineChars="200"/>
        <w:jc w:val="left"/>
        <w:rPr>
          <w:rFonts w:ascii="黑体" w:eastAsia="黑体" w:cs="仿宋"/>
          <w:color w:val="000000"/>
          <w:kern w:val="0"/>
          <w:sz w:val="70"/>
          <w:szCs w:val="70"/>
        </w:rPr>
      </w:pPr>
    </w:p>
    <w:p>
      <w:pPr>
        <w:ind w:firstLine="2800" w:firstLineChars="400"/>
        <w:jc w:val="left"/>
        <w:rPr>
          <w:rFonts w:ascii="黑体" w:eastAsia="黑体" w:cs="仿宋"/>
          <w:color w:val="000000"/>
          <w:kern w:val="0"/>
          <w:sz w:val="70"/>
          <w:szCs w:val="70"/>
        </w:rPr>
      </w:pPr>
      <w:r>
        <w:rPr>
          <w:rFonts w:hint="eastAsia" w:ascii="黑体" w:eastAsia="黑体" w:cs="仿宋"/>
          <w:color w:val="000000"/>
          <w:kern w:val="0"/>
          <w:sz w:val="70"/>
          <w:szCs w:val="70"/>
        </w:rPr>
        <w:t>附件</w:t>
      </w:r>
    </w:p>
    <w:p>
      <w:pPr>
        <w:widowControl/>
        <w:ind w:firstLine="1400" w:firstLineChars="200"/>
        <w:jc w:val="left"/>
        <w:rPr>
          <w:rFonts w:ascii="黑体" w:eastAsia="黑体" w:cs="仿宋"/>
          <w:color w:val="000000"/>
          <w:kern w:val="0"/>
          <w:sz w:val="70"/>
          <w:szCs w:val="70"/>
        </w:rPr>
      </w:pPr>
      <w:r>
        <w:rPr>
          <w:rFonts w:ascii="黑体" w:eastAsia="黑体" w:cs="仿宋"/>
          <w:color w:val="000000"/>
          <w:kern w:val="0"/>
          <w:sz w:val="70"/>
          <w:szCs w:val="70"/>
        </w:rPr>
        <w:br w:type="page"/>
      </w:r>
    </w:p>
    <w:p>
      <w:pPr>
        <w:jc w:val="center"/>
        <w:rPr>
          <w:rFonts w:ascii="宋体" w:hAnsi="宋体"/>
          <w:b/>
          <w:sz w:val="44"/>
          <w:szCs w:val="44"/>
        </w:rPr>
      </w:pPr>
      <w:r>
        <w:rPr>
          <w:rFonts w:hint="eastAsia" w:ascii="宋体" w:hAnsi="宋体"/>
          <w:b/>
          <w:sz w:val="44"/>
          <w:szCs w:val="44"/>
        </w:rPr>
        <w:t>鹤城区2021年度红十字会整体支出绩效</w:t>
      </w:r>
    </w:p>
    <w:p>
      <w:pPr>
        <w:jc w:val="center"/>
        <w:rPr>
          <w:rFonts w:ascii="宋体" w:hAnsi="宋体"/>
          <w:b/>
          <w:sz w:val="44"/>
          <w:szCs w:val="44"/>
        </w:rPr>
      </w:pPr>
      <w:r>
        <w:rPr>
          <w:rFonts w:hint="eastAsia" w:ascii="宋体" w:hAnsi="宋体"/>
          <w:b/>
          <w:sz w:val="44"/>
          <w:szCs w:val="44"/>
        </w:rPr>
        <w:t>评价报告</w:t>
      </w:r>
    </w:p>
    <w:p>
      <w:pPr>
        <w:spacing w:line="600" w:lineRule="exact"/>
        <w:jc w:val="center"/>
        <w:rPr>
          <w:rFonts w:eastAsia="方正小标宋_GBK"/>
          <w:sz w:val="32"/>
          <w:szCs w:val="32"/>
        </w:rPr>
      </w:pPr>
    </w:p>
    <w:p>
      <w:pPr>
        <w:adjustRightInd w:val="0"/>
        <w:spacing w:line="580" w:lineRule="exact"/>
        <w:ind w:firstLine="640" w:firstLineChars="200"/>
        <w:jc w:val="left"/>
        <w:rPr>
          <w:rFonts w:ascii="仿宋" w:hAnsi="仿宋" w:eastAsia="仿宋" w:cs="仿宋"/>
          <w:sz w:val="32"/>
          <w:szCs w:val="32"/>
        </w:rPr>
      </w:pPr>
      <w:r>
        <w:rPr>
          <w:rFonts w:hint="eastAsia" w:cs="仿宋" w:asciiTheme="minorEastAsia" w:hAnsiTheme="minorEastAsia"/>
          <w:color w:val="000000"/>
          <w:kern w:val="0"/>
          <w:sz w:val="32"/>
          <w:szCs w:val="32"/>
        </w:rPr>
        <w:t>为进一步强化部门责任意识，规范财政资金管理，切实提高财政资金使用效益。根据《怀化市鹤城区财政局关于开展2021年度全区部门整体支出、专项资金绩效自评工作的通知》（鹤财绩〔2022〕8号）文件要求，我单位对2021年度部门整体支出进行绩效评价工作。现将绩效评价情况及评价结果报告如下：</w:t>
      </w:r>
    </w:p>
    <w:p>
      <w:pPr>
        <w:pStyle w:val="11"/>
        <w:widowControl/>
        <w:spacing w:line="580" w:lineRule="exact"/>
        <w:ind w:left="0" w:leftChars="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部门、单位基本情况</w:t>
      </w:r>
    </w:p>
    <w:p>
      <w:pPr>
        <w:adjustRightInd w:val="0"/>
        <w:spacing w:line="580" w:lineRule="exact"/>
        <w:ind w:firstLine="640" w:firstLineChars="200"/>
        <w:jc w:val="left"/>
        <w:rPr>
          <w:rFonts w:hint="eastAsia" w:cs="仿宋" w:asciiTheme="minorEastAsia" w:hAnsiTheme="minorEastAsia"/>
          <w:color w:val="000000"/>
          <w:kern w:val="0"/>
          <w:sz w:val="32"/>
          <w:szCs w:val="32"/>
        </w:rPr>
      </w:pPr>
      <w:r>
        <w:rPr>
          <w:rFonts w:hint="eastAsia" w:cs="仿宋" w:asciiTheme="minorEastAsia" w:hAnsiTheme="minorEastAsia"/>
          <w:color w:val="000000"/>
          <w:kern w:val="0"/>
          <w:sz w:val="32"/>
          <w:szCs w:val="32"/>
        </w:rPr>
        <w:t>1、单位机构设置，区红十字会是全额拨款的事业单位，内设职能股室：综合办公室、财务信息室、业务股，下辖二级机构备灾中心。</w:t>
      </w:r>
    </w:p>
    <w:p>
      <w:pPr>
        <w:adjustRightInd w:val="0"/>
        <w:spacing w:line="580" w:lineRule="exact"/>
        <w:ind w:firstLine="640" w:firstLineChars="200"/>
        <w:jc w:val="left"/>
        <w:rPr>
          <w:rFonts w:hint="eastAsia" w:cs="仿宋" w:asciiTheme="minorEastAsia" w:hAnsiTheme="minorEastAsia"/>
          <w:color w:val="000000"/>
          <w:kern w:val="0"/>
          <w:sz w:val="32"/>
          <w:szCs w:val="32"/>
        </w:rPr>
      </w:pPr>
      <w:r>
        <w:rPr>
          <w:rFonts w:hint="eastAsia" w:cs="仿宋" w:asciiTheme="minorEastAsia" w:hAnsiTheme="minorEastAsia"/>
          <w:color w:val="000000"/>
          <w:kern w:val="0"/>
          <w:sz w:val="32"/>
          <w:szCs w:val="32"/>
        </w:rPr>
        <w:t>2、主要工作职责，负责发展红十字会基层组织，开展备灾救灾和社会性救助工作；组织献血宣传和卫生救护、发展红会青少年工作，救灾物资接运管理与发放，备灾募捐与医疗服务；红十字会业务培训。</w:t>
      </w:r>
    </w:p>
    <w:p>
      <w:pPr>
        <w:adjustRightInd w:val="0"/>
        <w:spacing w:line="580" w:lineRule="exact"/>
        <w:ind w:firstLine="640" w:firstLineChars="200"/>
        <w:jc w:val="left"/>
        <w:rPr>
          <w:rFonts w:hint="eastAsia" w:cs="仿宋" w:asciiTheme="minorEastAsia" w:hAnsiTheme="minorEastAsia"/>
          <w:color w:val="000000"/>
          <w:kern w:val="0"/>
          <w:sz w:val="32"/>
          <w:szCs w:val="32"/>
        </w:rPr>
      </w:pPr>
      <w:r>
        <w:rPr>
          <w:rFonts w:hint="eastAsia" w:cs="仿宋" w:asciiTheme="minorEastAsia" w:hAnsiTheme="minorEastAsia"/>
          <w:color w:val="000000"/>
          <w:kern w:val="0"/>
          <w:sz w:val="32"/>
          <w:szCs w:val="32"/>
        </w:rPr>
        <w:t>3、编制人员情况(含二级机构)，现有编制数15人（其中：参照公务员管理编制7人,事业编制8人），差额编制0人。全会实有在职人员13人（其中：全额拨款人员13人、差额拨款人员0人、自收自支人员0人），离（退）休人员7人（其中退休7人）。</w:t>
      </w:r>
    </w:p>
    <w:p>
      <w:pPr>
        <w:pStyle w:val="11"/>
        <w:widowControl/>
        <w:spacing w:line="580" w:lineRule="exact"/>
        <w:ind w:left="0" w:leftChars="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10"/>
        <w:spacing w:line="580" w:lineRule="exact"/>
        <w:ind w:firstLine="640" w:firstLineChars="200"/>
        <w:rPr>
          <w:rFonts w:hint="eastAsia" w:cs="仿宋" w:asciiTheme="minorEastAsia" w:hAnsiTheme="minorEastAsia" w:eastAsiaTheme="minorEastAsia"/>
          <w:color w:val="000000"/>
          <w:kern w:val="0"/>
          <w:sz w:val="32"/>
          <w:szCs w:val="32"/>
          <w:lang w:val="en-US" w:eastAsia="zh-CN" w:bidi="ar-SA"/>
        </w:rPr>
      </w:pPr>
      <w:r>
        <w:rPr>
          <w:rFonts w:hint="eastAsia" w:cs="仿宋" w:asciiTheme="minorEastAsia" w:hAnsiTheme="minorEastAsia" w:eastAsiaTheme="minorEastAsia"/>
          <w:color w:val="000000"/>
          <w:kern w:val="0"/>
          <w:sz w:val="32"/>
          <w:szCs w:val="32"/>
          <w:lang w:val="en-US" w:eastAsia="zh-CN" w:bidi="ar-SA"/>
        </w:rPr>
        <w:t>2021年度一般公共预算支出总计160.8万元，与2020年相比，减少33.65万元，减少17.31%。</w:t>
      </w:r>
    </w:p>
    <w:p>
      <w:pPr>
        <w:pStyle w:val="11"/>
        <w:widowControl/>
        <w:spacing w:line="58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10"/>
        <w:spacing w:line="580" w:lineRule="exact"/>
        <w:ind w:firstLine="640" w:firstLineChars="200"/>
        <w:rPr>
          <w:rFonts w:hint="eastAsia" w:cs="仿宋" w:asciiTheme="minorEastAsia" w:hAnsiTheme="minorEastAsia" w:eastAsiaTheme="minorEastAsia"/>
          <w:color w:val="000000"/>
          <w:kern w:val="0"/>
          <w:sz w:val="32"/>
          <w:szCs w:val="32"/>
          <w:lang w:val="en-US" w:eastAsia="zh-CN" w:bidi="ar-SA"/>
        </w:rPr>
      </w:pPr>
      <w:r>
        <w:rPr>
          <w:rFonts w:hint="eastAsia" w:cs="仿宋" w:asciiTheme="minorEastAsia" w:hAnsiTheme="minorEastAsia" w:eastAsiaTheme="minorEastAsia"/>
          <w:color w:val="000000"/>
          <w:kern w:val="0"/>
          <w:sz w:val="32"/>
          <w:szCs w:val="32"/>
          <w:lang w:val="en-US" w:eastAsia="zh-CN" w:bidi="ar-SA"/>
        </w:rPr>
        <w:t>2021年度财政拨款基本支出159.42万元，其中：人员经费152.79万元，占基本支出的95.84%,主要包括基本工资、津贴补贴、奖金、机关事业单位基本养老保险缴费、职业年金缴费、职工基本医疗保险缴费、其他社会保障缴费、住房公积金、医疗费、其他工资福利支出、生活补助、奖励金；公用经费6.63万元，占基本支出的4.16%，主要包括办公费、印刷费、邮电费、差旅费、工会经费、其他商品和服务支出。</w:t>
      </w:r>
    </w:p>
    <w:p>
      <w:pPr>
        <w:pStyle w:val="11"/>
        <w:widowControl/>
        <w:spacing w:line="58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（二）其他</w:t>
      </w:r>
      <w:r>
        <w:rPr>
          <w:rFonts w:ascii="Times New Roman" w:hAnsi="Times New Roman" w:eastAsia="黑体"/>
          <w:sz w:val="32"/>
          <w:szCs w:val="32"/>
        </w:rPr>
        <w:t>支出情况</w:t>
      </w:r>
    </w:p>
    <w:p>
      <w:pPr>
        <w:pStyle w:val="10"/>
        <w:spacing w:line="580" w:lineRule="exact"/>
        <w:ind w:firstLine="640" w:firstLineChars="200"/>
        <w:rPr>
          <w:rFonts w:hint="eastAsia" w:cs="仿宋" w:asciiTheme="minorEastAsia" w:hAnsiTheme="minorEastAsia" w:eastAsiaTheme="minorEastAsia"/>
          <w:color w:val="000000"/>
          <w:kern w:val="0"/>
          <w:sz w:val="32"/>
          <w:szCs w:val="32"/>
          <w:lang w:val="en-US" w:eastAsia="zh-CN" w:bidi="ar-SA"/>
        </w:rPr>
      </w:pPr>
      <w:r>
        <w:rPr>
          <w:rFonts w:hint="eastAsia" w:cs="仿宋" w:asciiTheme="minorEastAsia" w:hAnsiTheme="minorEastAsia" w:eastAsiaTheme="minorEastAsia"/>
          <w:color w:val="000000"/>
          <w:kern w:val="0"/>
          <w:sz w:val="32"/>
          <w:szCs w:val="32"/>
          <w:lang w:val="en-US" w:eastAsia="zh-CN" w:bidi="ar-SA"/>
        </w:rPr>
        <w:t>疫情防控捐赠经费支出1.38万元，全部于湖南省恒力通电气设备科技有限公司支持抗击新型冠状病毒肺炎疫情进行无偿捐赠，资金实行专款专用，用于卫生防护材料及新冠病毒采集检测试剂的购置。</w:t>
      </w:r>
    </w:p>
    <w:p>
      <w:pPr>
        <w:pStyle w:val="11"/>
        <w:widowControl/>
        <w:spacing w:line="580" w:lineRule="exact"/>
        <w:ind w:left="0" w:leftChars="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pStyle w:val="10"/>
        <w:spacing w:line="580" w:lineRule="exact"/>
        <w:ind w:firstLine="640" w:firstLineChars="200"/>
        <w:rPr>
          <w:rFonts w:hint="eastAsia" w:cs="仿宋" w:asciiTheme="minorEastAsia" w:hAnsiTheme="minorEastAsia" w:eastAsiaTheme="minorEastAsia"/>
          <w:color w:val="000000"/>
          <w:kern w:val="0"/>
          <w:sz w:val="32"/>
          <w:szCs w:val="32"/>
          <w:lang w:val="en-US" w:eastAsia="zh-CN" w:bidi="ar-SA"/>
        </w:rPr>
      </w:pPr>
      <w:r>
        <w:rPr>
          <w:rFonts w:hint="eastAsia" w:cs="仿宋" w:asciiTheme="minorEastAsia" w:hAnsiTheme="minorEastAsia" w:eastAsiaTheme="minorEastAsia"/>
          <w:color w:val="000000"/>
          <w:kern w:val="0"/>
          <w:sz w:val="32"/>
          <w:szCs w:val="32"/>
          <w:lang w:val="en-US" w:eastAsia="zh-CN" w:bidi="ar-SA"/>
        </w:rPr>
        <w:t>2021年度本单位无政府性基金预算支出。</w:t>
      </w:r>
    </w:p>
    <w:p>
      <w:pPr>
        <w:pStyle w:val="11"/>
        <w:widowControl/>
        <w:spacing w:line="580" w:lineRule="exact"/>
        <w:ind w:left="0" w:leftChars="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pStyle w:val="10"/>
        <w:spacing w:line="580" w:lineRule="exact"/>
        <w:ind w:firstLine="640" w:firstLineChars="200"/>
        <w:rPr>
          <w:rFonts w:hint="eastAsia" w:cs="仿宋" w:asciiTheme="minorEastAsia" w:hAnsiTheme="minorEastAsia" w:eastAsiaTheme="minorEastAsia"/>
          <w:color w:val="000000"/>
          <w:kern w:val="0"/>
          <w:sz w:val="32"/>
          <w:szCs w:val="32"/>
          <w:lang w:val="en-US" w:eastAsia="zh-CN" w:bidi="ar-SA"/>
        </w:rPr>
      </w:pPr>
      <w:r>
        <w:rPr>
          <w:rFonts w:hint="eastAsia" w:cs="仿宋" w:asciiTheme="minorEastAsia" w:hAnsiTheme="minorEastAsia" w:eastAsiaTheme="minorEastAsia"/>
          <w:color w:val="000000"/>
          <w:kern w:val="0"/>
          <w:sz w:val="32"/>
          <w:szCs w:val="32"/>
          <w:lang w:val="en-US" w:eastAsia="zh-CN" w:bidi="ar-SA"/>
        </w:rPr>
        <w:t>2021年度本单位无国有资经营预算支出。</w:t>
      </w:r>
    </w:p>
    <w:p>
      <w:pPr>
        <w:pStyle w:val="11"/>
        <w:widowControl/>
        <w:spacing w:line="580" w:lineRule="exact"/>
        <w:ind w:left="0" w:leftChars="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pStyle w:val="10"/>
        <w:spacing w:line="580" w:lineRule="exact"/>
        <w:ind w:firstLine="640" w:firstLineChars="200"/>
        <w:rPr>
          <w:rFonts w:hint="eastAsia" w:cs="仿宋" w:asciiTheme="minorEastAsia" w:hAnsiTheme="minorEastAsia" w:eastAsiaTheme="minorEastAsia"/>
          <w:color w:val="000000"/>
          <w:kern w:val="0"/>
          <w:sz w:val="32"/>
          <w:szCs w:val="32"/>
          <w:lang w:val="en-US" w:eastAsia="zh-CN" w:bidi="ar-SA"/>
        </w:rPr>
      </w:pPr>
      <w:r>
        <w:rPr>
          <w:rFonts w:hint="eastAsia" w:cs="仿宋" w:asciiTheme="minorEastAsia" w:hAnsiTheme="minorEastAsia" w:eastAsiaTheme="minorEastAsia"/>
          <w:color w:val="000000"/>
          <w:kern w:val="0"/>
          <w:sz w:val="32"/>
          <w:szCs w:val="32"/>
          <w:lang w:val="en-US" w:eastAsia="zh-CN" w:bidi="ar-SA"/>
        </w:rPr>
        <w:t>2021年度本单位无社会保险基金预算支出。</w:t>
      </w:r>
    </w:p>
    <w:p>
      <w:pPr>
        <w:pStyle w:val="10"/>
        <w:spacing w:line="580" w:lineRule="exact"/>
        <w:rPr>
          <w:rFonts w:eastAsia="黑体"/>
          <w:sz w:val="32"/>
          <w:szCs w:val="32"/>
        </w:rPr>
      </w:pPr>
      <w:r>
        <w:rPr>
          <w:rFonts w:eastAsia="黑体"/>
          <w:sz w:val="32"/>
          <w:szCs w:val="32"/>
        </w:rPr>
        <w:t>六、部门整体支出绩效情况</w:t>
      </w:r>
    </w:p>
    <w:p>
      <w:pPr>
        <w:spacing w:line="580" w:lineRule="exact"/>
        <w:ind w:firstLine="640" w:firstLineChars="200"/>
        <w:rPr>
          <w:rFonts w:hint="eastAsia" w:cs="仿宋" w:asciiTheme="minorEastAsia" w:hAnsiTheme="minorEastAsia" w:eastAsiaTheme="minorEastAsia"/>
          <w:color w:val="000000"/>
          <w:kern w:val="0"/>
          <w:sz w:val="32"/>
          <w:szCs w:val="32"/>
          <w:lang w:val="en-US" w:eastAsia="zh-CN" w:bidi="ar-SA"/>
        </w:rPr>
      </w:pPr>
      <w:r>
        <w:rPr>
          <w:rFonts w:hint="eastAsia" w:cs="仿宋" w:asciiTheme="minorEastAsia" w:hAnsiTheme="minorEastAsia" w:eastAsiaTheme="minorEastAsia"/>
          <w:color w:val="000000"/>
          <w:kern w:val="0"/>
          <w:sz w:val="32"/>
          <w:szCs w:val="32"/>
          <w:lang w:val="en-US" w:eastAsia="zh-CN" w:bidi="ar-SA"/>
        </w:rPr>
        <w:t>2021年，鹤城区红十字会在区委、区政府的正确领导下，在省、市红十字会的指导和支持下，紧紧围绕区委、区政府的中心工作，按照安排部署，结合本单位实际，积极完成年度各项工作任务。 2021年，鹤城区红十字会参与开展新冠肺炎疫情防控工作，向社会募捐款资金1.38万元及抗疫物资价值20.71万元。捐款1.38万元已上报区新冠疫情防控工作指挥部，经相关领导同意后已转区疾病预防控制中心用于购买疫情防控物资；20.71万元物资均已转赠给怀化市鹤城区工业和信息化局用于疫情防控。2021年3月5日，鹤城区红十字会在黄岩管理处隆重举行“为爱出发，联合助力，惠氏儿童营养品健康帮扶活动”鹤城站物资发放仪式，发放了奶粉以及部分食品、大米、食用油等慰问物资。这次活动，是中国红十字基金会联合爱心企业惠氏营养品中国公司发起的“儿童营养健康帮扶项目”，持续关爱和帮助欠发达地区的儿童提升营养健康水平的活动。这次发放给黄岩的630罐惠幼儿配方奶粉，总价值15.5万余元，专用于儿童营养支持，优先发放疾病孤残人员家庭、留守儿童家庭、失业及低收入贫困家庭以及其他符合各地资助条件的各类弱势群体家庭。当天，区红十字会还联合区红十字医院开展了义诊活动，发放宣传资料500余份，义诊200余人。2021年4月9日上午，鹤城区红十字会“为爱出发，联合助力，惠氏儿童营养品健康帮扶活动”再次出发来到了凉亭坳乡杨地坪村，为当地为83名贫困及留守儿童送去儿童奶粉共计79860元，活动结束后又走访困难群众给他们送去大米、食用油等慰问物资共计1000元！</w:t>
      </w:r>
    </w:p>
    <w:p>
      <w:pPr>
        <w:spacing w:line="580" w:lineRule="exact"/>
        <w:ind w:firstLine="640" w:firstLineChars="200"/>
        <w:rPr>
          <w:rFonts w:hint="eastAsia" w:cs="仿宋" w:asciiTheme="minorEastAsia" w:hAnsiTheme="minorEastAsia" w:eastAsiaTheme="minorEastAsia"/>
          <w:color w:val="000000"/>
          <w:kern w:val="0"/>
          <w:sz w:val="32"/>
          <w:szCs w:val="32"/>
          <w:lang w:val="en-US" w:eastAsia="zh-CN" w:bidi="ar-SA"/>
        </w:rPr>
      </w:pPr>
      <w:r>
        <w:rPr>
          <w:rFonts w:hint="eastAsia" w:cs="仿宋" w:asciiTheme="minorEastAsia" w:hAnsiTheme="minorEastAsia" w:eastAsiaTheme="minorEastAsia"/>
          <w:color w:val="000000"/>
          <w:kern w:val="0"/>
          <w:sz w:val="32"/>
          <w:szCs w:val="32"/>
          <w:lang w:val="en-US" w:eastAsia="zh-CN" w:bidi="ar-SA"/>
        </w:rPr>
        <w:t>为纪念第74个“5.8世界红十字日”， 提高红十字会在群众中的影响力和号召力，弘扬“人道、博爱、奉献”的红十字精神，按照上级红十字会部署，鹤城区红十字会启动了宣传周活动。一、活动期间在黄岩大坪村门前设立宣传点开展救护知识宣传和义诊活动。通过设置宣传台，悬挂横幅及发放宣传资料等形式广泛宣传红十字会宗旨，宣传《红十字会法》、《献血法》、艾滋病预防、防灾减灾等知识。同时结合当前疾病防控形势，向过往群众详细讲解流感、手足口等疾病的传播途径、流行季节以及预防措施，提醒群众要保持室内外环境卫生整洁，养成良好的卫生习惯，增强机体免疫力，提高防护意识，深受群众的好评。这次活动共发放宣传资料1000余份，免费义诊200余人次，免费发放药品2万余元，达到了预期效果，对今后开展红十字会工作起到了积极的推动作用。二、5月12日至13日，鹤城区红十字会联合鹤城区红十字医院，在岳麓欧城物业会务中心开展了“关爱生命.救在身边”博爱周宣传、应急避险救护知识普及培训暨红十字救护员培训活动。对30名学员进行了“理论+实践操作相结合”共16个学时的细致培训，经严格的考试验收和审查，此次培训班的30名学员全部以优秀的成绩结业。其中有8名学员志愿参加了造血干细胞血样采集。</w:t>
      </w:r>
    </w:p>
    <w:p>
      <w:pPr>
        <w:widowControl/>
        <w:spacing w:line="500" w:lineRule="exact"/>
        <w:jc w:val="left"/>
        <w:rPr>
          <w:rFonts w:eastAsia="黑体"/>
          <w:sz w:val="32"/>
          <w:szCs w:val="32"/>
        </w:rPr>
      </w:pPr>
      <w:r>
        <w:rPr>
          <w:rFonts w:hint="eastAsia" w:ascii="Times New Roman" w:hAnsi="Times New Roman" w:eastAsia="黑体"/>
          <w:sz w:val="32"/>
          <w:szCs w:val="32"/>
        </w:rPr>
        <w:t>七、</w:t>
      </w:r>
      <w:r>
        <w:rPr>
          <w:rFonts w:eastAsia="黑体"/>
          <w:sz w:val="32"/>
          <w:szCs w:val="32"/>
        </w:rPr>
        <w:t>下一步改进措施</w:t>
      </w:r>
    </w:p>
    <w:p>
      <w:pPr>
        <w:spacing w:line="580" w:lineRule="exact"/>
        <w:ind w:firstLine="640" w:firstLineChars="200"/>
        <w:rPr>
          <w:rFonts w:hint="eastAsia" w:cs="仿宋" w:asciiTheme="minorEastAsia" w:hAnsiTheme="minorEastAsia" w:eastAsiaTheme="minorEastAsia"/>
          <w:color w:val="000000"/>
          <w:kern w:val="0"/>
          <w:sz w:val="32"/>
          <w:szCs w:val="32"/>
          <w:lang w:val="en-US" w:eastAsia="zh-CN" w:bidi="ar-SA"/>
        </w:rPr>
      </w:pPr>
      <w:r>
        <w:rPr>
          <w:rFonts w:hint="eastAsia" w:cs="仿宋" w:asciiTheme="minorEastAsia" w:hAnsiTheme="minorEastAsia" w:eastAsiaTheme="minorEastAsia"/>
          <w:color w:val="000000"/>
          <w:kern w:val="0"/>
          <w:sz w:val="32"/>
          <w:szCs w:val="32"/>
          <w:lang w:val="en-US" w:eastAsia="zh-CN" w:bidi="ar-SA"/>
        </w:rPr>
        <w:t>进一步提高预算编制的准确性和科学性，对将来事项也需进行及时研判，尽量减小预决算差异。</w:t>
      </w:r>
    </w:p>
    <w:p>
      <w:pPr>
        <w:widowControl/>
        <w:spacing w:line="500" w:lineRule="exact"/>
        <w:ind w:firstLine="645"/>
        <w:jc w:val="left"/>
        <w:rPr>
          <w:rFonts w:eastAsia="仿宋_GB2312"/>
          <w:sz w:val="32"/>
          <w:szCs w:val="32"/>
        </w:rPr>
      </w:pPr>
    </w:p>
    <w:p>
      <w:pPr>
        <w:widowControl/>
        <w:tabs>
          <w:tab w:val="left" w:pos="95"/>
        </w:tabs>
        <w:snapToGrid w:val="0"/>
        <w:spacing w:line="500" w:lineRule="exact"/>
        <w:ind w:right="24"/>
        <w:jc w:val="center"/>
        <w:rPr>
          <w:rFonts w:ascii="仿宋_GB2312" w:hAnsi="宋体" w:eastAsia="仿宋_GB2312" w:cs="Times New Roman"/>
          <w:sz w:val="32"/>
          <w:szCs w:val="32"/>
        </w:rPr>
      </w:pPr>
    </w:p>
    <w:p>
      <w:pPr>
        <w:ind w:firstLine="640" w:firstLineChars="200"/>
        <w:jc w:val="left"/>
        <w:rPr>
          <w:rFonts w:cs="仿宋" w:asciiTheme="minorEastAsia" w:hAnsiTheme="minorEastAsia"/>
          <w:color w:val="0000FF"/>
          <w:kern w:val="0"/>
          <w:sz w:val="32"/>
          <w:szCs w:val="32"/>
        </w:rPr>
      </w:pPr>
    </w:p>
    <w:sectPr>
      <w:pgSz w:w="11906" w:h="16838"/>
      <w:pgMar w:top="1440" w:right="1780" w:bottom="1440" w:left="178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FC6E72"/>
    <w:multiLevelType w:val="singleLevel"/>
    <w:tmpl w:val="A6FC6E72"/>
    <w:lvl w:ilvl="0" w:tentative="0">
      <w:start w:val="4"/>
      <w:numFmt w:val="chineseCounting"/>
      <w:suff w:val="nothing"/>
      <w:lvlText w:val="%1、"/>
      <w:lvlJc w:val="left"/>
      <w:pPr>
        <w:ind w:left="-640"/>
      </w:pPr>
      <w:rPr>
        <w:rFonts w:hint="eastAsia"/>
      </w:rPr>
    </w:lvl>
  </w:abstractNum>
  <w:abstractNum w:abstractNumId="1">
    <w:nsid w:val="1261EA5C"/>
    <w:multiLevelType w:val="singleLevel"/>
    <w:tmpl w:val="1261EA5C"/>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Mjc3ZDVhOTM0NTczYTJiNzUyZTVkM2Y3OTA1OGQifQ=="/>
  </w:docVars>
  <w:rsids>
    <w:rsidRoot w:val="004506F9"/>
    <w:rsid w:val="0002229B"/>
    <w:rsid w:val="000273BD"/>
    <w:rsid w:val="000415B7"/>
    <w:rsid w:val="00041E3F"/>
    <w:rsid w:val="00055DAA"/>
    <w:rsid w:val="00061F7B"/>
    <w:rsid w:val="000658A3"/>
    <w:rsid w:val="00074155"/>
    <w:rsid w:val="00081AF1"/>
    <w:rsid w:val="000873EF"/>
    <w:rsid w:val="000A3F69"/>
    <w:rsid w:val="000E4BA1"/>
    <w:rsid w:val="00103957"/>
    <w:rsid w:val="00124A1F"/>
    <w:rsid w:val="00152C6D"/>
    <w:rsid w:val="00162D39"/>
    <w:rsid w:val="001678BD"/>
    <w:rsid w:val="00182373"/>
    <w:rsid w:val="00182B50"/>
    <w:rsid w:val="001A67DB"/>
    <w:rsid w:val="001C3C29"/>
    <w:rsid w:val="001D51E5"/>
    <w:rsid w:val="001E080D"/>
    <w:rsid w:val="001E53D0"/>
    <w:rsid w:val="001F0C3B"/>
    <w:rsid w:val="00202C14"/>
    <w:rsid w:val="00202C82"/>
    <w:rsid w:val="00214427"/>
    <w:rsid w:val="00226CB7"/>
    <w:rsid w:val="00264552"/>
    <w:rsid w:val="00264EF9"/>
    <w:rsid w:val="00265724"/>
    <w:rsid w:val="0027426B"/>
    <w:rsid w:val="002E0A30"/>
    <w:rsid w:val="002F53BB"/>
    <w:rsid w:val="003130C4"/>
    <w:rsid w:val="00316C4B"/>
    <w:rsid w:val="0032192B"/>
    <w:rsid w:val="00327FFA"/>
    <w:rsid w:val="003479BD"/>
    <w:rsid w:val="0037197D"/>
    <w:rsid w:val="003768D5"/>
    <w:rsid w:val="003C4197"/>
    <w:rsid w:val="003C47E6"/>
    <w:rsid w:val="003C4FC2"/>
    <w:rsid w:val="003E2331"/>
    <w:rsid w:val="003F09E1"/>
    <w:rsid w:val="00416E61"/>
    <w:rsid w:val="0042790C"/>
    <w:rsid w:val="004506F9"/>
    <w:rsid w:val="004717A2"/>
    <w:rsid w:val="00473DF3"/>
    <w:rsid w:val="00487911"/>
    <w:rsid w:val="00491741"/>
    <w:rsid w:val="00497300"/>
    <w:rsid w:val="004B0CEE"/>
    <w:rsid w:val="004E71CA"/>
    <w:rsid w:val="00500E5F"/>
    <w:rsid w:val="005122EF"/>
    <w:rsid w:val="0051441A"/>
    <w:rsid w:val="00517C33"/>
    <w:rsid w:val="00517D5F"/>
    <w:rsid w:val="00521AF2"/>
    <w:rsid w:val="00523644"/>
    <w:rsid w:val="0054069E"/>
    <w:rsid w:val="00544866"/>
    <w:rsid w:val="005767CC"/>
    <w:rsid w:val="00590D9F"/>
    <w:rsid w:val="00595D26"/>
    <w:rsid w:val="005A74E6"/>
    <w:rsid w:val="005B404E"/>
    <w:rsid w:val="005D4D55"/>
    <w:rsid w:val="005E2CFB"/>
    <w:rsid w:val="005F2103"/>
    <w:rsid w:val="005F3D1C"/>
    <w:rsid w:val="0060317E"/>
    <w:rsid w:val="00611D0C"/>
    <w:rsid w:val="0062378F"/>
    <w:rsid w:val="00641842"/>
    <w:rsid w:val="00651EEC"/>
    <w:rsid w:val="00683D5A"/>
    <w:rsid w:val="00686673"/>
    <w:rsid w:val="00691E8C"/>
    <w:rsid w:val="006A22C4"/>
    <w:rsid w:val="006A348B"/>
    <w:rsid w:val="006A351B"/>
    <w:rsid w:val="006B0422"/>
    <w:rsid w:val="006B0ECC"/>
    <w:rsid w:val="006C1B53"/>
    <w:rsid w:val="006D7730"/>
    <w:rsid w:val="006E5284"/>
    <w:rsid w:val="006F3EB5"/>
    <w:rsid w:val="006F6E93"/>
    <w:rsid w:val="00702E34"/>
    <w:rsid w:val="00704395"/>
    <w:rsid w:val="00710FE7"/>
    <w:rsid w:val="00717621"/>
    <w:rsid w:val="00720FF1"/>
    <w:rsid w:val="00727A53"/>
    <w:rsid w:val="0076627B"/>
    <w:rsid w:val="00767FBF"/>
    <w:rsid w:val="00787B42"/>
    <w:rsid w:val="007C4539"/>
    <w:rsid w:val="007F3657"/>
    <w:rsid w:val="00812ED5"/>
    <w:rsid w:val="008277D9"/>
    <w:rsid w:val="0084478C"/>
    <w:rsid w:val="0086638C"/>
    <w:rsid w:val="00896B37"/>
    <w:rsid w:val="008A3E8D"/>
    <w:rsid w:val="009237C4"/>
    <w:rsid w:val="009408F8"/>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AF78D9"/>
    <w:rsid w:val="00B33BEA"/>
    <w:rsid w:val="00B42C25"/>
    <w:rsid w:val="00B43F86"/>
    <w:rsid w:val="00B57C9F"/>
    <w:rsid w:val="00B63572"/>
    <w:rsid w:val="00B845B3"/>
    <w:rsid w:val="00B85D8B"/>
    <w:rsid w:val="00BB4A40"/>
    <w:rsid w:val="00BD6C3E"/>
    <w:rsid w:val="00BE3674"/>
    <w:rsid w:val="00C10681"/>
    <w:rsid w:val="00C3049A"/>
    <w:rsid w:val="00C31B1E"/>
    <w:rsid w:val="00C77645"/>
    <w:rsid w:val="00CE04C3"/>
    <w:rsid w:val="00CE76A0"/>
    <w:rsid w:val="00D148C6"/>
    <w:rsid w:val="00D17A8A"/>
    <w:rsid w:val="00D204AD"/>
    <w:rsid w:val="00D205B4"/>
    <w:rsid w:val="00D415BA"/>
    <w:rsid w:val="00D63780"/>
    <w:rsid w:val="00D644EE"/>
    <w:rsid w:val="00D75489"/>
    <w:rsid w:val="00DD06FF"/>
    <w:rsid w:val="00DD3A35"/>
    <w:rsid w:val="00DD5FE9"/>
    <w:rsid w:val="00E00C7A"/>
    <w:rsid w:val="00E209CF"/>
    <w:rsid w:val="00E37D6C"/>
    <w:rsid w:val="00E443D2"/>
    <w:rsid w:val="00E55B68"/>
    <w:rsid w:val="00E67BE6"/>
    <w:rsid w:val="00E8683C"/>
    <w:rsid w:val="00EA2B72"/>
    <w:rsid w:val="00F74360"/>
    <w:rsid w:val="00FB462F"/>
    <w:rsid w:val="00FE16FA"/>
    <w:rsid w:val="00FE328A"/>
    <w:rsid w:val="00FE6269"/>
    <w:rsid w:val="00FF5CD6"/>
    <w:rsid w:val="052D25D9"/>
    <w:rsid w:val="0AC57B28"/>
    <w:rsid w:val="0BE212A8"/>
    <w:rsid w:val="16244A0C"/>
    <w:rsid w:val="163D54B5"/>
    <w:rsid w:val="1E817F4E"/>
    <w:rsid w:val="2BBA44B4"/>
    <w:rsid w:val="2EAD78A1"/>
    <w:rsid w:val="31F95EE9"/>
    <w:rsid w:val="35C7521D"/>
    <w:rsid w:val="39761487"/>
    <w:rsid w:val="39CD4137"/>
    <w:rsid w:val="3A1E12D9"/>
    <w:rsid w:val="3CD06387"/>
    <w:rsid w:val="424B67DD"/>
    <w:rsid w:val="44BB1B61"/>
    <w:rsid w:val="47E726FC"/>
    <w:rsid w:val="49D814D8"/>
    <w:rsid w:val="4DBB0AA4"/>
    <w:rsid w:val="51452CFB"/>
    <w:rsid w:val="535B57EA"/>
    <w:rsid w:val="547F5E38"/>
    <w:rsid w:val="5AE770D7"/>
    <w:rsid w:val="5C60608D"/>
    <w:rsid w:val="6050604B"/>
    <w:rsid w:val="60766BC8"/>
    <w:rsid w:val="60D37454"/>
    <w:rsid w:val="69894BE0"/>
    <w:rsid w:val="6B8F438D"/>
    <w:rsid w:val="6E423939"/>
    <w:rsid w:val="6FA43F14"/>
    <w:rsid w:val="7AEB7C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basedOn w:val="7"/>
    <w:link w:val="5"/>
    <w:qFormat/>
    <w:uiPriority w:val="99"/>
    <w:rPr>
      <w:sz w:val="18"/>
      <w:szCs w:val="18"/>
    </w:rPr>
  </w:style>
  <w:style w:type="character" w:customStyle="1" w:styleId="9">
    <w:name w:val="页脚 Char"/>
    <w:basedOn w:val="7"/>
    <w:link w:val="4"/>
    <w:qFormat/>
    <w:uiPriority w:val="99"/>
    <w:rPr>
      <w:sz w:val="18"/>
      <w:szCs w:val="18"/>
    </w:rPr>
  </w:style>
  <w:style w:type="paragraph" w:customStyle="1" w:styleId="10">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1">
    <w:name w:val="List Paragraph"/>
    <w:basedOn w:val="1"/>
    <w:qFormat/>
    <w:uiPriority w:val="34"/>
    <w:pPr>
      <w:ind w:firstLine="420" w:firstLineChars="200"/>
    </w:pPr>
  </w:style>
  <w:style w:type="character" w:customStyle="1" w:styleId="12">
    <w:name w:val="批注框文本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480904-B2FB-4FE3-894F-42F14B17BC5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24</Pages>
  <Words>6658</Words>
  <Characters>7183</Characters>
  <Lines>52</Lines>
  <Paragraphs>14</Paragraphs>
  <TotalTime>1</TotalTime>
  <ScaleCrop>false</ScaleCrop>
  <LinksUpToDate>false</LinksUpToDate>
  <CharactersWithSpaces>7198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2022-09-26T01:37:00Z</dcterms:created>
  <dc:creator>李航 null</dc:creator>
  <cp:lastModifiedBy>养鱼的猫</cp:lastModifiedBy>
  <cp:lastPrinted>2022-07-27T12:55:00Z</cp:lastPrinted>
  <dcterms:modified xsi:type="dcterms:W3CDTF">2023-09-27T18:26:44Z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89585DD363704C4A971C208C9B54A97B_13</vt:lpwstr>
  </property>
</Properties>
</file>