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rPr>
      </w:pPr>
      <w:r>
        <w:rPr>
          <w:rFonts w:hint="eastAsia"/>
          <w:sz w:val="84"/>
          <w:szCs w:val="84"/>
          <w:lang w:val="en-US" w:eastAsia="zh-CN"/>
        </w:rPr>
        <w:t>怀化市</w:t>
      </w:r>
      <w:r>
        <w:rPr>
          <w:rFonts w:hint="eastAsia"/>
          <w:sz w:val="84"/>
          <w:szCs w:val="84"/>
        </w:rPr>
        <w:t>鹤城区医疗保障局</w:t>
      </w:r>
    </w:p>
    <w:p>
      <w:pPr>
        <w:pStyle w:val="10"/>
        <w:jc w:val="center"/>
        <w:rPr>
          <w:sz w:val="84"/>
          <w:szCs w:val="84"/>
        </w:rPr>
      </w:pPr>
      <w:r>
        <w:rPr>
          <w:rFonts w:hint="eastAsia"/>
          <w:sz w:val="84"/>
          <w:szCs w:val="84"/>
        </w:rPr>
        <w:t>部门决算</w:t>
      </w:r>
    </w:p>
    <w:p>
      <w:pPr>
        <w:pStyle w:val="10"/>
        <w:jc w:val="center"/>
        <w:rPr>
          <w:sz w:val="84"/>
          <w:szCs w:val="84"/>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第一部分怀化市鹤城区医疗保障局</w:t>
      </w:r>
      <w:r>
        <w:rPr>
          <w:rFonts w:hint="eastAsia"/>
          <w:b/>
          <w:sz w:val="28"/>
          <w:szCs w:val="28"/>
          <w:lang w:val="en-US" w:eastAsia="zh-CN"/>
        </w:rPr>
        <w:t>单位</w:t>
      </w:r>
      <w:r>
        <w:rPr>
          <w:rFonts w:hint="eastAsia"/>
          <w:b/>
          <w:sz w:val="28"/>
          <w:szCs w:val="28"/>
        </w:rPr>
        <w:t>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怀化市鹤城区医疗保障局</w:t>
      </w: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单位概况</w:t>
      </w:r>
    </w:p>
    <w:p>
      <w:pPr>
        <w:jc w:val="center"/>
        <w:rPr>
          <w:rFonts w:hint="eastAsia" w:ascii="黑体" w:eastAsia="黑体" w:cs="黑体" w:hAnsiTheme="minorHAnsi"/>
          <w:color w:val="000000"/>
          <w:kern w:val="0"/>
          <w:sz w:val="84"/>
          <w:szCs w:val="84"/>
          <w:lang w:val="en-US" w:eastAsia="zh-CN" w:bidi="ar-SA"/>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numPr>
          <w:ilvl w:val="0"/>
          <w:numId w:val="2"/>
        </w:numPr>
        <w:spacing w:line="560" w:lineRule="exact"/>
        <w:ind w:firstLine="640" w:firstLineChars="200"/>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怀化市鹤城区医疗保障局是区政府工作部门，为正科级</w:t>
      </w:r>
      <w:r>
        <w:rPr>
          <w:rFonts w:hint="eastAsia" w:asciiTheme="minorEastAsia" w:hAnsiTheme="minorEastAsia" w:cstheme="minorEastAsia"/>
          <w:color w:val="000000"/>
          <w:sz w:val="32"/>
          <w:szCs w:val="32"/>
          <w:lang w:eastAsia="zh-CN"/>
        </w:rPr>
        <w:t>；</w:t>
      </w:r>
    </w:p>
    <w:p>
      <w:pPr>
        <w:numPr>
          <w:ilvl w:val="0"/>
          <w:numId w:val="2"/>
        </w:numPr>
        <w:spacing w:line="560" w:lineRule="exact"/>
        <w:ind w:firstLine="640" w:firstLineChars="200"/>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制定全区定点医药机构协议和支付管理办法并组织实施</w:t>
      </w:r>
      <w:r>
        <w:rPr>
          <w:rFonts w:hint="eastAsia" w:asciiTheme="minorEastAsia" w:hAnsiTheme="minorEastAsia" w:cstheme="minorEastAsia"/>
          <w:color w:val="000000"/>
          <w:sz w:val="32"/>
          <w:szCs w:val="32"/>
          <w:lang w:eastAsia="zh-CN"/>
        </w:rPr>
        <w:t>；</w:t>
      </w:r>
    </w:p>
    <w:p>
      <w:pPr>
        <w:ind w:firstLine="640" w:firstLineChars="200"/>
        <w:jc w:val="left"/>
        <w:rPr>
          <w:rFonts w:hint="eastAsia" w:asciiTheme="minorEastAsia" w:hAnsiTheme="minorEastAsia" w:eastAsiaTheme="minorEastAsia" w:cstheme="minorEastAsia"/>
          <w:color w:val="000000"/>
          <w:sz w:val="32"/>
          <w:szCs w:val="32"/>
          <w:lang w:eastAsia="zh-CN"/>
        </w:rPr>
      </w:pPr>
      <w:r>
        <w:rPr>
          <w:rFonts w:hint="eastAsia" w:asciiTheme="minorEastAsia" w:hAnsiTheme="minorEastAsia" w:cstheme="minorEastAsia"/>
          <w:sz w:val="32"/>
          <w:szCs w:val="32"/>
        </w:rPr>
        <w:t>（三）</w:t>
      </w:r>
      <w:r>
        <w:rPr>
          <w:rFonts w:hint="eastAsia" w:asciiTheme="minorEastAsia" w:hAnsiTheme="minorEastAsia" w:cstheme="minorEastAsia"/>
          <w:color w:val="000000"/>
          <w:sz w:val="32"/>
          <w:szCs w:val="32"/>
        </w:rPr>
        <w:t>负责全区医疗保障经办管理、公共服务体系和信息化建设</w:t>
      </w:r>
      <w:r>
        <w:rPr>
          <w:rFonts w:hint="eastAsia" w:asciiTheme="minorEastAsia" w:hAnsiTheme="minorEastAsia" w:cstheme="minorEastAsia"/>
          <w:color w:val="000000"/>
          <w:sz w:val="32"/>
          <w:szCs w:val="32"/>
          <w:lang w:eastAsia="zh-CN"/>
        </w:rPr>
        <w:t>；</w:t>
      </w:r>
    </w:p>
    <w:p>
      <w:pPr>
        <w:ind w:firstLine="640" w:firstLineChars="200"/>
        <w:jc w:val="left"/>
        <w:rPr>
          <w:rFonts w:asciiTheme="minorEastAsia" w:hAnsiTheme="minorEastAsia"/>
          <w:sz w:val="32"/>
          <w:szCs w:val="32"/>
        </w:rPr>
      </w:pPr>
      <w:r>
        <w:rPr>
          <w:rFonts w:hint="eastAsia" w:asciiTheme="minorEastAsia" w:hAnsiTheme="minorEastAsia" w:cstheme="minorEastAsia"/>
          <w:color w:val="000000"/>
          <w:sz w:val="32"/>
          <w:szCs w:val="32"/>
        </w:rPr>
        <w:t>（四）组织制定并实施全区医疗保障基金监督管理，推进医疗保障基金支付方式改革。</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bCs/>
          <w:kern w:val="0"/>
          <w:sz w:val="32"/>
          <w:szCs w:val="32"/>
        </w:rPr>
        <w:t>（一）内设机构设置。区医疗保障局内设机构包括：</w:t>
      </w:r>
      <w:r>
        <w:rPr>
          <w:rFonts w:hint="eastAsia" w:asciiTheme="minorEastAsia" w:hAnsiTheme="minorEastAsia" w:cstheme="minorEastAsia"/>
          <w:sz w:val="32"/>
          <w:szCs w:val="32"/>
        </w:rPr>
        <w:t>3股室，分别为：办公室、</w:t>
      </w:r>
      <w:r>
        <w:rPr>
          <w:rFonts w:hint="eastAsia" w:asciiTheme="minorEastAsia" w:hAnsiTheme="minorEastAsia" w:cstheme="minorEastAsia"/>
          <w:color w:val="000000"/>
          <w:sz w:val="32"/>
          <w:szCs w:val="32"/>
        </w:rPr>
        <w:t>规划财务和法规股（加挂行政审批股）</w:t>
      </w:r>
      <w:r>
        <w:rPr>
          <w:rFonts w:hint="eastAsia" w:asciiTheme="minorEastAsia" w:hAnsiTheme="minorEastAsia" w:cstheme="minorEastAsia"/>
          <w:sz w:val="32"/>
          <w:szCs w:val="32"/>
        </w:rPr>
        <w:t>、</w:t>
      </w:r>
      <w:r>
        <w:rPr>
          <w:rFonts w:hint="eastAsia" w:asciiTheme="minorEastAsia" w:hAnsiTheme="minorEastAsia" w:cstheme="minorEastAsia"/>
          <w:color w:val="000000"/>
          <w:sz w:val="32"/>
          <w:szCs w:val="32"/>
        </w:rPr>
        <w:t>业务股</w:t>
      </w:r>
      <w:r>
        <w:rPr>
          <w:rFonts w:hint="eastAsia" w:asciiTheme="minorEastAsia" w:hAnsiTheme="minorEastAsia" w:cstheme="minorEastAsia"/>
          <w:sz w:val="32"/>
          <w:szCs w:val="32"/>
        </w:rPr>
        <w:t>。</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cstheme="minorEastAsia"/>
          <w:bCs/>
          <w:kern w:val="0"/>
          <w:sz w:val="32"/>
          <w:szCs w:val="32"/>
        </w:rPr>
        <w:t>（二）决算单位构成。</w:t>
      </w:r>
      <w:r>
        <w:rPr>
          <w:rFonts w:hint="eastAsia" w:asciiTheme="minorEastAsia" w:hAnsiTheme="minorEastAsia" w:cstheme="minorEastAsia"/>
          <w:color w:val="000000"/>
          <w:sz w:val="32"/>
          <w:szCs w:val="32"/>
        </w:rPr>
        <w:t>鹤城区医疗保障局</w:t>
      </w:r>
      <w:r>
        <w:rPr>
          <w:rFonts w:hint="eastAsia" w:asciiTheme="minorEastAsia" w:hAnsiTheme="minorEastAsia" w:cstheme="minorEastAsia"/>
          <w:bCs/>
          <w:kern w:val="0"/>
          <w:sz w:val="32"/>
          <w:szCs w:val="32"/>
        </w:rPr>
        <w:t>2021年部门决算汇总公开单位构成包括：</w:t>
      </w:r>
      <w:r>
        <w:rPr>
          <w:rFonts w:hint="eastAsia" w:asciiTheme="minorEastAsia" w:hAnsiTheme="minorEastAsia" w:cstheme="minorEastAsia"/>
          <w:color w:val="000000"/>
          <w:sz w:val="32"/>
          <w:szCs w:val="32"/>
        </w:rPr>
        <w:t>鹤城区医疗保障局</w:t>
      </w:r>
      <w:r>
        <w:rPr>
          <w:rFonts w:hint="eastAsia" w:asciiTheme="minorEastAsia" w:hAnsiTheme="minorEastAsia" w:cstheme="minorEastAsia"/>
          <w:bCs/>
          <w:kern w:val="0"/>
          <w:sz w:val="32"/>
          <w:szCs w:val="32"/>
        </w:rPr>
        <w:t>单位本级以及所属</w:t>
      </w:r>
      <w:r>
        <w:rPr>
          <w:rFonts w:hint="eastAsia" w:asciiTheme="minorEastAsia" w:hAnsiTheme="minorEastAsia" w:cstheme="minorEastAsia"/>
          <w:color w:val="000000"/>
          <w:sz w:val="32"/>
          <w:szCs w:val="32"/>
        </w:rPr>
        <w:t>副科级公益一类事业单位</w:t>
      </w:r>
      <w:r>
        <w:rPr>
          <w:rFonts w:hint="eastAsia" w:asciiTheme="minorEastAsia" w:hAnsiTheme="minorEastAsia" w:cstheme="minorEastAsia"/>
          <w:sz w:val="32"/>
          <w:szCs w:val="32"/>
        </w:rPr>
        <w:t>鹤城区医疗保障事务中心。</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2021年度收入合计563.92万元，年初结转和结余0.95万元，收入总计564.87万元。与上年相比，增加49.7万元，增长9.67%，主要是因为：上年度受疫情影响，收入及各项开支均下降。</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2021年度支出合计564.87万元。与上年相比，增加36.12万元，增长6.83%，主要是因为上年度受疫情影响，收入及各项开支均下降。</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2021年度收入合计563.92万元，其中：财政拨款收入563.92万元，占100%；上级补助收入0万元，占0%；事业收入0万元，占0%；经营收入0万元，占0%；附属单位上缴收入0万元，占0%；其他收入0万元，占0%。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2021年度支出合计564.87万元，其中：基本支出526.83万元，占93.27%；项目支出38.04万元，占6.73%；上缴上级支出0万元，占0%；经营支出0万元，占0%；对附属单位补助支出0万元，占0%。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2021年度财政拨款收入合计563.92万元，年初结转和结余0.95万元，收入总计564.87万元。与上年相比，增加36.12万元，增长6.83%，主要是因为上年度受疫情影响，收入及各项开支均下降。</w:t>
      </w:r>
    </w:p>
    <w:p>
      <w:pPr>
        <w:pStyle w:val="10"/>
        <w:ind w:firstLine="640" w:firstLineChars="200"/>
        <w:rPr>
          <w:rFonts w:asciiTheme="minorEastAsia" w:hAnsiTheme="minorEastAsia" w:eastAsiaTheme="minorEastAsia"/>
          <w:b/>
          <w:bCs/>
          <w:sz w:val="32"/>
          <w:szCs w:val="32"/>
        </w:rPr>
      </w:pPr>
      <w:r>
        <w:rPr>
          <w:rFonts w:hint="eastAsia" w:asciiTheme="minorEastAsia" w:hAnsiTheme="minorEastAsia" w:eastAsiaTheme="minorEastAsia"/>
          <w:sz w:val="32"/>
          <w:szCs w:val="32"/>
        </w:rPr>
        <w:t>2021年度财政拨款支出合计564.87万元。与上年相比，增加36.12万元，增长6.83%，主要是因为上年度受疫情影响，收入及各项开支均下降。</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b/>
          <w:bCs/>
          <w:sz w:val="32"/>
          <w:szCs w:val="32"/>
        </w:rPr>
      </w:pPr>
      <w:r>
        <w:rPr>
          <w:rFonts w:hint="eastAsia" w:asciiTheme="minorEastAsia" w:hAnsiTheme="minorEastAsia" w:eastAsiaTheme="minorEastAsia"/>
          <w:sz w:val="32"/>
          <w:szCs w:val="32"/>
        </w:rPr>
        <w:t>2021年度财政拨款支出564.87万元，占本年支出合计的100%，与上年相比，财政拨款支出增加36.12万元，增长6.83%，主要是因为上年度受疫情影响，收入及各项开支均下降。</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2021年度财政拨款支出564.87万元，主要用于以下方面：社会保障和就业支出（类）28.72万元，占5.08%；卫生健康（类）支出536.15万元，占94.92%。</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2021年度财政拨款支出年初预算数为1754.13万元，支出决算数为564.87万元，完成年初预算的32.2%，其中：</w:t>
      </w:r>
    </w:p>
    <w:p>
      <w:pPr>
        <w:pStyle w:val="10"/>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1、社会保障和就业支出（类）人力资源和社会保障管理事务（款）社会保险经办机构（项）。</w:t>
      </w:r>
    </w:p>
    <w:p>
      <w:pPr>
        <w:pStyle w:val="10"/>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年初预算为0万元，支出决算为0.45万元，无法计算完成比率，决算数大于（小于）年初预算数的主要原因是：决算方式调整。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2、社会保障和就业支出（类）行政事业单位养老支出（款）行政单位离退休（项）。</w:t>
      </w:r>
    </w:p>
    <w:p>
      <w:pPr>
        <w:pStyle w:val="10"/>
        <w:ind w:firstLine="800" w:firstLineChars="250"/>
        <w:rPr>
          <w:rFonts w:ascii="宋体" w:hAnsi="宋体" w:eastAsia="宋体" w:cs="宋体"/>
          <w:sz w:val="32"/>
          <w:szCs w:val="32"/>
        </w:rPr>
      </w:pPr>
      <w:r>
        <w:rPr>
          <w:rFonts w:hint="eastAsia" w:asciiTheme="minorEastAsia" w:hAnsiTheme="minorEastAsia" w:eastAsiaTheme="minorEastAsia"/>
          <w:sz w:val="32"/>
          <w:szCs w:val="32"/>
        </w:rPr>
        <w:t>年初预算为0.21万元，支出决算为0.17万元，完成年初预算的80.95%，决算数小于年初预算数的主要原因是：</w:t>
      </w:r>
      <w:r>
        <w:rPr>
          <w:rFonts w:hint="eastAsia" w:ascii="宋体" w:hAnsi="宋体" w:eastAsia="宋体" w:cs="宋体"/>
          <w:sz w:val="32"/>
          <w:szCs w:val="32"/>
        </w:rPr>
        <w:t>厉行节约。</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3、社会保障和就业支出（类）行政事业单位养老支出（款）机关事业单位基本养老保险缴费支出（项）。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年初预算为39.71万元，支出决算为28.1万元，完成年初预算的70.76%，决算数小于年初预算数的主要原因是：拨付时间调整。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4、卫生健康支出（类）公共卫生（款）突发公共卫生事件应急处理（项）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年初预算为0万元，支出决算为0.5万元，无法计算完成比率，决算数大于年初预算数的主要原因是：上年项目结转。</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5、卫生健康支出（类）行政事业单位医疗（款）行政单位医疗（项）。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年初预算为19.85万元，支出决算为13.73万元，完成年初预算的69.17%，决算数小于年初预算数的主要原因是：拨付时间调整。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6、卫生健康支出（类）财政对基本医疗保险基金的补助（款）  财政对其他基本医疗保险基金的补助（项）。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年初预算为440万元，支出决算为7.54万元，完成年初预算的1.71%，决算数小于年初预算数的主要原因是：决算方式调整。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7、卫生健康支出（类）医疗保障管理事务（款）行政运行（项）。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 511.78万元，支出决算为420.86万元，完成年初预算的82.23%，决算数小于年初预算数的主要原因是：决算方式调整。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8、卫生健康支出（类）医疗保障管理事务（款）一般行政管理事务（项）。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 0万元，支出决算为63.52万元，无法计算完成比率，决算数小于年初预算数的主要原因是：决算方式调整。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9、卫生健康支出（类）医疗保障管理事务（款） 医疗保障经办事务（项）。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年初预算为0万元，支出决算为30万元，无法计算完成比率，决算数大于年初预算数的主要原因是：中央直达医疗保障与服务能力提升资金。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10、卫生健康支出（类）财政对基本医疗保险基金的补助（款）财政对城乡居民基本医疗保险基金的补助（项）。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年初预算为700万元，支出决算为0万元，完成年初预算的0%，决算数小于年初预算数的主要原因是：决算方式调整。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11、卫生健康支出（类）医疗保障管理事务（款）信息化建设（项）。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年初预算为12.8万元，支出决算为0万元，完成年初预算的0%，决算数小于年初预算数的主要原因是：项目资金结转下年使用。</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526.83万元，其中：人员经费441.31万元，占基本支出的83.77%,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85.52万元，占基本支出的16.23%，主要包括办公费、印刷费、咨询费、手续费、办公费、印刷费、手续费、水费、电费、邮电费、差旅费、工会经费、福利费、其他商品和服务支出、资本性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ind w:firstLine="320"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2021年度“三公”经费财政拨款支出预算为6.94万元，支出决算为0.07万元，完成预算的1%，其中：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w:t>
      </w:r>
      <w:r>
        <w:rPr>
          <w:rFonts w:hint="eastAsia" w:asciiTheme="minorEastAsia" w:hAnsiTheme="minorEastAsia" w:eastAsiaTheme="minorEastAsia"/>
          <w:color w:val="000000"/>
          <w:sz w:val="32"/>
          <w:szCs w:val="32"/>
        </w:rPr>
        <w:t>为0万元，因预算金额0万元，无法计算百分比。决</w:t>
      </w:r>
      <w:r>
        <w:rPr>
          <w:rFonts w:hint="eastAsia" w:asciiTheme="minorEastAsia" w:hAnsiTheme="minorEastAsia" w:eastAsiaTheme="minorEastAsia"/>
          <w:sz w:val="32"/>
          <w:szCs w:val="32"/>
        </w:rPr>
        <w:t>算数与年初预算数一致，与上年持平。</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公务接待费支出预算为6.94万元，支出决算为0.07万元，完成预算的1%，决算数小于预算数的主要原因是厉行节约，零招待费，与上年相比减少</w:t>
      </w:r>
      <w:r>
        <w:rPr>
          <w:rFonts w:hint="eastAsia" w:asciiTheme="minorEastAsia" w:hAnsiTheme="minorEastAsia"/>
          <w:sz w:val="32"/>
          <w:szCs w:val="32"/>
        </w:rPr>
        <w:t>0.03</w:t>
      </w:r>
      <w:r>
        <w:rPr>
          <w:rFonts w:hint="eastAsia" w:asciiTheme="minorEastAsia" w:hAnsiTheme="minorEastAsia" w:eastAsiaTheme="minorEastAsia"/>
          <w:sz w:val="32"/>
          <w:szCs w:val="32"/>
        </w:rPr>
        <w:t>万元，减少</w:t>
      </w:r>
      <w:r>
        <w:rPr>
          <w:rFonts w:hint="eastAsia" w:asciiTheme="minorEastAsia" w:hAnsiTheme="minorEastAsia"/>
          <w:sz w:val="32"/>
          <w:szCs w:val="32"/>
        </w:rPr>
        <w:t>30</w:t>
      </w:r>
      <w:r>
        <w:rPr>
          <w:rFonts w:hint="eastAsia" w:asciiTheme="minorEastAsia" w:hAnsiTheme="minorEastAsia" w:eastAsiaTheme="minorEastAsia"/>
          <w:sz w:val="32"/>
          <w:szCs w:val="32"/>
        </w:rPr>
        <w:t>%,减少的主要原因是厉行节约，零招待费。</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公务用车购置费支出预算为0万元，支出决算为0万元，因预算金额为0万元，无法计算百分比。与上年相比保持持平。</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公务用车运行维护费支出预算为0万元，支出决算为0万元，因预算金额为0万元，无法计算百分比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与上年相比保持持平。</w:t>
      </w:r>
    </w:p>
    <w:p>
      <w:pPr>
        <w:pStyle w:val="10"/>
        <w:ind w:firstLine="320"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2021年度“三公”经费财政拨款支出决算中，公务接待费支出决算0.07万元，占100%,因公出国（境）费支出决算0万元，占0%,公务用车购置费及运行维护费支出决算0万元，占0%。其中：</w:t>
      </w:r>
    </w:p>
    <w:p>
      <w:pPr>
        <w:pStyle w:val="10"/>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1、因公出国（境）费支出决算为0万元，全年安排因公出国（境）团组0个，累计0人次</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2、公务接待费支出决算为0.07万元，全年共接待来访团组1个、来宾3人次，主要是医保工作学习交流发生的接待支出。</w:t>
      </w:r>
    </w:p>
    <w:p>
      <w:pPr>
        <w:ind w:firstLine="800" w:firstLineChars="250"/>
        <w:rPr>
          <w:rFonts w:hint="eastAsia" w:asciiTheme="minorEastAsia" w:hAnsiTheme="minorEastAsia"/>
          <w:color w:val="000000" w:themeColor="text1"/>
          <w:sz w:val="32"/>
          <w:szCs w:val="32"/>
          <w14:textFill>
            <w14:solidFill>
              <w14:schemeClr w14:val="tx1"/>
            </w14:solidFill>
          </w14:textFill>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p>
    <w:p>
      <w:pPr>
        <w:ind w:firstLine="800" w:firstLineChars="250"/>
        <w:rPr>
          <w:rFonts w:cs="黑体" w:asciiTheme="minorEastAsia" w:hAnsiTheme="minorEastAsia"/>
          <w:color w:val="000000"/>
          <w:kern w:val="0"/>
          <w:sz w:val="32"/>
          <w:szCs w:val="32"/>
        </w:rPr>
      </w:pPr>
      <w:r>
        <w:rPr>
          <w:rFonts w:hint="eastAsia" w:asciiTheme="minorEastAsia" w:hAnsiTheme="minorEastAsia"/>
          <w:color w:val="000000" w:themeColor="text1"/>
          <w:sz w:val="32"/>
          <w:szCs w:val="32"/>
          <w:lang w:val="en-US" w:eastAsia="zh-CN"/>
          <w14:textFill>
            <w14:solidFill>
              <w14:schemeClr w14:val="tx1"/>
            </w14:solidFill>
          </w14:textFill>
        </w:rPr>
        <w:t>4、</w:t>
      </w:r>
      <w:r>
        <w:rPr>
          <w:rFonts w:hint="eastAsia" w:asciiTheme="minorEastAsia" w:hAnsiTheme="minorEastAsia"/>
          <w:sz w:val="32"/>
          <w:szCs w:val="32"/>
        </w:rPr>
        <w:t>公务用车运行维护费0万元，截止202</w:t>
      </w:r>
      <w:r>
        <w:rPr>
          <w:rFonts w:hint="eastAsia" w:asciiTheme="minorEastAsia" w:hAnsiTheme="minorEastAsia"/>
          <w:sz w:val="32"/>
          <w:szCs w:val="32"/>
          <w:lang w:val="en-US" w:eastAsia="zh-CN"/>
        </w:rPr>
        <w:t>1</w:t>
      </w:r>
      <w:r>
        <w:rPr>
          <w:rFonts w:hint="eastAsia" w:asciiTheme="minorEastAsia" w:hAnsiTheme="minorEastAsia"/>
          <w:sz w:val="32"/>
          <w:szCs w:val="32"/>
        </w:rPr>
        <w:t>年12月31日，我单位开支财政拨款的公务用车保有量为0辆。</w:t>
      </w:r>
    </w:p>
    <w:p>
      <w:pPr>
        <w:pStyle w:val="10"/>
        <w:ind w:firstLine="320" w:firstLineChars="10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2020年政府性基金预算财政拨款收入0万元；年初结转和结余0万元；支出0万元，其中基本支出0万元，项目支出0万元；年末结转和结余0万元。</w:t>
      </w:r>
    </w:p>
    <w:p>
      <w:pPr>
        <w:pStyle w:val="10"/>
        <w:ind w:firstLine="320" w:firstLineChars="100"/>
        <w:rPr>
          <w:rFonts w:hAnsi="黑体"/>
          <w:b/>
          <w:sz w:val="32"/>
          <w:szCs w:val="32"/>
        </w:rPr>
      </w:pPr>
      <w:r>
        <w:rPr>
          <w:rFonts w:hint="eastAsia" w:hAnsi="黑体"/>
          <w:b/>
          <w:sz w:val="32"/>
          <w:szCs w:val="32"/>
        </w:rPr>
        <w:t>九、国有资本经营预算财政拨款支出情况</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0"/>
        <w:ind w:firstLine="320" w:firstLineChars="10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本部门2021年度机关运行经费支出85.52万元，比年初预算数158.73减少73.21 万元，降低46.12%。主要原因是：</w:t>
      </w:r>
      <w:r>
        <w:rPr>
          <w:rFonts w:hint="eastAsia" w:ascii="宋体" w:hAnsi="宋体" w:eastAsia="宋体" w:cs="宋体"/>
          <w:sz w:val="32"/>
          <w:szCs w:val="32"/>
        </w:rPr>
        <w:t>厉行节约。</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hint="eastAsia" w:asciiTheme="minorEastAsia" w:hAnsiTheme="minorEastAsia" w:eastAsiaTheme="minorEastAsia"/>
          <w:color w:val="FF0000"/>
          <w:sz w:val="32"/>
          <w:szCs w:val="32"/>
          <w:lang w:eastAsia="zh-CN"/>
        </w:rPr>
      </w:pPr>
      <w:r>
        <w:rPr>
          <w:rFonts w:hint="eastAsia" w:asciiTheme="minorEastAsia" w:hAnsiTheme="minorEastAsia" w:eastAsiaTheme="minorEastAsia"/>
          <w:sz w:val="32"/>
          <w:szCs w:val="32"/>
        </w:rPr>
        <w:t>2021年本部门开支会议费0.48万元，用于召开“打击欺诈骗保专项整治行动部署动员暨《医疗保险基金使用监督管理条例》宣讲会”会议，人数308人，内容为：打击欺诈骗保专项整治行动，《医疗保险基金使用监督管理条例》宣讲；用于召开“2021年度鹤城区城乡居民基本医疗保险全覆盖工作推进会”会议，人数80人，内容为：鹤城区城乡居民基本医疗保险全覆盖工作；用于召开“全国医疗保障信息平台怀化上线暨支付方式改革（DIP)动员电视电话会议”会议，人数90人，内容为：全国医疗保障信息平台怀化上线暨支付方式改革（DIP)工作；2021年本部门开支会议费</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用于召开“怀化市鹤城区定点医疗机构三目录匹配和接口改造”培训会，人数280人，内容为：鹤城区定点医疗机构三目录匹配和接口改造；用于召开“鹤城区取消非医疗机构动用耗材暨落实两病门诊工作推进会”会议，人数90人，内容为：鹤城区取消非医疗机构动用耗材暨落实两病门诊工作</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举办0场节庆、晚会、论坛、赛事等活动，开支0万元。</w:t>
      </w:r>
      <w:bookmarkStart w:id="2" w:name="_GoBack"/>
      <w:bookmarkEnd w:id="2"/>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万元、政府采购工程支出0万元、政府采购服务支出0万元。授予中小企业合同金额0万元，占政府采购支出总额的0%，其中：授予小微企业合同金额0万元，占政府采购支出总额的0%。</w:t>
      </w:r>
    </w:p>
    <w:p>
      <w:pPr>
        <w:pStyle w:val="10"/>
        <w:rPr>
          <w:rFonts w:hAnsi="黑体"/>
          <w:b/>
          <w:sz w:val="32"/>
          <w:szCs w:val="32"/>
        </w:rPr>
      </w:pPr>
      <w:r>
        <w:rPr>
          <w:rFonts w:hint="eastAsia" w:hAnsi="黑体"/>
          <w:b/>
          <w:sz w:val="32"/>
          <w:szCs w:val="32"/>
        </w:rPr>
        <w:t>十三、国有资产占用情况说明</w:t>
      </w:r>
    </w:p>
    <w:p>
      <w:pPr>
        <w:ind w:firstLine="640" w:firstLineChars="200"/>
        <w:rPr>
          <w:rFonts w:asciiTheme="minorEastAsia" w:hAnsiTheme="minorEastAsia"/>
          <w:sz w:val="32"/>
          <w:szCs w:val="32"/>
        </w:rPr>
      </w:pPr>
      <w:r>
        <w:rPr>
          <w:rFonts w:hint="eastAsia" w:asciiTheme="minorEastAsia" w:hAnsiTheme="minorEastAsia"/>
          <w:sz w:val="32"/>
          <w:szCs w:val="32"/>
        </w:rPr>
        <w:t>截至2021年12月31日，本单位共有车辆0辆，其中，主要</w:t>
      </w:r>
      <w:r>
        <w:rPr>
          <w:rFonts w:hint="eastAsia" w:cs="黑体" w:asciiTheme="minorEastAsia" w:hAnsiTheme="minorEastAsia"/>
          <w:color w:val="000000"/>
          <w:kern w:val="0"/>
          <w:sz w:val="32"/>
          <w:szCs w:val="32"/>
        </w:rPr>
        <w:t>领导干部用车0辆、机要通信用车0辆、应急保障用车0辆、执法执勤用车0辆、特种专业技术用车0辆、其他用车0辆；单位价值50万元以上通用设备0台（套）；单位价值100万元以上专用设备0台（套）。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年度一般公共预算项目支出全面开展绩效自评，其中，一级项目0个，二级项目3个，共涉及资金38.04万元，占一般公共预算项目支出总额的100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hint="eastAsia" w:asciiTheme="minorEastAsia" w:hAnsiTheme="minorEastAsia" w:cstheme="minorEastAsia"/>
          <w:bCs/>
          <w:sz w:val="32"/>
          <w:szCs w:val="32"/>
        </w:rPr>
        <w:t>2021年，</w:t>
      </w:r>
      <w:r>
        <w:rPr>
          <w:rFonts w:hint="eastAsia" w:asciiTheme="minorEastAsia" w:hAnsiTheme="minorEastAsia" w:cstheme="minorEastAsia"/>
          <w:color w:val="000000"/>
          <w:sz w:val="32"/>
          <w:szCs w:val="32"/>
          <w:shd w:val="clear" w:color="auto" w:fill="FFFFFF"/>
        </w:rPr>
        <w:t>全区城镇职工和居民参保人数</w:t>
      </w:r>
      <w:r>
        <w:rPr>
          <w:rFonts w:hint="eastAsia" w:asciiTheme="minorEastAsia" w:hAnsiTheme="minorEastAsia" w:cstheme="minorEastAsia"/>
          <w:sz w:val="32"/>
          <w:szCs w:val="32"/>
        </w:rPr>
        <w:t>51.31</w:t>
      </w:r>
      <w:r>
        <w:rPr>
          <w:rFonts w:hint="eastAsia" w:asciiTheme="minorEastAsia" w:hAnsiTheme="minorEastAsia" w:cstheme="minorEastAsia"/>
          <w:color w:val="000000"/>
          <w:sz w:val="32"/>
          <w:szCs w:val="32"/>
          <w:shd w:val="clear" w:color="auto" w:fill="FFFFFF"/>
        </w:rPr>
        <w:t>万人（其中城镇职工基本医疗保险参保人数</w:t>
      </w:r>
      <w:r>
        <w:rPr>
          <w:rFonts w:hint="eastAsia" w:asciiTheme="minorEastAsia" w:hAnsiTheme="minorEastAsia" w:cstheme="minorEastAsia"/>
          <w:sz w:val="32"/>
          <w:szCs w:val="32"/>
        </w:rPr>
        <w:t>19.54</w:t>
      </w:r>
      <w:r>
        <w:rPr>
          <w:rFonts w:hint="eastAsia" w:asciiTheme="minorEastAsia" w:hAnsiTheme="minorEastAsia" w:cstheme="minorEastAsia"/>
          <w:color w:val="000000"/>
          <w:sz w:val="32"/>
          <w:szCs w:val="32"/>
          <w:shd w:val="clear" w:color="auto" w:fill="FFFFFF"/>
        </w:rPr>
        <w:t>万人，城镇居民医疗保险参保人数</w:t>
      </w:r>
      <w:r>
        <w:rPr>
          <w:rFonts w:hint="eastAsia" w:asciiTheme="minorEastAsia" w:hAnsiTheme="minorEastAsia" w:cstheme="minorEastAsia"/>
          <w:sz w:val="32"/>
          <w:szCs w:val="32"/>
        </w:rPr>
        <w:t>31.77</w:t>
      </w:r>
      <w:r>
        <w:rPr>
          <w:rFonts w:hint="eastAsia" w:asciiTheme="minorEastAsia" w:hAnsiTheme="minorEastAsia" w:cstheme="minorEastAsia"/>
          <w:color w:val="000000"/>
          <w:sz w:val="32"/>
          <w:szCs w:val="32"/>
          <w:shd w:val="clear" w:color="auto" w:fill="FFFFFF"/>
        </w:rPr>
        <w:t>万人），</w:t>
      </w:r>
      <w:r>
        <w:rPr>
          <w:rFonts w:hint="eastAsia" w:asciiTheme="minorEastAsia" w:hAnsiTheme="minorEastAsia" w:cstheme="minorEastAsia"/>
          <w:sz w:val="32"/>
          <w:szCs w:val="32"/>
        </w:rPr>
        <w:t>参保率达102%，比2020年提高4.13%，贫困人员参保率100%，贫困人员区域内住院综合医疗保障达到85%，我区城乡居民参保人群中纳入基层卫生机构规范化管理的“两病”患者全部按政策100％享受待遇。圆满完成了各项绩效指标任务。</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sz w:val="32"/>
          <w:szCs w:val="32"/>
        </w:rPr>
        <w:t>“医疗保障与服务能力提升资金”</w:t>
      </w:r>
      <w:r>
        <w:rPr>
          <w:rFonts w:hint="eastAsia" w:cs="黑体" w:asciiTheme="minorEastAsia" w:hAnsiTheme="minorEastAsia"/>
          <w:color w:val="000000"/>
          <w:kern w:val="0"/>
          <w:sz w:val="32"/>
          <w:szCs w:val="32"/>
        </w:rPr>
        <w:t>项目绩效自评综述：根据年初设定的绩效目标，项目绩效自评得分为97分。项目全年预算数为0万元，执行数为30万元，完成预算的300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hint="eastAsia" w:asciiTheme="minorEastAsia" w:hAnsiTheme="minorEastAsia" w:cstheme="minorEastAsia"/>
          <w:color w:val="000000"/>
          <w:kern w:val="0"/>
          <w:sz w:val="32"/>
          <w:szCs w:val="32"/>
        </w:rPr>
        <w:t>项目绩效目标完成情况：一是</w:t>
      </w:r>
      <w:r>
        <w:rPr>
          <w:rFonts w:hint="eastAsia" w:asciiTheme="minorEastAsia" w:hAnsiTheme="minorEastAsia" w:cstheme="minorEastAsia"/>
          <w:sz w:val="32"/>
          <w:szCs w:val="32"/>
        </w:rPr>
        <w:t>积极参加省级、市级医保工作新闻发布会和政策吹风会，在区政务公开政府网站信息48条、新闻简讯38条，</w:t>
      </w:r>
      <w:r>
        <w:rPr>
          <w:rFonts w:hint="eastAsia" w:asciiTheme="minorEastAsia" w:hAnsiTheme="minorEastAsia" w:cstheme="minorEastAsia"/>
          <w:kern w:val="0"/>
          <w:sz w:val="32"/>
          <w:szCs w:val="32"/>
        </w:rPr>
        <w:t>制作了“积极参保居民医保、人人享有健康保障” 长达14分钟的大型参保宣传片，在湘医保宣传平台全省播放，鹤城区医疗保障局电子凭证首届创意作品荣获2021“湘医保”创意作品参赛作品，在全省推广。医保规范性文件和政策措施的合法性审查、公平竞争审查基本实现全覆盖。医保信息系统遵循全省“统管统建”模式，已完成升级改造。医保系统正常运行率≥90%，</w:t>
      </w:r>
      <w:r>
        <w:rPr>
          <w:rFonts w:hint="eastAsia" w:asciiTheme="minorEastAsia" w:hAnsiTheme="minorEastAsia" w:cstheme="minorEastAsia"/>
          <w:color w:val="000000"/>
          <w:sz w:val="32"/>
          <w:szCs w:val="32"/>
        </w:rPr>
        <w:t>医保信息系统重大安全事件响应时间≤60分钟，维护响应时间≤30分钟，定点医药机构监督全覆盖，正逐步推行医保支付方式改革和DRG、DIP工作</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color w:val="000000"/>
          <w:sz w:val="32"/>
          <w:szCs w:val="32"/>
        </w:rPr>
        <w:t>医药价格政策落实和执行情况、医药招标采购政策落实和执行情况均已按时按要求落实和执行</w:t>
      </w:r>
      <w:r>
        <w:rPr>
          <w:rFonts w:hint="eastAsia" w:asciiTheme="minorEastAsia" w:hAnsiTheme="minorEastAsia" w:cstheme="minorEastAsia"/>
          <w:color w:val="000000"/>
          <w:kern w:val="0"/>
          <w:sz w:val="32"/>
          <w:szCs w:val="32"/>
        </w:rPr>
        <w:t>。发现的主要问题及原因：一是医保智能发挥还不充分、工作统筹推进有难度，再加上医保改革问题敏感，矛盾尖锐、任务繁重；二是定点医药机构偏多，医保专业人才较少，稽核监管难度较大，特别是各定点医疗机构“三合理检查”（合理检查、合理治疗、合理用药）执行欠规范，导致参保患者住院次均费用高增长过快，控费管理难度较大。。下一步改进措施：一是</w:t>
      </w:r>
      <w:r>
        <w:rPr>
          <w:rFonts w:hint="eastAsia" w:asciiTheme="minorEastAsia" w:hAnsiTheme="minorEastAsia" w:cstheme="minorEastAsia"/>
          <w:sz w:val="32"/>
          <w:szCs w:val="32"/>
        </w:rPr>
        <w:t>加大对医保基金的监管力度，确保基金的安全完整</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sz w:val="32"/>
          <w:szCs w:val="32"/>
        </w:rPr>
        <w:t>深化医保支付方式改革，推动DRG付费改革制度</w:t>
      </w:r>
      <w:r>
        <w:rPr>
          <w:rFonts w:hint="eastAsia" w:asciiTheme="minorEastAsia" w:hAnsiTheme="minorEastAsia" w:cstheme="minorEastAsia"/>
          <w:color w:val="000000"/>
          <w:kern w:val="0"/>
          <w:sz w:val="32"/>
          <w:szCs w:val="32"/>
        </w:rPr>
        <w:t>。</w:t>
      </w:r>
    </w:p>
    <w:p>
      <w:pPr>
        <w:autoSpaceDE w:val="0"/>
        <w:autoSpaceDN w:val="0"/>
        <w:adjustRightInd w:val="0"/>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“医疗保障与服务能力提升资金”</w:t>
      </w:r>
      <w:r>
        <w:rPr>
          <w:rFonts w:hint="eastAsia" w:asciiTheme="minorEastAsia" w:hAnsiTheme="minorEastAsia" w:cstheme="minorEastAsia"/>
          <w:color w:val="000000"/>
          <w:kern w:val="0"/>
          <w:sz w:val="32"/>
          <w:szCs w:val="32"/>
        </w:rPr>
        <w:t>项目绩效自评综述：</w:t>
      </w:r>
      <w:r>
        <w:rPr>
          <w:rFonts w:hint="eastAsia" w:asciiTheme="minorEastAsia" w:hAnsiTheme="minorEastAsia" w:cstheme="minorEastAsia"/>
          <w:sz w:val="32"/>
          <w:szCs w:val="32"/>
        </w:rPr>
        <w:t>鹤城区医疗保障局医疗服务与保障能力提升补助资金使用管理整体情况良好，通过精准实施医保扶贫，全力配合基本医疗保险市级统筹，进一步完善医保待遇保障配套政策，加强医保人才队伍建设，持续优化医保经办服务，加强医保综合监管和宣传引导，持续做好信息系统维护等方式开展医疗服务与保障能力提升补助工作，达到了年度目标要求。</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2021年度部门整体支出绩效评价报告</w:t>
      </w:r>
    </w:p>
    <w:p>
      <w:pPr>
        <w:jc w:val="left"/>
        <w:rPr>
          <w:rFonts w:cs="黑体" w:asciiTheme="minorEastAsia" w:hAnsiTheme="minorEastAsia"/>
          <w:color w:val="000000"/>
          <w:kern w:val="0"/>
          <w:sz w:val="32"/>
          <w:szCs w:val="32"/>
        </w:rPr>
      </w:pPr>
    </w:p>
    <w:p>
      <w:pPr>
        <w:widowControl/>
        <w:numPr>
          <w:ilvl w:val="0"/>
          <w:numId w:val="3"/>
        </w:numPr>
        <w:spacing w:line="600" w:lineRule="exact"/>
        <w:ind w:left="640" w:firstLine="0" w:firstLineChars="0"/>
        <w:jc w:val="both"/>
        <w:rPr>
          <w:rFonts w:ascii="Times New Roman" w:hAnsi="Times New Roman" w:eastAsia="黑体" w:cs="Times New Roman"/>
          <w:kern w:val="2"/>
          <w:sz w:val="32"/>
          <w:szCs w:val="32"/>
          <w:lang w:val="en-US" w:eastAsia="zh-CN" w:bidi="ar-SA"/>
        </w:rPr>
      </w:pPr>
      <w:r>
        <w:rPr>
          <w:rFonts w:ascii="Times New Roman" w:hAnsi="Times New Roman" w:eastAsia="黑体" w:cs="Times New Roman"/>
          <w:kern w:val="2"/>
          <w:sz w:val="32"/>
          <w:szCs w:val="32"/>
          <w:lang w:val="en-US" w:eastAsia="zh-CN" w:bidi="ar-SA"/>
        </w:rPr>
        <w:t>部门、单位基本情况</w:t>
      </w:r>
    </w:p>
    <w:p>
      <w:pPr>
        <w:numPr>
          <w:ilvl w:val="0"/>
          <w:numId w:val="0"/>
        </w:num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kern w:val="2"/>
          <w:sz w:val="32"/>
          <w:szCs w:val="32"/>
          <w:lang w:val="en-US" w:eastAsia="zh-CN" w:bidi="ar-SA"/>
        </w:rPr>
        <w:t>（一）</w:t>
      </w:r>
      <w:r>
        <w:rPr>
          <w:rFonts w:hint="eastAsia" w:ascii="仿宋" w:hAnsi="仿宋" w:eastAsia="仿宋" w:cs="仿宋"/>
          <w:color w:val="000000"/>
          <w:sz w:val="32"/>
          <w:szCs w:val="32"/>
          <w:lang w:val="en-US" w:eastAsia="zh-CN"/>
        </w:rPr>
        <w:t>制定全区定点医药机构协议和支付管理办法并组织实施。</w:t>
      </w:r>
    </w:p>
    <w:p>
      <w:pPr>
        <w:ind w:firstLine="640" w:firstLineChars="200"/>
        <w:jc w:val="left"/>
        <w:rPr>
          <w:rFonts w:hint="eastAsia" w:ascii="仿宋" w:hAnsi="仿宋" w:eastAsia="仿宋" w:cs="仿宋"/>
          <w:color w:val="000000"/>
          <w:sz w:val="32"/>
          <w:szCs w:val="32"/>
          <w:lang w:val="en-US" w:eastAsia="zh-CN"/>
        </w:rPr>
      </w:pPr>
      <w:r>
        <w:rPr>
          <w:rFonts w:hint="eastAsia" w:ascii="宋体" w:hAnsi="宋体" w:eastAsia="宋体" w:cs="Times New Roman"/>
          <w:sz w:val="32"/>
          <w:szCs w:val="32"/>
        </w:rPr>
        <w:t>（</w:t>
      </w:r>
      <w:r>
        <w:rPr>
          <w:rFonts w:hint="eastAsia" w:ascii="宋体" w:hAnsi="宋体" w:eastAsia="宋体" w:cs="Times New Roman"/>
          <w:sz w:val="32"/>
          <w:szCs w:val="32"/>
          <w:lang w:eastAsia="zh-CN"/>
        </w:rPr>
        <w:t>二</w:t>
      </w:r>
      <w:r>
        <w:rPr>
          <w:rFonts w:hint="eastAsia" w:ascii="宋体" w:hAnsi="宋体" w:eastAsia="宋体" w:cs="Times New Roman"/>
          <w:sz w:val="32"/>
          <w:szCs w:val="32"/>
        </w:rPr>
        <w:t>）</w:t>
      </w:r>
      <w:r>
        <w:rPr>
          <w:rFonts w:hint="eastAsia" w:ascii="仿宋" w:hAnsi="仿宋" w:eastAsia="仿宋" w:cs="仿宋"/>
          <w:color w:val="000000"/>
          <w:sz w:val="32"/>
          <w:szCs w:val="32"/>
          <w:lang w:val="en-US" w:eastAsia="zh-CN"/>
        </w:rPr>
        <w:t>负责全区医疗保障经办管理、公共服务体系和信息化建设。</w:t>
      </w:r>
    </w:p>
    <w:p>
      <w:p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（三）组织制定并实施全区医疗保障基金监督管理，推进医疗保障基金支付方式改革。</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机构设置情况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b w:val="0"/>
          <w:bCs/>
          <w:color w:val="000000"/>
          <w:sz w:val="32"/>
          <w:szCs w:val="32"/>
          <w:lang w:val="en-US" w:eastAsia="zh-CN"/>
        </w:rPr>
        <w:t xml:space="preserve"> </w:t>
      </w:r>
      <w:r>
        <w:rPr>
          <w:rFonts w:hint="eastAsia" w:ascii="仿宋" w:hAnsi="仿宋" w:eastAsia="仿宋" w:cs="仿宋"/>
          <w:color w:val="000000"/>
          <w:sz w:val="32"/>
          <w:szCs w:val="32"/>
        </w:rPr>
        <w:t>怀化市</w:t>
      </w:r>
      <w:r>
        <w:rPr>
          <w:rFonts w:hint="eastAsia" w:ascii="仿宋" w:hAnsi="仿宋" w:eastAsia="仿宋" w:cs="仿宋"/>
          <w:color w:val="000000"/>
          <w:sz w:val="32"/>
          <w:szCs w:val="32"/>
          <w:lang w:eastAsia="zh-CN"/>
        </w:rPr>
        <w:t>鹤城区</w:t>
      </w:r>
      <w:r>
        <w:rPr>
          <w:rFonts w:hint="eastAsia" w:ascii="仿宋" w:hAnsi="仿宋" w:eastAsia="仿宋" w:cs="仿宋"/>
          <w:color w:val="000000"/>
          <w:sz w:val="32"/>
          <w:szCs w:val="32"/>
        </w:rPr>
        <w:t>医疗保障局是</w:t>
      </w:r>
      <w:r>
        <w:rPr>
          <w:rFonts w:hint="eastAsia" w:ascii="仿宋" w:hAnsi="仿宋" w:eastAsia="仿宋" w:cs="仿宋"/>
          <w:color w:val="000000"/>
          <w:sz w:val="32"/>
          <w:szCs w:val="32"/>
          <w:lang w:eastAsia="zh-CN"/>
        </w:rPr>
        <w:t>区</w:t>
      </w:r>
      <w:r>
        <w:rPr>
          <w:rFonts w:hint="eastAsia" w:ascii="仿宋" w:hAnsi="仿宋" w:eastAsia="仿宋" w:cs="仿宋"/>
          <w:color w:val="000000"/>
          <w:sz w:val="32"/>
          <w:szCs w:val="32"/>
        </w:rPr>
        <w:t>政府工作部门，为正</w:t>
      </w:r>
      <w:r>
        <w:rPr>
          <w:rFonts w:hint="eastAsia" w:ascii="仿宋" w:hAnsi="仿宋" w:eastAsia="仿宋" w:cs="仿宋"/>
          <w:color w:val="000000"/>
          <w:sz w:val="32"/>
          <w:szCs w:val="32"/>
          <w:lang w:eastAsia="zh-CN"/>
        </w:rPr>
        <w:t>科</w:t>
      </w:r>
      <w:r>
        <w:rPr>
          <w:rFonts w:hint="eastAsia" w:ascii="仿宋" w:hAnsi="仿宋" w:eastAsia="仿宋" w:cs="仿宋"/>
          <w:color w:val="000000"/>
          <w:sz w:val="32"/>
          <w:szCs w:val="32"/>
        </w:rPr>
        <w:t>级</w:t>
      </w:r>
      <w:r>
        <w:rPr>
          <w:rFonts w:hint="eastAsia" w:ascii="仿宋" w:hAnsi="仿宋" w:eastAsia="仿宋" w:cs="仿宋"/>
          <w:color w:val="000000"/>
          <w:sz w:val="32"/>
          <w:szCs w:val="32"/>
          <w:lang w:eastAsia="zh-CN"/>
        </w:rPr>
        <w:t>，</w:t>
      </w:r>
      <w:r>
        <w:rPr>
          <w:rFonts w:hint="eastAsia" w:ascii="仿宋" w:hAnsi="仿宋" w:eastAsia="仿宋" w:cs="仿宋"/>
          <w:sz w:val="32"/>
          <w:szCs w:val="32"/>
        </w:rPr>
        <w:t>内设</w:t>
      </w:r>
      <w:r>
        <w:rPr>
          <w:rFonts w:hint="eastAsia" w:ascii="仿宋" w:hAnsi="仿宋" w:eastAsia="仿宋" w:cs="仿宋"/>
          <w:sz w:val="32"/>
          <w:szCs w:val="32"/>
          <w:lang w:val="en-US" w:eastAsia="zh-CN"/>
        </w:rPr>
        <w:t>3</w:t>
      </w:r>
      <w:r>
        <w:rPr>
          <w:rFonts w:hint="eastAsia" w:ascii="仿宋" w:hAnsi="仿宋" w:eastAsia="仿宋" w:cs="仿宋"/>
          <w:sz w:val="32"/>
          <w:szCs w:val="32"/>
        </w:rPr>
        <w:t>股室，分别为：办公室、</w:t>
      </w:r>
      <w:r>
        <w:rPr>
          <w:rFonts w:hint="eastAsia" w:ascii="仿宋" w:hAnsi="仿宋" w:eastAsia="仿宋" w:cs="仿宋"/>
          <w:color w:val="000000"/>
          <w:sz w:val="32"/>
          <w:szCs w:val="32"/>
        </w:rPr>
        <w:t>规划财务和法规</w:t>
      </w:r>
      <w:r>
        <w:rPr>
          <w:rFonts w:hint="eastAsia" w:ascii="仿宋" w:hAnsi="仿宋" w:eastAsia="仿宋" w:cs="仿宋"/>
          <w:color w:val="000000"/>
          <w:sz w:val="32"/>
          <w:szCs w:val="32"/>
          <w:lang w:eastAsia="zh-CN"/>
        </w:rPr>
        <w:t>股（加挂行政审批股）</w:t>
      </w:r>
      <w:r>
        <w:rPr>
          <w:rFonts w:hint="eastAsia" w:ascii="仿宋" w:hAnsi="仿宋" w:eastAsia="仿宋" w:cs="仿宋"/>
          <w:sz w:val="32"/>
          <w:szCs w:val="32"/>
        </w:rPr>
        <w:t>、</w:t>
      </w:r>
      <w:r>
        <w:rPr>
          <w:rFonts w:hint="eastAsia" w:ascii="仿宋" w:hAnsi="仿宋" w:eastAsia="仿宋" w:cs="仿宋"/>
          <w:color w:val="000000"/>
          <w:sz w:val="32"/>
          <w:szCs w:val="32"/>
          <w:lang w:eastAsia="zh-CN"/>
        </w:rPr>
        <w:t>业务股</w:t>
      </w:r>
      <w:r>
        <w:rPr>
          <w:rFonts w:hint="eastAsia" w:ascii="仿宋" w:hAnsi="仿宋" w:eastAsia="仿宋" w:cs="仿宋"/>
          <w:sz w:val="32"/>
          <w:szCs w:val="32"/>
        </w:rPr>
        <w:t>。现有编制数</w:t>
      </w:r>
      <w:r>
        <w:rPr>
          <w:rFonts w:hint="eastAsia" w:ascii="仿宋" w:hAnsi="仿宋" w:eastAsia="仿宋" w:cs="仿宋"/>
          <w:sz w:val="32"/>
          <w:szCs w:val="32"/>
          <w:lang w:val="en-US" w:eastAsia="zh-CN"/>
        </w:rPr>
        <w:t>4</w:t>
      </w:r>
      <w:r>
        <w:rPr>
          <w:rFonts w:hint="eastAsia" w:ascii="仿宋" w:hAnsi="仿宋" w:eastAsia="仿宋" w:cs="仿宋"/>
          <w:sz w:val="32"/>
          <w:szCs w:val="32"/>
        </w:rPr>
        <w:t>个，实有在职人员</w:t>
      </w:r>
      <w:r>
        <w:rPr>
          <w:rFonts w:hint="eastAsia" w:ascii="仿宋" w:hAnsi="仿宋" w:eastAsia="仿宋" w:cs="仿宋"/>
          <w:sz w:val="32"/>
          <w:szCs w:val="32"/>
          <w:lang w:val="en-US" w:eastAsia="zh-CN"/>
        </w:rPr>
        <w:t>4</w:t>
      </w:r>
      <w:r>
        <w:rPr>
          <w:rFonts w:hint="eastAsia" w:ascii="仿宋" w:hAnsi="仿宋" w:eastAsia="仿宋" w:cs="仿宋"/>
          <w:sz w:val="32"/>
          <w:szCs w:val="32"/>
        </w:rPr>
        <w:t>人。</w:t>
      </w:r>
    </w:p>
    <w:p>
      <w:pPr>
        <w:spacing w:line="560" w:lineRule="exact"/>
        <w:ind w:firstLine="640" w:firstLineChars="200"/>
        <w:rPr>
          <w:rFonts w:ascii="Times New Roman" w:hAnsi="Times New Roman" w:eastAsia="黑体" w:cs="Times New Roman"/>
          <w:sz w:val="32"/>
          <w:szCs w:val="32"/>
        </w:rPr>
      </w:pPr>
      <w:r>
        <w:rPr>
          <w:rFonts w:hint="eastAsia" w:ascii="仿宋" w:hAnsi="仿宋" w:eastAsia="仿宋" w:cs="仿宋"/>
          <w:sz w:val="32"/>
          <w:szCs w:val="32"/>
          <w:lang w:eastAsia="zh-CN"/>
        </w:rPr>
        <w:t>怀化市鹤城区医疗保障事务中心是</w:t>
      </w:r>
      <w:r>
        <w:rPr>
          <w:rFonts w:hint="eastAsia" w:ascii="仿宋" w:hAnsi="仿宋" w:eastAsia="仿宋" w:cs="仿宋"/>
          <w:color w:val="000000"/>
          <w:sz w:val="32"/>
          <w:szCs w:val="32"/>
        </w:rPr>
        <w:t>区医疗保障局所属副科级公益一类事业单位</w:t>
      </w:r>
      <w:r>
        <w:rPr>
          <w:rFonts w:hint="eastAsia" w:ascii="仿宋" w:hAnsi="仿宋" w:eastAsia="仿宋" w:cs="仿宋"/>
          <w:color w:val="000000"/>
          <w:sz w:val="32"/>
          <w:szCs w:val="32"/>
          <w:lang w:eastAsia="zh-CN"/>
        </w:rPr>
        <w:t>，内设五个股室，分别为综合部、信息部、</w:t>
      </w:r>
      <w:r>
        <w:rPr>
          <w:rFonts w:hint="eastAsia" w:ascii="仿宋" w:hAnsi="仿宋" w:eastAsia="仿宋" w:cs="仿宋"/>
          <w:color w:val="000000"/>
          <w:sz w:val="32"/>
          <w:szCs w:val="32"/>
        </w:rPr>
        <w:t>待遇保障服务</w:t>
      </w:r>
      <w:r>
        <w:rPr>
          <w:rFonts w:hint="eastAsia" w:ascii="仿宋" w:hAnsi="仿宋" w:eastAsia="仿宋" w:cs="仿宋"/>
          <w:color w:val="000000"/>
          <w:sz w:val="32"/>
          <w:szCs w:val="32"/>
          <w:lang w:eastAsia="zh-CN"/>
        </w:rPr>
        <w:t>部、</w:t>
      </w:r>
      <w:r>
        <w:rPr>
          <w:rFonts w:hint="eastAsia" w:ascii="仿宋" w:hAnsi="仿宋" w:eastAsia="仿宋" w:cs="仿宋"/>
          <w:color w:val="000000"/>
          <w:sz w:val="32"/>
          <w:szCs w:val="32"/>
        </w:rPr>
        <w:t>异地结算和稽核事务</w:t>
      </w:r>
      <w:r>
        <w:rPr>
          <w:rFonts w:hint="eastAsia" w:ascii="仿宋" w:hAnsi="仿宋" w:eastAsia="仿宋" w:cs="仿宋"/>
          <w:color w:val="000000"/>
          <w:sz w:val="32"/>
          <w:szCs w:val="32"/>
          <w:lang w:eastAsia="zh-CN"/>
        </w:rPr>
        <w:t>部、</w:t>
      </w:r>
      <w:r>
        <w:rPr>
          <w:rFonts w:hint="eastAsia" w:ascii="仿宋" w:hAnsi="仿宋" w:eastAsia="仿宋" w:cs="仿宋"/>
          <w:color w:val="000000"/>
          <w:sz w:val="32"/>
          <w:szCs w:val="32"/>
        </w:rPr>
        <w:t>协议管理和价格监测</w:t>
      </w:r>
      <w:r>
        <w:rPr>
          <w:rFonts w:hint="eastAsia" w:ascii="仿宋" w:hAnsi="仿宋" w:eastAsia="仿宋" w:cs="仿宋"/>
          <w:color w:val="000000"/>
          <w:sz w:val="32"/>
          <w:szCs w:val="32"/>
          <w:lang w:eastAsia="zh-CN"/>
        </w:rPr>
        <w:t>部。</w:t>
      </w:r>
      <w:r>
        <w:rPr>
          <w:rFonts w:hint="eastAsia" w:ascii="仿宋" w:hAnsi="仿宋" w:eastAsia="仿宋" w:cs="仿宋"/>
          <w:color w:val="000000"/>
          <w:sz w:val="32"/>
          <w:szCs w:val="32"/>
        </w:rPr>
        <w:t>核定全额拨款事业编制40名</w:t>
      </w:r>
      <w:r>
        <w:rPr>
          <w:rFonts w:hint="eastAsia" w:ascii="仿宋" w:hAnsi="仿宋" w:eastAsia="仿宋" w:cs="仿宋"/>
          <w:color w:val="000000"/>
          <w:sz w:val="32"/>
          <w:szCs w:val="32"/>
          <w:lang w:eastAsia="zh-CN"/>
        </w:rPr>
        <w:t>，实有在职人员</w:t>
      </w:r>
      <w:r>
        <w:rPr>
          <w:rFonts w:hint="eastAsia" w:ascii="仿宋" w:hAnsi="仿宋" w:eastAsia="仿宋" w:cs="仿宋"/>
          <w:color w:val="000000"/>
          <w:sz w:val="32"/>
          <w:szCs w:val="32"/>
          <w:lang w:val="en-US" w:eastAsia="zh-CN"/>
        </w:rPr>
        <w:t>32人。</w:t>
      </w:r>
    </w:p>
    <w:p>
      <w:pPr>
        <w:widowControl/>
        <w:spacing w:line="600" w:lineRule="exact"/>
        <w:ind w:left="640" w:firstLine="0" w:firstLineChars="0"/>
        <w:jc w:val="both"/>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二、</w:t>
      </w:r>
      <w:r>
        <w:rPr>
          <w:rFonts w:ascii="Times New Roman" w:hAnsi="Times New Roman" w:eastAsia="黑体" w:cs="Times New Roman"/>
          <w:kern w:val="2"/>
          <w:sz w:val="32"/>
          <w:szCs w:val="32"/>
          <w:lang w:val="en-US" w:eastAsia="zh-CN" w:bidi="ar-SA"/>
        </w:rPr>
        <w:t>一般公共预算支出情况</w:t>
      </w:r>
    </w:p>
    <w:p>
      <w:pPr>
        <w:widowControl/>
        <w:spacing w:line="600" w:lineRule="exact"/>
        <w:ind w:left="640" w:firstLine="0" w:firstLineChars="0"/>
        <w:jc w:val="both"/>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（一）</w:t>
      </w:r>
      <w:r>
        <w:rPr>
          <w:rFonts w:ascii="Times New Roman" w:hAnsi="Times New Roman" w:eastAsia="黑体" w:cs="Times New Roman"/>
          <w:kern w:val="2"/>
          <w:sz w:val="32"/>
          <w:szCs w:val="32"/>
          <w:lang w:val="en-US" w:eastAsia="zh-CN" w:bidi="ar-SA"/>
        </w:rPr>
        <w:t>基本支出情况</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基本支出用于为保障机构正常运转、完成日常工作任务而发生的支出，包括人员经费和日常公用经费。</w:t>
      </w:r>
    </w:p>
    <w:p>
      <w:pPr>
        <w:spacing w:line="560" w:lineRule="exact"/>
        <w:ind w:firstLine="640" w:firstLineChars="200"/>
        <w:rPr>
          <w:rFonts w:hint="eastAsia" w:ascii="仿宋" w:hAnsi="仿宋" w:eastAsia="仿宋" w:cs="Times New Roman"/>
          <w:sz w:val="32"/>
          <w:szCs w:val="32"/>
          <w:highlight w:val="none"/>
        </w:rPr>
      </w:pP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21</w:t>
      </w:r>
      <w:r>
        <w:rPr>
          <w:rFonts w:hint="eastAsia" w:ascii="仿宋" w:hAnsi="仿宋" w:eastAsia="仿宋" w:cs="Times New Roman"/>
          <w:sz w:val="32"/>
          <w:szCs w:val="32"/>
        </w:rPr>
        <w:t>年，</w:t>
      </w:r>
      <w:r>
        <w:rPr>
          <w:rFonts w:hint="eastAsia" w:ascii="仿宋" w:hAnsi="仿宋" w:eastAsia="仿宋" w:cs="Times New Roman"/>
          <w:sz w:val="32"/>
          <w:szCs w:val="32"/>
          <w:highlight w:val="none"/>
        </w:rPr>
        <w:t>区财政批复的基本支出预算为</w:t>
      </w:r>
      <w:r>
        <w:rPr>
          <w:rFonts w:hint="eastAsia" w:ascii="仿宋" w:hAnsi="仿宋" w:eastAsia="仿宋" w:cs="Times New Roman"/>
          <w:sz w:val="32"/>
          <w:szCs w:val="32"/>
          <w:highlight w:val="none"/>
          <w:lang w:val="en-US" w:eastAsia="zh-CN"/>
        </w:rPr>
        <w:t>601.33</w:t>
      </w:r>
      <w:r>
        <w:rPr>
          <w:rFonts w:hint="eastAsia" w:ascii="仿宋" w:hAnsi="仿宋" w:eastAsia="仿宋" w:cs="Times New Roman"/>
          <w:sz w:val="32"/>
          <w:szCs w:val="32"/>
          <w:highlight w:val="none"/>
        </w:rPr>
        <w:t>万元，本年实际拨付</w:t>
      </w:r>
      <w:r>
        <w:rPr>
          <w:rFonts w:hint="eastAsia" w:ascii="仿宋" w:hAnsi="仿宋" w:eastAsia="仿宋" w:cs="Times New Roman"/>
          <w:sz w:val="32"/>
          <w:szCs w:val="32"/>
          <w:highlight w:val="none"/>
          <w:lang w:val="en-US" w:eastAsia="zh-CN"/>
        </w:rPr>
        <w:t>526.83</w:t>
      </w:r>
      <w:r>
        <w:rPr>
          <w:rFonts w:hint="eastAsia" w:ascii="仿宋" w:hAnsi="仿宋" w:eastAsia="仿宋" w:cs="Times New Roman"/>
          <w:sz w:val="32"/>
          <w:szCs w:val="32"/>
          <w:highlight w:val="none"/>
        </w:rPr>
        <w:t>万元，实际支出</w:t>
      </w:r>
      <w:r>
        <w:rPr>
          <w:rFonts w:hint="eastAsia" w:ascii="仿宋" w:hAnsi="仿宋" w:eastAsia="仿宋" w:cs="Times New Roman"/>
          <w:sz w:val="32"/>
          <w:szCs w:val="32"/>
          <w:highlight w:val="none"/>
          <w:lang w:val="en-US" w:eastAsia="zh-CN"/>
        </w:rPr>
        <w:t>526.83</w:t>
      </w:r>
      <w:r>
        <w:rPr>
          <w:rFonts w:hint="eastAsia" w:ascii="仿宋" w:hAnsi="仿宋" w:eastAsia="仿宋" w:cs="Times New Roman"/>
          <w:sz w:val="32"/>
          <w:szCs w:val="32"/>
          <w:highlight w:val="none"/>
        </w:rPr>
        <w:t>万元，年底结余0万元。</w:t>
      </w:r>
    </w:p>
    <w:p>
      <w:pPr>
        <w:spacing w:line="560" w:lineRule="exact"/>
        <w:ind w:firstLine="640" w:firstLineChars="2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按经济科目划分，各项支出金额分别为：工资福利支出</w:t>
      </w:r>
      <w:r>
        <w:rPr>
          <w:rFonts w:hint="eastAsia" w:ascii="仿宋" w:hAnsi="仿宋" w:eastAsia="仿宋" w:cs="Times New Roman"/>
          <w:sz w:val="32"/>
          <w:szCs w:val="32"/>
          <w:highlight w:val="none"/>
          <w:lang w:val="en-US" w:eastAsia="zh-CN"/>
        </w:rPr>
        <w:t>439.53</w:t>
      </w:r>
      <w:r>
        <w:rPr>
          <w:rFonts w:hint="eastAsia" w:ascii="仿宋" w:hAnsi="仿宋" w:eastAsia="仿宋" w:cs="Times New Roman"/>
          <w:sz w:val="32"/>
          <w:szCs w:val="32"/>
          <w:highlight w:val="none"/>
        </w:rPr>
        <w:t>万元；商品和服务支出</w:t>
      </w:r>
      <w:r>
        <w:rPr>
          <w:rFonts w:hint="eastAsia" w:ascii="仿宋" w:hAnsi="仿宋" w:eastAsia="仿宋" w:cs="Times New Roman"/>
          <w:sz w:val="32"/>
          <w:szCs w:val="32"/>
          <w:highlight w:val="none"/>
          <w:lang w:val="en-US" w:eastAsia="zh-CN"/>
        </w:rPr>
        <w:t>85.34</w:t>
      </w:r>
      <w:r>
        <w:rPr>
          <w:rFonts w:hint="eastAsia" w:ascii="仿宋" w:hAnsi="仿宋" w:eastAsia="仿宋" w:cs="Times New Roman"/>
          <w:sz w:val="32"/>
          <w:szCs w:val="32"/>
          <w:highlight w:val="none"/>
        </w:rPr>
        <w:t>万元；对个人和家庭的补助</w:t>
      </w:r>
      <w:r>
        <w:rPr>
          <w:rFonts w:hint="eastAsia" w:ascii="仿宋" w:hAnsi="仿宋" w:eastAsia="仿宋" w:cs="Times New Roman"/>
          <w:sz w:val="32"/>
          <w:szCs w:val="32"/>
          <w:highlight w:val="none"/>
          <w:lang w:val="en-US" w:eastAsia="zh-CN"/>
        </w:rPr>
        <w:t>1.78</w:t>
      </w:r>
      <w:r>
        <w:rPr>
          <w:rFonts w:hint="eastAsia" w:ascii="仿宋" w:hAnsi="仿宋" w:eastAsia="仿宋" w:cs="Times New Roman"/>
          <w:sz w:val="32"/>
          <w:szCs w:val="32"/>
          <w:highlight w:val="none"/>
        </w:rPr>
        <w:t>万元；资本性支出</w:t>
      </w:r>
      <w:r>
        <w:rPr>
          <w:rFonts w:hint="eastAsia" w:ascii="仿宋" w:hAnsi="仿宋" w:eastAsia="仿宋" w:cs="Times New Roman"/>
          <w:sz w:val="32"/>
          <w:szCs w:val="32"/>
          <w:highlight w:val="none"/>
          <w:lang w:val="en-US" w:eastAsia="zh-CN"/>
        </w:rPr>
        <w:t>0</w:t>
      </w:r>
      <w:r>
        <w:rPr>
          <w:rFonts w:hint="eastAsia" w:ascii="仿宋" w:hAnsi="仿宋" w:eastAsia="仿宋" w:cs="Times New Roman"/>
          <w:sz w:val="32"/>
          <w:szCs w:val="32"/>
          <w:highlight w:val="none"/>
        </w:rPr>
        <w:t>万元，合计</w:t>
      </w:r>
      <w:r>
        <w:rPr>
          <w:rFonts w:hint="eastAsia" w:ascii="仿宋" w:hAnsi="仿宋" w:eastAsia="仿宋" w:cs="Times New Roman"/>
          <w:sz w:val="32"/>
          <w:szCs w:val="32"/>
          <w:highlight w:val="none"/>
          <w:lang w:val="en-US" w:eastAsia="zh-CN"/>
        </w:rPr>
        <w:t>526.83</w:t>
      </w:r>
      <w:r>
        <w:rPr>
          <w:rFonts w:hint="eastAsia" w:ascii="仿宋" w:hAnsi="仿宋" w:eastAsia="仿宋" w:cs="Times New Roman"/>
          <w:sz w:val="32"/>
          <w:szCs w:val="32"/>
          <w:highlight w:val="none"/>
        </w:rPr>
        <w:t>万元。</w:t>
      </w:r>
    </w:p>
    <w:p>
      <w:pPr>
        <w:widowControl/>
        <w:numPr>
          <w:ilvl w:val="0"/>
          <w:numId w:val="0"/>
        </w:numPr>
        <w:spacing w:line="600" w:lineRule="exact"/>
        <w:ind w:firstLine="640" w:firstLineChars="200"/>
        <w:jc w:val="both"/>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（二）</w:t>
      </w:r>
      <w:r>
        <w:rPr>
          <w:rFonts w:ascii="Times New Roman" w:hAnsi="Times New Roman" w:eastAsia="黑体" w:cs="Times New Roman"/>
          <w:kern w:val="2"/>
          <w:sz w:val="32"/>
          <w:szCs w:val="32"/>
          <w:lang w:val="en-US" w:eastAsia="zh-CN" w:bidi="ar-SA"/>
        </w:rPr>
        <w:t>项目支出情况</w:t>
      </w:r>
    </w:p>
    <w:p>
      <w:pPr>
        <w:widowControl/>
        <w:numPr>
          <w:ilvl w:val="0"/>
          <w:numId w:val="0"/>
        </w:numPr>
        <w:spacing w:line="600" w:lineRule="exact"/>
        <w:ind w:firstLine="640" w:firstLineChars="200"/>
        <w:jc w:val="both"/>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项目支出是在基本支出之外为完成其特定的行政工作任务而发生的支出，主要用于医疗保险工作管理等专项支出。</w:t>
      </w:r>
    </w:p>
    <w:p>
      <w:pPr>
        <w:spacing w:line="560" w:lineRule="exact"/>
        <w:ind w:firstLine="640" w:firstLineChars="200"/>
        <w:rPr>
          <w:rFonts w:hint="eastAsia" w:ascii="仿宋" w:hAnsi="仿宋" w:eastAsia="仿宋" w:cs="Times New Roman"/>
          <w:sz w:val="32"/>
          <w:szCs w:val="32"/>
          <w:highlight w:val="none"/>
        </w:rPr>
      </w:pP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21</w:t>
      </w:r>
      <w:r>
        <w:rPr>
          <w:rFonts w:hint="eastAsia" w:ascii="仿宋" w:hAnsi="仿宋" w:eastAsia="仿宋" w:cs="Times New Roman"/>
          <w:sz w:val="32"/>
          <w:szCs w:val="32"/>
        </w:rPr>
        <w:t>年，</w:t>
      </w:r>
      <w:r>
        <w:rPr>
          <w:rFonts w:hint="eastAsia" w:ascii="仿宋" w:hAnsi="仿宋" w:eastAsia="仿宋" w:cs="Times New Roman"/>
          <w:sz w:val="32"/>
          <w:szCs w:val="32"/>
          <w:highlight w:val="none"/>
        </w:rPr>
        <w:t>区财政批复的项目支出年初预算为</w:t>
      </w:r>
      <w:r>
        <w:rPr>
          <w:rFonts w:hint="eastAsia" w:ascii="仿宋" w:hAnsi="仿宋" w:eastAsia="仿宋" w:cs="Times New Roman"/>
          <w:sz w:val="32"/>
          <w:szCs w:val="32"/>
          <w:highlight w:val="none"/>
          <w:lang w:val="en-US" w:eastAsia="zh-CN"/>
        </w:rPr>
        <w:t>38.04</w:t>
      </w:r>
      <w:r>
        <w:rPr>
          <w:rFonts w:hint="eastAsia" w:ascii="仿宋" w:hAnsi="仿宋" w:eastAsia="仿宋" w:cs="Times New Roman"/>
          <w:sz w:val="32"/>
          <w:szCs w:val="32"/>
          <w:highlight w:val="none"/>
        </w:rPr>
        <w:t>万元，本年实际拨付</w:t>
      </w:r>
      <w:r>
        <w:rPr>
          <w:rFonts w:hint="eastAsia" w:ascii="仿宋" w:hAnsi="仿宋" w:eastAsia="仿宋" w:cs="Times New Roman"/>
          <w:sz w:val="32"/>
          <w:szCs w:val="32"/>
          <w:highlight w:val="none"/>
          <w:lang w:val="en-US" w:eastAsia="zh-CN"/>
        </w:rPr>
        <w:t>38.04</w:t>
      </w:r>
      <w:r>
        <w:rPr>
          <w:rFonts w:hint="eastAsia" w:ascii="仿宋" w:hAnsi="仿宋" w:eastAsia="仿宋" w:cs="Times New Roman"/>
          <w:sz w:val="32"/>
          <w:szCs w:val="32"/>
          <w:highlight w:val="none"/>
        </w:rPr>
        <w:t>万元，实际支出</w:t>
      </w:r>
      <w:r>
        <w:rPr>
          <w:rFonts w:hint="eastAsia" w:ascii="仿宋" w:hAnsi="仿宋" w:eastAsia="仿宋" w:cs="Times New Roman"/>
          <w:sz w:val="32"/>
          <w:szCs w:val="32"/>
          <w:highlight w:val="none"/>
          <w:lang w:val="en-US" w:eastAsia="zh-CN"/>
        </w:rPr>
        <w:t>38.04</w:t>
      </w:r>
      <w:r>
        <w:rPr>
          <w:rFonts w:hint="eastAsia" w:ascii="仿宋" w:hAnsi="仿宋" w:eastAsia="仿宋" w:cs="Times New Roman"/>
          <w:sz w:val="32"/>
          <w:szCs w:val="32"/>
          <w:highlight w:val="none"/>
        </w:rPr>
        <w:t>万元，年底结余</w:t>
      </w:r>
      <w:r>
        <w:rPr>
          <w:rFonts w:hint="eastAsia" w:ascii="仿宋" w:hAnsi="仿宋" w:eastAsia="仿宋" w:cs="Times New Roman"/>
          <w:sz w:val="32"/>
          <w:szCs w:val="32"/>
          <w:highlight w:val="none"/>
          <w:lang w:val="en-US" w:eastAsia="zh-CN"/>
        </w:rPr>
        <w:t>0</w:t>
      </w:r>
      <w:r>
        <w:rPr>
          <w:rFonts w:hint="eastAsia" w:ascii="仿宋" w:hAnsi="仿宋" w:eastAsia="仿宋" w:cs="Times New Roman"/>
          <w:sz w:val="32"/>
          <w:szCs w:val="32"/>
          <w:highlight w:val="none"/>
        </w:rPr>
        <w:t>万元。</w:t>
      </w:r>
    </w:p>
    <w:p>
      <w:pPr>
        <w:spacing w:line="560" w:lineRule="exact"/>
        <w:ind w:firstLine="640" w:firstLineChars="2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按经济科目划分，支出金额</w:t>
      </w:r>
      <w:r>
        <w:rPr>
          <w:rFonts w:hint="eastAsia" w:ascii="仿宋" w:hAnsi="仿宋" w:eastAsia="仿宋" w:cs="Times New Roman"/>
          <w:sz w:val="32"/>
          <w:szCs w:val="32"/>
          <w:highlight w:val="none"/>
          <w:lang w:eastAsia="zh-CN"/>
        </w:rPr>
        <w:t>主要</w:t>
      </w:r>
      <w:r>
        <w:rPr>
          <w:rFonts w:hint="eastAsia" w:ascii="仿宋" w:hAnsi="仿宋" w:eastAsia="仿宋" w:cs="Times New Roman"/>
          <w:sz w:val="32"/>
          <w:szCs w:val="32"/>
          <w:highlight w:val="none"/>
        </w:rPr>
        <w:t>为：</w:t>
      </w:r>
      <w:r>
        <w:rPr>
          <w:rFonts w:hint="eastAsia" w:ascii="仿宋" w:hAnsi="仿宋" w:eastAsia="仿宋" w:cs="Times New Roman"/>
          <w:sz w:val="32"/>
          <w:szCs w:val="32"/>
          <w:highlight w:val="none"/>
          <w:lang w:val="en-US" w:eastAsia="zh-CN"/>
        </w:rPr>
        <w:t>卫生健康支出38.04</w:t>
      </w:r>
      <w:r>
        <w:rPr>
          <w:rFonts w:hint="eastAsia" w:ascii="仿宋" w:hAnsi="仿宋" w:eastAsia="仿宋" w:cs="Times New Roman"/>
          <w:sz w:val="32"/>
          <w:szCs w:val="32"/>
          <w:highlight w:val="none"/>
        </w:rPr>
        <w:t>。</w:t>
      </w:r>
    </w:p>
    <w:p>
      <w:pPr>
        <w:widowControl/>
        <w:numPr>
          <w:ilvl w:val="0"/>
          <w:numId w:val="0"/>
        </w:numPr>
        <w:spacing w:line="600" w:lineRule="exact"/>
        <w:ind w:firstLine="640" w:firstLineChars="200"/>
        <w:jc w:val="left"/>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三、</w:t>
      </w:r>
      <w:r>
        <w:rPr>
          <w:rFonts w:ascii="Times New Roman" w:hAnsi="Times New Roman" w:eastAsia="黑体" w:cs="Times New Roman"/>
          <w:kern w:val="2"/>
          <w:sz w:val="32"/>
          <w:szCs w:val="32"/>
          <w:lang w:val="en-US" w:eastAsia="zh-CN" w:bidi="ar-SA"/>
        </w:rPr>
        <w:t>政府性基金预算支出情况</w:t>
      </w:r>
    </w:p>
    <w:p>
      <w:pPr>
        <w:widowControl/>
        <w:spacing w:line="600" w:lineRule="exact"/>
        <w:ind w:left="640"/>
        <w:rPr>
          <w:rFonts w:hint="eastAsia" w:ascii="仿宋" w:hAnsi="仿宋" w:eastAsia="仿宋" w:cs="仿宋"/>
          <w:color w:val="333333"/>
          <w:sz w:val="32"/>
          <w:szCs w:val="32"/>
        </w:rPr>
      </w:pPr>
      <w:r>
        <w:rPr>
          <w:rFonts w:hint="eastAsia" w:ascii="仿宋" w:hAnsi="仿宋" w:eastAsia="仿宋" w:cs="仿宋"/>
          <w:kern w:val="0"/>
          <w:sz w:val="32"/>
          <w:szCs w:val="32"/>
        </w:rPr>
        <w:t>本年度政府性基金</w:t>
      </w:r>
      <w:r>
        <w:rPr>
          <w:rFonts w:hint="eastAsia" w:ascii="仿宋" w:hAnsi="仿宋" w:eastAsia="仿宋" w:cs="仿宋"/>
          <w:sz w:val="32"/>
          <w:szCs w:val="32"/>
        </w:rPr>
        <w:t>预算</w:t>
      </w:r>
      <w:r>
        <w:rPr>
          <w:rFonts w:hint="eastAsia" w:ascii="仿宋" w:hAnsi="仿宋" w:eastAsia="仿宋" w:cs="仿宋"/>
          <w:kern w:val="0"/>
          <w:sz w:val="32"/>
          <w:szCs w:val="32"/>
        </w:rPr>
        <w:t>支出0万元</w:t>
      </w:r>
      <w:r>
        <w:rPr>
          <w:rFonts w:hint="eastAsia" w:ascii="仿宋" w:hAnsi="仿宋" w:eastAsia="仿宋" w:cs="仿宋"/>
          <w:color w:val="333333"/>
          <w:sz w:val="32"/>
          <w:szCs w:val="32"/>
        </w:rPr>
        <w:t>。</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备注：20</w:t>
      </w:r>
      <w:r>
        <w:rPr>
          <w:rFonts w:hint="eastAsia" w:ascii="仿宋" w:hAnsi="仿宋" w:eastAsia="仿宋" w:cs="仿宋"/>
          <w:sz w:val="32"/>
          <w:szCs w:val="32"/>
          <w:lang w:val="en-US" w:eastAsia="zh-CN"/>
        </w:rPr>
        <w:t>21</w:t>
      </w:r>
      <w:r>
        <w:rPr>
          <w:rFonts w:hint="eastAsia" w:ascii="仿宋" w:hAnsi="仿宋" w:eastAsia="仿宋" w:cs="仿宋"/>
          <w:sz w:val="32"/>
          <w:szCs w:val="32"/>
        </w:rPr>
        <w:t>年怀化市</w:t>
      </w:r>
      <w:r>
        <w:rPr>
          <w:rFonts w:hint="eastAsia" w:ascii="仿宋" w:hAnsi="仿宋" w:eastAsia="仿宋" w:cs="仿宋"/>
          <w:sz w:val="32"/>
          <w:szCs w:val="32"/>
          <w:lang w:eastAsia="zh-CN"/>
        </w:rPr>
        <w:t>鹤城区医疗保障局</w:t>
      </w:r>
      <w:r>
        <w:rPr>
          <w:rFonts w:hint="eastAsia" w:ascii="仿宋" w:hAnsi="仿宋" w:eastAsia="仿宋" w:cs="仿宋"/>
          <w:sz w:val="32"/>
          <w:szCs w:val="32"/>
        </w:rPr>
        <w:t>无政府性基金支出。</w:t>
      </w:r>
    </w:p>
    <w:p>
      <w:pPr>
        <w:widowControl/>
        <w:numPr>
          <w:ilvl w:val="0"/>
          <w:numId w:val="0"/>
        </w:numPr>
        <w:spacing w:line="600" w:lineRule="exact"/>
        <w:ind w:firstLine="640" w:firstLineChars="200"/>
        <w:jc w:val="left"/>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四、国有资本经营预算支出情况</w:t>
      </w:r>
    </w:p>
    <w:p>
      <w:pPr>
        <w:widowControl/>
        <w:spacing w:line="600" w:lineRule="exact"/>
        <w:ind w:left="640"/>
        <w:jc w:val="left"/>
        <w:rPr>
          <w:rFonts w:hint="eastAsia" w:ascii="仿宋" w:hAnsi="仿宋" w:eastAsia="仿宋" w:cs="仿宋"/>
          <w:kern w:val="0"/>
          <w:sz w:val="32"/>
          <w:szCs w:val="32"/>
        </w:rPr>
      </w:pPr>
      <w:r>
        <w:rPr>
          <w:rFonts w:hint="eastAsia" w:ascii="仿宋" w:hAnsi="仿宋" w:eastAsia="仿宋" w:cs="仿宋"/>
          <w:kern w:val="0"/>
          <w:sz w:val="32"/>
          <w:szCs w:val="32"/>
        </w:rPr>
        <w:t>本年度</w:t>
      </w:r>
      <w:r>
        <w:rPr>
          <w:rFonts w:hint="eastAsia" w:ascii="仿宋" w:hAnsi="仿宋" w:eastAsia="仿宋" w:cs="仿宋"/>
          <w:sz w:val="32"/>
          <w:szCs w:val="32"/>
        </w:rPr>
        <w:t>国有资本经营预算</w:t>
      </w:r>
      <w:r>
        <w:rPr>
          <w:rFonts w:hint="eastAsia" w:ascii="仿宋" w:hAnsi="仿宋" w:eastAsia="仿宋" w:cs="仿宋"/>
          <w:kern w:val="0"/>
          <w:sz w:val="32"/>
          <w:szCs w:val="32"/>
        </w:rPr>
        <w:t>支出0万元。</w:t>
      </w:r>
    </w:p>
    <w:p>
      <w:pPr>
        <w:widowControl/>
        <w:numPr>
          <w:ilvl w:val="0"/>
          <w:numId w:val="0"/>
        </w:numPr>
        <w:spacing w:line="600" w:lineRule="exact"/>
        <w:ind w:firstLine="640" w:firstLineChars="200"/>
        <w:jc w:val="left"/>
        <w:rPr>
          <w:rFonts w:ascii="Times New Roman" w:hAnsi="Times New Roman" w:eastAsia="黑体" w:cs="Times New Roman"/>
          <w:kern w:val="2"/>
          <w:sz w:val="32"/>
          <w:szCs w:val="32"/>
          <w:lang w:val="en-US" w:eastAsia="zh-CN" w:bidi="ar-SA"/>
        </w:rPr>
      </w:pPr>
      <w:r>
        <w:rPr>
          <w:rFonts w:hint="eastAsia" w:ascii="仿宋" w:hAnsi="仿宋" w:eastAsia="仿宋" w:cs="仿宋"/>
          <w:kern w:val="2"/>
          <w:sz w:val="32"/>
          <w:szCs w:val="32"/>
          <w:lang w:val="en-US" w:eastAsia="zh-CN" w:bidi="ar-SA"/>
        </w:rPr>
        <w:t>备注：2021年怀化市鹤城区医疗保障局无国有资本经营预算支出。</w:t>
      </w:r>
    </w:p>
    <w:p>
      <w:pPr>
        <w:widowControl/>
        <w:numPr>
          <w:ilvl w:val="0"/>
          <w:numId w:val="4"/>
        </w:numPr>
        <w:spacing w:line="600" w:lineRule="exact"/>
        <w:ind w:left="640" w:firstLine="0" w:firstLineChars="0"/>
        <w:jc w:val="left"/>
        <w:rPr>
          <w:rFonts w:ascii="Times New Roman" w:hAnsi="Times New Roman" w:eastAsia="黑体" w:cs="Times New Roman"/>
          <w:kern w:val="2"/>
          <w:sz w:val="32"/>
          <w:szCs w:val="32"/>
          <w:lang w:val="en-US" w:eastAsia="zh-CN" w:bidi="ar-SA"/>
        </w:rPr>
      </w:pPr>
      <w:r>
        <w:rPr>
          <w:rFonts w:ascii="Times New Roman" w:hAnsi="Times New Roman" w:eastAsia="黑体" w:cs="Times New Roman"/>
          <w:kern w:val="2"/>
          <w:sz w:val="32"/>
          <w:szCs w:val="32"/>
          <w:lang w:val="en-US" w:eastAsia="zh-CN" w:bidi="ar-SA"/>
        </w:rPr>
        <w:t>社会保险基金预算支出情况</w:t>
      </w:r>
    </w:p>
    <w:p>
      <w:pPr>
        <w:widowControl/>
        <w:numPr>
          <w:ilvl w:val="0"/>
          <w:numId w:val="0"/>
        </w:numPr>
        <w:spacing w:line="600" w:lineRule="exact"/>
        <w:ind w:firstLine="640" w:firstLineChars="200"/>
        <w:jc w:val="left"/>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lang w:val="en-US" w:eastAsia="zh-CN" w:bidi="ar-SA"/>
        </w:rPr>
        <w:t>2021年行政事业单位养老支出</w:t>
      </w:r>
      <w:r>
        <w:rPr>
          <w:rFonts w:hint="eastAsia" w:ascii="仿宋" w:hAnsi="仿宋" w:eastAsia="仿宋" w:cs="仿宋"/>
          <w:b w:val="0"/>
          <w:bCs w:val="0"/>
          <w:kern w:val="2"/>
          <w:sz w:val="32"/>
          <w:szCs w:val="32"/>
          <w:highlight w:val="none"/>
          <w:lang w:val="en-US" w:eastAsia="zh-CN" w:bidi="ar-SA"/>
        </w:rPr>
        <w:t>28.27万元，行政事业单位医疗13.73万元。</w:t>
      </w:r>
    </w:p>
    <w:p>
      <w:pPr>
        <w:widowControl/>
        <w:spacing w:line="600" w:lineRule="exact"/>
        <w:ind w:firstLine="645"/>
        <w:jc w:val="left"/>
        <w:rPr>
          <w:rFonts w:ascii="Times New Roman" w:hAnsi="Times New Roman" w:eastAsia="黑体" w:cs="Times New Roman"/>
          <w:sz w:val="32"/>
          <w:szCs w:val="32"/>
        </w:rPr>
      </w:pPr>
      <w:r>
        <w:rPr>
          <w:rFonts w:ascii="Times New Roman" w:hAnsi="Times New Roman" w:eastAsia="黑体" w:cs="Times New Roman"/>
          <w:sz w:val="32"/>
          <w:szCs w:val="32"/>
        </w:rPr>
        <w:t>六、部门整体支出绩效情况</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21</w:t>
      </w:r>
      <w:r>
        <w:rPr>
          <w:rFonts w:hint="eastAsia" w:ascii="仿宋" w:hAnsi="仿宋" w:eastAsia="仿宋" w:cs="Times New Roman"/>
          <w:sz w:val="32"/>
          <w:szCs w:val="32"/>
        </w:rPr>
        <w:t>年，在中共鹤城区委、区政府的领导下，各部门根据年初工作方案，认真履行职责，较好地完成了年初确定的各项工作任务，基金征缴、医疗报销</w:t>
      </w:r>
      <w:r>
        <w:rPr>
          <w:rFonts w:hint="eastAsia" w:ascii="仿宋" w:hAnsi="仿宋" w:eastAsia="仿宋" w:cs="Times New Roman"/>
          <w:sz w:val="32"/>
          <w:szCs w:val="32"/>
          <w:lang w:eastAsia="zh-CN"/>
        </w:rPr>
        <w:t>等</w:t>
      </w:r>
      <w:r>
        <w:rPr>
          <w:rFonts w:hint="eastAsia" w:ascii="仿宋" w:hAnsi="仿宋" w:eastAsia="仿宋" w:cs="Times New Roman"/>
          <w:sz w:val="32"/>
          <w:szCs w:val="32"/>
        </w:rPr>
        <w:t>重点方面取得了很好的成绩。根据《部门整体支出绩效评价指标表》评分，得分9</w:t>
      </w:r>
      <w:r>
        <w:rPr>
          <w:rFonts w:hint="eastAsia" w:ascii="仿宋" w:hAnsi="仿宋" w:eastAsia="仿宋" w:cs="Times New Roman"/>
          <w:sz w:val="32"/>
          <w:szCs w:val="32"/>
          <w:lang w:val="en-US" w:eastAsia="zh-CN"/>
        </w:rPr>
        <w:t>7.5</w:t>
      </w:r>
      <w:r>
        <w:rPr>
          <w:rFonts w:hint="eastAsia" w:ascii="仿宋" w:hAnsi="仿宋" w:eastAsia="仿宋" w:cs="Times New Roman"/>
          <w:sz w:val="32"/>
          <w:szCs w:val="32"/>
        </w:rPr>
        <w:t>分，财政支出绩效为“优”。主要绩效如下：</w:t>
      </w:r>
    </w:p>
    <w:p>
      <w:pPr>
        <w:spacing w:line="560" w:lineRule="exact"/>
        <w:ind w:firstLine="640" w:firstLineChars="200"/>
        <w:rPr>
          <w:rFonts w:hint="eastAsia" w:ascii="仿宋" w:hAnsi="仿宋" w:eastAsia="仿宋" w:cs="Times New Roman"/>
          <w:b/>
          <w:sz w:val="32"/>
          <w:szCs w:val="32"/>
        </w:rPr>
      </w:pPr>
      <w:bookmarkStart w:id="0" w:name="_Toc417293292"/>
      <w:r>
        <w:rPr>
          <w:rFonts w:hint="eastAsia" w:ascii="仿宋" w:hAnsi="仿宋" w:eastAsia="仿宋" w:cs="Times New Roman"/>
          <w:b/>
          <w:sz w:val="32"/>
          <w:szCs w:val="32"/>
        </w:rPr>
        <w:t>（一） “三公”经费</w:t>
      </w:r>
      <w:bookmarkEnd w:id="0"/>
      <w:r>
        <w:rPr>
          <w:rFonts w:hint="eastAsia" w:ascii="仿宋" w:hAnsi="仿宋" w:eastAsia="仿宋" w:cs="Times New Roman"/>
          <w:b/>
          <w:sz w:val="32"/>
          <w:szCs w:val="32"/>
        </w:rPr>
        <w:t>下降明显</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区</w:t>
      </w:r>
      <w:r>
        <w:rPr>
          <w:rFonts w:hint="eastAsia" w:ascii="仿宋" w:hAnsi="仿宋" w:eastAsia="仿宋" w:cs="Times New Roman"/>
          <w:sz w:val="32"/>
          <w:szCs w:val="32"/>
          <w:lang w:eastAsia="zh-CN"/>
        </w:rPr>
        <w:t>医疗保障</w:t>
      </w:r>
      <w:r>
        <w:rPr>
          <w:rFonts w:hint="eastAsia" w:ascii="仿宋" w:hAnsi="仿宋" w:eastAsia="仿宋" w:cs="Times New Roman"/>
          <w:sz w:val="32"/>
          <w:szCs w:val="32"/>
          <w:highlight w:val="none"/>
          <w:lang w:eastAsia="zh-CN"/>
        </w:rPr>
        <w:t>局</w:t>
      </w:r>
      <w:r>
        <w:rPr>
          <w:rFonts w:hint="eastAsia" w:ascii="仿宋" w:hAnsi="仿宋" w:eastAsia="仿宋" w:cs="Times New Roman"/>
          <w:sz w:val="32"/>
          <w:szCs w:val="32"/>
          <w:highlight w:val="none"/>
        </w:rPr>
        <w:t>全面贯彻落实中央厉行节约的有关规定，反对浪费，20</w:t>
      </w:r>
      <w:r>
        <w:rPr>
          <w:rFonts w:hint="eastAsia" w:ascii="仿宋" w:hAnsi="仿宋" w:eastAsia="仿宋" w:cs="Times New Roman"/>
          <w:sz w:val="32"/>
          <w:szCs w:val="32"/>
          <w:highlight w:val="none"/>
          <w:lang w:val="en-US" w:eastAsia="zh-CN"/>
        </w:rPr>
        <w:t>21</w:t>
      </w:r>
      <w:r>
        <w:rPr>
          <w:rFonts w:hint="eastAsia" w:ascii="仿宋" w:hAnsi="仿宋" w:eastAsia="仿宋" w:cs="Times New Roman"/>
          <w:sz w:val="32"/>
          <w:szCs w:val="32"/>
          <w:highlight w:val="none"/>
        </w:rPr>
        <w:t>年“三公经费”支出</w:t>
      </w:r>
      <w:r>
        <w:rPr>
          <w:rFonts w:hint="eastAsia" w:ascii="仿宋" w:hAnsi="仿宋" w:eastAsia="仿宋" w:cs="Times New Roman"/>
          <w:sz w:val="32"/>
          <w:szCs w:val="32"/>
          <w:highlight w:val="none"/>
          <w:lang w:val="en-US" w:eastAsia="zh-CN"/>
        </w:rPr>
        <w:t>6.94</w:t>
      </w:r>
      <w:r>
        <w:rPr>
          <w:rFonts w:hint="eastAsia" w:ascii="仿宋" w:hAnsi="仿宋" w:eastAsia="仿宋" w:cs="Times New Roman"/>
          <w:sz w:val="32"/>
          <w:szCs w:val="32"/>
          <w:highlight w:val="none"/>
        </w:rPr>
        <w:t>万元。</w:t>
      </w:r>
      <w:r>
        <w:rPr>
          <w:rFonts w:hint="eastAsia" w:ascii="仿宋" w:hAnsi="仿宋" w:eastAsia="仿宋" w:cs="Times New Roman"/>
          <w:sz w:val="32"/>
          <w:szCs w:val="32"/>
          <w:lang w:eastAsia="zh-CN"/>
        </w:rPr>
        <w:t>有效减轻</w:t>
      </w:r>
      <w:r>
        <w:rPr>
          <w:rFonts w:hint="eastAsia" w:ascii="仿宋" w:hAnsi="仿宋" w:eastAsia="仿宋" w:cs="Times New Roman"/>
          <w:sz w:val="32"/>
          <w:szCs w:val="32"/>
        </w:rPr>
        <w:t>了单位资金压力，</w:t>
      </w:r>
      <w:r>
        <w:rPr>
          <w:rFonts w:hint="eastAsia" w:ascii="仿宋" w:hAnsi="仿宋" w:eastAsia="仿宋" w:cs="Times New Roman"/>
          <w:sz w:val="32"/>
          <w:szCs w:val="32"/>
          <w:lang w:eastAsia="zh-CN"/>
        </w:rPr>
        <w:t>减少</w:t>
      </w:r>
      <w:r>
        <w:rPr>
          <w:rFonts w:hint="eastAsia" w:ascii="仿宋" w:hAnsi="仿宋" w:eastAsia="仿宋" w:cs="Times New Roman"/>
          <w:sz w:val="32"/>
          <w:szCs w:val="32"/>
        </w:rPr>
        <w:t>了行政运行成本，提高了资金的使用效率。</w:t>
      </w:r>
    </w:p>
    <w:p>
      <w:pPr>
        <w:widowControl/>
        <w:spacing w:line="600" w:lineRule="exact"/>
        <w:ind w:firstLine="645"/>
        <w:jc w:val="left"/>
        <w:rPr>
          <w:rFonts w:ascii="Times New Roman" w:hAnsi="Times New Roman" w:eastAsia="黑体" w:cs="Times New Roman"/>
          <w:sz w:val="32"/>
          <w:szCs w:val="32"/>
        </w:rPr>
      </w:pPr>
      <w:bookmarkStart w:id="1" w:name="_Toc417293293"/>
      <w:r>
        <w:rPr>
          <w:rFonts w:hint="eastAsia" w:ascii="仿宋" w:hAnsi="仿宋" w:eastAsia="仿宋" w:cs="Times New Roman"/>
          <w:b/>
          <w:sz w:val="32"/>
          <w:szCs w:val="32"/>
        </w:rPr>
        <w:t>（</w:t>
      </w:r>
      <w:r>
        <w:rPr>
          <w:rFonts w:hint="eastAsia" w:ascii="仿宋" w:hAnsi="仿宋" w:eastAsia="仿宋" w:cs="Times New Roman"/>
          <w:b/>
          <w:sz w:val="32"/>
          <w:szCs w:val="32"/>
          <w:lang w:eastAsia="zh-CN"/>
        </w:rPr>
        <w:t>二</w:t>
      </w:r>
      <w:r>
        <w:rPr>
          <w:rFonts w:hint="eastAsia" w:ascii="仿宋" w:hAnsi="仿宋" w:eastAsia="仿宋" w:cs="Times New Roman"/>
          <w:b/>
          <w:sz w:val="32"/>
          <w:szCs w:val="32"/>
        </w:rPr>
        <w:t>）、</w:t>
      </w:r>
      <w:r>
        <w:rPr>
          <w:rFonts w:ascii="Times New Roman" w:hAnsi="Times New Roman" w:eastAsia="黑体" w:cs="Times New Roman"/>
          <w:sz w:val="32"/>
          <w:szCs w:val="32"/>
        </w:rPr>
        <w:t>部门整体支出绩效情况</w:t>
      </w:r>
    </w:p>
    <w:p>
      <w:pPr>
        <w:spacing w:line="560" w:lineRule="exact"/>
        <w:ind w:firstLine="640" w:firstLineChars="200"/>
        <w:rPr>
          <w:rFonts w:hint="eastAsia" w:ascii="宋体" w:hAnsi="宋体" w:eastAsia="宋体" w:cs="宋体"/>
          <w:sz w:val="32"/>
          <w:szCs w:val="32"/>
          <w:lang w:val="en-US" w:eastAsia="zh-CN"/>
        </w:rPr>
      </w:pPr>
      <w:r>
        <w:rPr>
          <w:rFonts w:hint="eastAsia" w:ascii="仿宋" w:hAnsi="仿宋" w:eastAsia="仿宋" w:cs="Times New Roman"/>
          <w:b w:val="0"/>
          <w:bCs/>
          <w:sz w:val="32"/>
          <w:szCs w:val="32"/>
          <w:lang w:val="en-US" w:eastAsia="zh-CN"/>
        </w:rPr>
        <w:t>2021年</w:t>
      </w:r>
      <w:r>
        <w:rPr>
          <w:rFonts w:hint="eastAsia" w:ascii="仿宋" w:hAnsi="仿宋" w:eastAsia="仿宋" w:cs="Times New Roman"/>
          <w:b w:val="0"/>
          <w:bCs/>
          <w:sz w:val="32"/>
          <w:szCs w:val="32"/>
        </w:rPr>
        <w:t>，</w:t>
      </w:r>
      <w:r>
        <w:rPr>
          <w:rFonts w:hint="eastAsia" w:ascii="仿宋" w:hAnsi="仿宋" w:eastAsia="仿宋" w:cs="Times New Roman"/>
          <w:sz w:val="32"/>
          <w:szCs w:val="32"/>
        </w:rPr>
        <w:t>我区全区参保居民达</w:t>
      </w:r>
      <w:r>
        <w:rPr>
          <w:rFonts w:hint="eastAsia" w:ascii="仿宋" w:hAnsi="仿宋" w:eastAsia="仿宋" w:cs="Times New Roman"/>
          <w:sz w:val="32"/>
          <w:szCs w:val="32"/>
          <w:lang w:val="en-US" w:eastAsia="zh-CN"/>
        </w:rPr>
        <w:t>291105</w:t>
      </w:r>
      <w:r>
        <w:rPr>
          <w:rFonts w:hint="eastAsia" w:ascii="仿宋" w:hAnsi="仿宋" w:eastAsia="仿宋" w:cs="Times New Roman"/>
          <w:sz w:val="32"/>
          <w:szCs w:val="32"/>
        </w:rPr>
        <w:t>人次，参合率达</w:t>
      </w:r>
      <w:r>
        <w:rPr>
          <w:rFonts w:hint="eastAsia" w:ascii="仿宋" w:hAnsi="仿宋" w:eastAsia="仿宋" w:cs="Times New Roman"/>
          <w:sz w:val="32"/>
          <w:szCs w:val="32"/>
          <w:lang w:val="en-US" w:eastAsia="zh-CN"/>
        </w:rPr>
        <w:t>98</w:t>
      </w:r>
      <w:r>
        <w:rPr>
          <w:rFonts w:hint="eastAsia" w:ascii="仿宋" w:hAnsi="仿宋" w:eastAsia="仿宋" w:cs="Times New Roman"/>
          <w:sz w:val="32"/>
          <w:szCs w:val="32"/>
        </w:rPr>
        <w:t>%，</w:t>
      </w:r>
      <w:r>
        <w:rPr>
          <w:rFonts w:hint="eastAsia" w:ascii="仿宋" w:hAnsi="仿宋" w:eastAsia="仿宋" w:cs="Times New Roman"/>
          <w:sz w:val="32"/>
          <w:szCs w:val="32"/>
          <w:lang w:eastAsia="zh-CN"/>
        </w:rPr>
        <w:t>贫困人员参保率</w:t>
      </w:r>
      <w:r>
        <w:rPr>
          <w:rFonts w:hint="eastAsia" w:ascii="仿宋" w:hAnsi="仿宋" w:eastAsia="仿宋" w:cs="Times New Roman"/>
          <w:sz w:val="32"/>
          <w:szCs w:val="32"/>
          <w:lang w:val="en-US" w:eastAsia="zh-CN"/>
        </w:rPr>
        <w:t>100%，贫困人员区域内住院综合医疗保障达到85%，“一站式”资金到位率100%</w:t>
      </w:r>
      <w:r>
        <w:rPr>
          <w:rFonts w:hint="eastAsia" w:ascii="仿宋" w:hAnsi="仿宋" w:eastAsia="仿宋" w:cs="Times New Roman"/>
          <w:sz w:val="32"/>
          <w:szCs w:val="32"/>
        </w:rPr>
        <w:t>。</w:t>
      </w:r>
      <w:bookmarkEnd w:id="1"/>
      <w:r>
        <w:rPr>
          <w:rFonts w:hint="eastAsia" w:ascii="仿宋" w:hAnsi="仿宋" w:eastAsia="仿宋" w:cs="Times New Roman"/>
          <w:sz w:val="32"/>
          <w:szCs w:val="32"/>
        </w:rPr>
        <w:t>圆满完成了</w:t>
      </w:r>
      <w:r>
        <w:rPr>
          <w:rFonts w:hint="eastAsia" w:ascii="仿宋" w:hAnsi="仿宋" w:eastAsia="仿宋" w:cs="Times New Roman"/>
          <w:sz w:val="32"/>
          <w:szCs w:val="32"/>
          <w:lang w:eastAsia="zh-CN"/>
        </w:rPr>
        <w:t>各项绩效</w:t>
      </w:r>
      <w:r>
        <w:rPr>
          <w:rFonts w:hint="eastAsia" w:ascii="仿宋" w:hAnsi="仿宋" w:eastAsia="仿宋" w:cs="Times New Roman"/>
          <w:sz w:val="32"/>
          <w:szCs w:val="32"/>
        </w:rPr>
        <w:t>指标任务。</w:t>
      </w:r>
    </w:p>
    <w:p>
      <w:pPr>
        <w:widowControl/>
        <w:spacing w:line="600" w:lineRule="exact"/>
        <w:ind w:left="0" w:leftChars="0" w:firstLine="640" w:firstLineChars="200"/>
        <w:jc w:val="left"/>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七、</w:t>
      </w:r>
      <w:r>
        <w:rPr>
          <w:rFonts w:ascii="Times New Roman" w:hAnsi="Times New Roman" w:eastAsia="黑体" w:cs="Times New Roman"/>
          <w:kern w:val="2"/>
          <w:sz w:val="32"/>
          <w:szCs w:val="32"/>
          <w:lang w:val="en-US" w:eastAsia="zh-CN" w:bidi="ar-SA"/>
        </w:rPr>
        <w:t>存在的问题及原因分析</w:t>
      </w:r>
    </w:p>
    <w:p>
      <w:pPr>
        <w:ind w:firstLine="640" w:firstLineChars="200"/>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1.医保智能发挥还不充分、工作统筹推进有难度，再加上医保改革问题敏感，矛盾尖锐、任务繁重。</w:t>
      </w:r>
    </w:p>
    <w:p>
      <w:pPr>
        <w:ind w:firstLine="640" w:firstLineChars="200"/>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2.定点医药机构偏多，医保专业人才较少，稽核监管难度较大，特别是各定点医疗机构“三合理检查”（合理检查、合理治疗、合理用药）执行欠规范，导致参保患者住院次均费用高增长过快，控费管理难度较大。</w:t>
      </w:r>
    </w:p>
    <w:p>
      <w:pPr>
        <w:ind w:firstLine="640" w:firstLineChars="200"/>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3.医保政策宣传还不够深入，参保群众看病就医“堵点”依然存在，群众对医保政策知晓率有待进一步提高。</w:t>
      </w:r>
    </w:p>
    <w:p>
      <w:pPr>
        <w:widowControl/>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八、下一步改进措施</w:t>
      </w:r>
    </w:p>
    <w:p>
      <w:pPr>
        <w:widowControl/>
        <w:spacing w:line="600" w:lineRule="exact"/>
        <w:ind w:firstLine="640" w:firstLineChars="200"/>
        <w:jc w:val="left"/>
        <w:rPr>
          <w:rFonts w:hint="eastAsia" w:ascii="仿宋" w:hAnsi="仿宋" w:eastAsia="仿宋" w:cs="Times New Roman"/>
          <w:sz w:val="32"/>
          <w:szCs w:val="32"/>
          <w:lang w:eastAsia="zh-CN"/>
        </w:rPr>
      </w:pPr>
      <w:r>
        <w:rPr>
          <w:rFonts w:hint="eastAsia" w:ascii="仿宋" w:hAnsi="仿宋" w:eastAsia="仿宋" w:cs="仿宋"/>
          <w:sz w:val="32"/>
          <w:szCs w:val="32"/>
          <w:lang w:val="en-US" w:eastAsia="zh-CN"/>
        </w:rPr>
        <w:t>1、</w:t>
      </w:r>
      <w:r>
        <w:rPr>
          <w:rFonts w:hint="eastAsia" w:ascii="仿宋" w:hAnsi="仿宋" w:eastAsia="仿宋" w:cs="Times New Roman"/>
          <w:sz w:val="32"/>
          <w:szCs w:val="32"/>
          <w:lang w:eastAsia="zh-CN"/>
        </w:rPr>
        <w:t>积极开展总额付费探讨；</w:t>
      </w:r>
    </w:p>
    <w:p>
      <w:pPr>
        <w:widowControl/>
        <w:spacing w:line="600" w:lineRule="exact"/>
        <w:ind w:firstLine="640" w:firstLineChars="200"/>
        <w:jc w:val="left"/>
        <w:rPr>
          <w:rFonts w:hint="eastAsia" w:ascii="仿宋" w:hAnsi="仿宋" w:eastAsia="仿宋_GB2312" w:cs="Times New Roman"/>
          <w:sz w:val="32"/>
          <w:szCs w:val="32"/>
          <w:lang w:val="en-US" w:eastAsia="zh-CN"/>
        </w:rPr>
      </w:pPr>
      <w:r>
        <w:rPr>
          <w:rFonts w:hint="eastAsia" w:ascii="仿宋" w:hAnsi="仿宋" w:eastAsia="仿宋" w:cs="Times New Roman"/>
          <w:sz w:val="32"/>
          <w:szCs w:val="32"/>
          <w:lang w:val="en-US" w:eastAsia="zh-CN"/>
        </w:rPr>
        <w:t>2、加大宣传，进</w:t>
      </w:r>
      <w:r>
        <w:rPr>
          <w:rFonts w:hint="eastAsia" w:ascii="仿宋_GB2312" w:hAnsi="微软雅黑" w:eastAsia="仿宋_GB2312" w:cs="宋体"/>
          <w:color w:val="000000"/>
          <w:kern w:val="0"/>
          <w:sz w:val="32"/>
          <w:szCs w:val="32"/>
        </w:rPr>
        <w:t>一步提高群</w:t>
      </w:r>
      <w:r>
        <w:rPr>
          <w:rFonts w:hint="eastAsia" w:ascii="仿宋_GB2312" w:hAnsi="微软雅黑" w:eastAsia="仿宋_GB2312" w:cs="宋体"/>
          <w:color w:val="000000"/>
          <w:kern w:val="0"/>
          <w:sz w:val="32"/>
          <w:szCs w:val="32"/>
          <w:lang w:eastAsia="zh-CN"/>
        </w:rPr>
        <w:t>众</w:t>
      </w:r>
      <w:r>
        <w:rPr>
          <w:rFonts w:hint="eastAsia" w:ascii="仿宋_GB2312" w:hAnsi="微软雅黑" w:eastAsia="仿宋_GB2312" w:cs="宋体"/>
          <w:color w:val="000000"/>
          <w:kern w:val="0"/>
          <w:sz w:val="32"/>
          <w:szCs w:val="32"/>
        </w:rPr>
        <w:t>知晓率</w:t>
      </w:r>
      <w:r>
        <w:rPr>
          <w:rFonts w:hint="eastAsia" w:ascii="仿宋_GB2312" w:hAnsi="微软雅黑" w:eastAsia="仿宋_GB2312" w:cs="宋体"/>
          <w:color w:val="000000"/>
          <w:kern w:val="0"/>
          <w:sz w:val="32"/>
          <w:szCs w:val="32"/>
          <w:lang w:eastAsia="zh-CN"/>
        </w:rPr>
        <w:t>。</w:t>
      </w:r>
    </w:p>
    <w:p>
      <w:pPr>
        <w:widowControl/>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九、其他需要说明的情况</w:t>
      </w:r>
    </w:p>
    <w:p>
      <w:pPr>
        <w:ind w:firstLine="640" w:firstLineChars="200"/>
        <w:rPr>
          <w:rFonts w:hint="eastAsia" w:ascii="仿宋_GB2312" w:hAnsi="微软雅黑" w:eastAsia="仿宋_GB2312" w:cs="宋体"/>
          <w:color w:val="000000"/>
          <w:kern w:val="0"/>
          <w:sz w:val="32"/>
          <w:szCs w:val="32"/>
          <w:lang w:val="en-US" w:eastAsia="zh-CN"/>
        </w:rPr>
      </w:pPr>
      <w:r>
        <w:rPr>
          <w:rFonts w:hint="eastAsia" w:ascii="仿宋_GB2312" w:hAnsi="微软雅黑" w:eastAsia="仿宋_GB2312" w:cs="宋体"/>
          <w:color w:val="000000"/>
          <w:kern w:val="0"/>
          <w:sz w:val="32"/>
          <w:szCs w:val="32"/>
          <w:lang w:val="en-US" w:eastAsia="zh-CN"/>
        </w:rPr>
        <w:t>无</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6C02F"/>
    <w:multiLevelType w:val="singleLevel"/>
    <w:tmpl w:val="8826C02F"/>
    <w:lvl w:ilvl="0" w:tentative="0">
      <w:start w:val="1"/>
      <w:numFmt w:val="chineseCounting"/>
      <w:suff w:val="nothing"/>
      <w:lvlText w:val="%1、"/>
      <w:lvlJc w:val="left"/>
      <w:rPr>
        <w:rFonts w:hint="eastAsia"/>
      </w:rPr>
    </w:lvl>
  </w:abstractNum>
  <w:abstractNum w:abstractNumId="1">
    <w:nsid w:val="8E895080"/>
    <w:multiLevelType w:val="singleLevel"/>
    <w:tmpl w:val="8E895080"/>
    <w:lvl w:ilvl="0" w:tentative="0">
      <w:start w:val="5"/>
      <w:numFmt w:val="chineseCounting"/>
      <w:suff w:val="nothing"/>
      <w:lvlText w:val="%1、"/>
      <w:lvlJc w:val="left"/>
      <w:rPr>
        <w:rFonts w:hint="eastAsia"/>
      </w:rPr>
    </w:lvl>
  </w:abstractNum>
  <w:abstractNum w:abstractNumId="2">
    <w:nsid w:val="011D55EA"/>
    <w:multiLevelType w:val="singleLevel"/>
    <w:tmpl w:val="011D55EA"/>
    <w:lvl w:ilvl="0" w:tentative="0">
      <w:start w:val="1"/>
      <w:numFmt w:val="chineseCounting"/>
      <w:suff w:val="space"/>
      <w:lvlText w:val="（%1）"/>
      <w:lvlJc w:val="left"/>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34CFF"/>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3897"/>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45C43"/>
    <w:rsid w:val="00F74360"/>
    <w:rsid w:val="00FB462F"/>
    <w:rsid w:val="00FE16FA"/>
    <w:rsid w:val="00FE328A"/>
    <w:rsid w:val="00FE6269"/>
    <w:rsid w:val="00FF5CD6"/>
    <w:rsid w:val="0675147B"/>
    <w:rsid w:val="09D06D2B"/>
    <w:rsid w:val="1235718D"/>
    <w:rsid w:val="12CB35D1"/>
    <w:rsid w:val="17CF097B"/>
    <w:rsid w:val="19CB2BE5"/>
    <w:rsid w:val="1AF52E7F"/>
    <w:rsid w:val="1B520DB0"/>
    <w:rsid w:val="216D083B"/>
    <w:rsid w:val="24CE240C"/>
    <w:rsid w:val="25D141DA"/>
    <w:rsid w:val="31413C35"/>
    <w:rsid w:val="396C7089"/>
    <w:rsid w:val="3B986F4A"/>
    <w:rsid w:val="3D766728"/>
    <w:rsid w:val="3EBB0909"/>
    <w:rsid w:val="3F12628C"/>
    <w:rsid w:val="4064566A"/>
    <w:rsid w:val="423952B8"/>
    <w:rsid w:val="47DB12A5"/>
    <w:rsid w:val="4C5D6A3D"/>
    <w:rsid w:val="57C51628"/>
    <w:rsid w:val="5B767BC7"/>
    <w:rsid w:val="5C3F6F18"/>
    <w:rsid w:val="5E3E6996"/>
    <w:rsid w:val="602D13EA"/>
    <w:rsid w:val="628D18A6"/>
    <w:rsid w:val="63575E8A"/>
    <w:rsid w:val="6DFE4220"/>
    <w:rsid w:val="711368CC"/>
    <w:rsid w:val="726A31B2"/>
    <w:rsid w:val="74337852"/>
    <w:rsid w:val="74B05949"/>
    <w:rsid w:val="76FB1516"/>
    <w:rsid w:val="78383202"/>
    <w:rsid w:val="7CED2D33"/>
    <w:rsid w:val="7E673A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7620</Words>
  <Characters>8223</Characters>
  <Lines>49</Lines>
  <Paragraphs>13</Paragraphs>
  <TotalTime>0</TotalTime>
  <ScaleCrop>false</ScaleCrop>
  <LinksUpToDate>false</LinksUpToDate>
  <CharactersWithSpaces>8253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2022-09-23T08:25:00Z</dcterms:created>
  <dc:creator>李航 null</dc:creator>
  <cp:lastModifiedBy>养鱼的猫</cp:lastModifiedBy>
  <cp:lastPrinted>2022-07-27T12:55:00Z</cp:lastPrinted>
  <dcterms:modified xsi:type="dcterms:W3CDTF">2023-09-27T18:51:15Z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AE8A5359B7704F5B87C69D03C022AE87_13</vt:lpwstr>
  </property>
</Properties>
</file>