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2021年度</w:t>
      </w:r>
    </w:p>
    <w:p>
      <w:pPr>
        <w:pStyle w:val="9"/>
        <w:jc w:val="center"/>
        <w:rPr>
          <w:sz w:val="84"/>
          <w:szCs w:val="84"/>
        </w:rPr>
      </w:pPr>
      <w:r>
        <w:rPr>
          <w:rFonts w:hint="eastAsia"/>
          <w:sz w:val="84"/>
          <w:szCs w:val="84"/>
        </w:rPr>
        <w:t>怀化市鹤城区政协</w:t>
      </w:r>
    </w:p>
    <w:p>
      <w:pPr>
        <w:pStyle w:val="9"/>
        <w:jc w:val="center"/>
        <w:rPr>
          <w:sz w:val="84"/>
          <w:szCs w:val="84"/>
        </w:rPr>
      </w:pPr>
      <w:r>
        <w:rPr>
          <w:rFonts w:hint="eastAsia"/>
          <w:sz w:val="84"/>
          <w:szCs w:val="84"/>
        </w:rPr>
        <w:t>部门决算</w:t>
      </w:r>
    </w:p>
    <w:p>
      <w:pPr>
        <w:pStyle w:val="9"/>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spacing w:line="500" w:lineRule="exact"/>
        <w:rPr>
          <w:sz w:val="32"/>
          <w:szCs w:val="32"/>
        </w:rPr>
      </w:pPr>
    </w:p>
    <w:p>
      <w:pPr>
        <w:pStyle w:val="9"/>
        <w:spacing w:line="500" w:lineRule="exact"/>
        <w:rPr>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第一部分单位概况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jc w:val="center"/>
        <w:rPr>
          <w:sz w:val="72"/>
          <w:szCs w:val="72"/>
        </w:rPr>
      </w:pPr>
      <w:r>
        <w:rPr>
          <w:rFonts w:hint="eastAsia"/>
          <w:sz w:val="84"/>
          <w:szCs w:val="84"/>
        </w:rPr>
        <w:t>怀化市鹤城区政协概况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jc w:val="left"/>
        <w:rPr>
          <w:rFonts w:asciiTheme="minorEastAsia" w:hAnsiTheme="minorEastAsia"/>
          <w:sz w:val="32"/>
          <w:szCs w:val="32"/>
        </w:rPr>
      </w:pPr>
      <w:r>
        <w:rPr>
          <w:rFonts w:hint="eastAsia" w:asciiTheme="minorEastAsia" w:hAnsiTheme="minorEastAsia"/>
          <w:sz w:val="32"/>
          <w:szCs w:val="32"/>
        </w:rPr>
        <w:t>（一）区政协是全额拨款的行政单位。</w:t>
      </w:r>
    </w:p>
    <w:p>
      <w:pPr>
        <w:jc w:val="left"/>
        <w:rPr>
          <w:rFonts w:asciiTheme="minorEastAsia" w:hAnsiTheme="minorEastAsia"/>
          <w:sz w:val="32"/>
          <w:szCs w:val="32"/>
        </w:rPr>
      </w:pPr>
      <w:r>
        <w:rPr>
          <w:rFonts w:hint="eastAsia" w:asciiTheme="minorEastAsia" w:hAnsiTheme="minorEastAsia"/>
          <w:sz w:val="32"/>
          <w:szCs w:val="32"/>
        </w:rPr>
        <w:t>（二）主要职能：政治协商、民主监督、参政议政</w:t>
      </w:r>
      <w:r>
        <w:rPr>
          <w:rFonts w:asciiTheme="minorEastAsia" w:hAnsiTheme="minorEastAsia"/>
          <w:sz w:val="32"/>
          <w:szCs w:val="32"/>
        </w:rPr>
        <w:t>…</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（一）内设机构设置。鹤城区</w:t>
      </w:r>
      <w:r>
        <w:rPr>
          <w:rFonts w:asciiTheme="minorEastAsia" w:hAnsiTheme="minorEastAsia"/>
          <w:bCs/>
          <w:kern w:val="0"/>
          <w:sz w:val="32"/>
          <w:szCs w:val="32"/>
        </w:rPr>
        <w:t>政协</w:t>
      </w:r>
      <w:r>
        <w:rPr>
          <w:rFonts w:hint="eastAsia" w:asciiTheme="minorEastAsia" w:hAnsiTheme="minorEastAsia"/>
          <w:bCs/>
          <w:kern w:val="0"/>
          <w:sz w:val="32"/>
          <w:szCs w:val="32"/>
        </w:rPr>
        <w:t>内设机构包括：办事机构1个：办公室；专门委员会6个，分别是：委员学习联络委员会、提案委员会、经济科技和外事委员会、农业农村和人口资源环境委员会、文教卫体和文史委员会、社会法制和民族宗教委员会。</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（二）决算单位构成。鹤城区</w:t>
      </w:r>
      <w:r>
        <w:rPr>
          <w:rFonts w:asciiTheme="minorEastAsia" w:hAnsiTheme="minorEastAsia"/>
          <w:bCs/>
          <w:kern w:val="0"/>
          <w:sz w:val="32"/>
          <w:szCs w:val="32"/>
        </w:rPr>
        <w:t>政协20</w:t>
      </w:r>
      <w:r>
        <w:rPr>
          <w:rFonts w:hint="eastAsia" w:asciiTheme="minorEastAsia" w:hAnsiTheme="minorEastAsia"/>
          <w:bCs/>
          <w:kern w:val="0"/>
          <w:sz w:val="32"/>
          <w:szCs w:val="32"/>
        </w:rPr>
        <w:t>21年部门决算汇总公开单位构成包括：区政协单位本级。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2021年度收入合计552.46万元。与上年相比，增加14.38万元，增长2.7%，主要是因为人员</w:t>
      </w:r>
      <w:r>
        <w:rPr>
          <w:rFonts w:asciiTheme="minorEastAsia" w:hAnsiTheme="minorEastAsia" w:eastAsiaTheme="minorEastAsia"/>
          <w:sz w:val="32"/>
          <w:szCs w:val="32"/>
        </w:rPr>
        <w:t>增加</w:t>
      </w:r>
      <w:r>
        <w:rPr>
          <w:rFonts w:hint="eastAsia" w:asciiTheme="minorEastAsia" w:hAnsiTheme="minorEastAsia" w:eastAsiaTheme="minorEastAsia"/>
          <w:sz w:val="32"/>
          <w:szCs w:val="32"/>
        </w:rPr>
        <w:t>导致人员经费增加。</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2021年度支出合计552.46万元。与上年相比，增加14.8万元，增长2.7%，主要是因为人员</w:t>
      </w:r>
      <w:r>
        <w:rPr>
          <w:rFonts w:asciiTheme="minorEastAsia" w:hAnsiTheme="minorEastAsia" w:eastAsiaTheme="minorEastAsia"/>
          <w:sz w:val="32"/>
          <w:szCs w:val="32"/>
        </w:rPr>
        <w:t>增加</w:t>
      </w:r>
      <w:r>
        <w:rPr>
          <w:rFonts w:hint="eastAsia" w:asciiTheme="minorEastAsia" w:hAnsiTheme="minorEastAsia" w:eastAsiaTheme="minorEastAsia"/>
          <w:sz w:val="32"/>
          <w:szCs w:val="32"/>
        </w:rPr>
        <w:t>，</w:t>
      </w:r>
      <w:r>
        <w:rPr>
          <w:rFonts w:asciiTheme="minorEastAsia" w:hAnsiTheme="minorEastAsia" w:eastAsiaTheme="minorEastAsia"/>
          <w:sz w:val="32"/>
          <w:szCs w:val="32"/>
        </w:rPr>
        <w:t>人员经费开支增加</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2021年度收入合计552.46万元，其中：财政拨款收入552.46万元，占100%；上级补助收入0万元，占0%；事业收入0万元，占0%；经营收入0万元，占0%；附属单位上缴收入0万元，占0%；其他收入0万元，占0%。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2021年度支出合计552.46万元，其中：基本支出442.02万元，占80%；项目支出110.43万元，占20%；上缴上级支出0万元，占0%；经营支出0万元，占0%；对附属单位补助支出0元，占0%。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2021年度财政拨款收入合计552.46万元。与上年相比，增加14.38万元，增长2.7%，主要是因为人员</w:t>
      </w:r>
      <w:r>
        <w:rPr>
          <w:rFonts w:asciiTheme="minorEastAsia" w:hAnsiTheme="minorEastAsia" w:eastAsiaTheme="minorEastAsia"/>
          <w:sz w:val="32"/>
          <w:szCs w:val="32"/>
        </w:rPr>
        <w:t>增加</w:t>
      </w:r>
      <w:r>
        <w:rPr>
          <w:rFonts w:hint="eastAsia" w:asciiTheme="minorEastAsia" w:hAnsiTheme="minorEastAsia" w:eastAsiaTheme="minorEastAsia"/>
          <w:sz w:val="32"/>
          <w:szCs w:val="32"/>
        </w:rPr>
        <w:t>导致人员经费增加.</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2021年度财政拨款支出合计552.46万元。与上年相比，增加14.38万元，增长2.7%，主要是因为人员</w:t>
      </w:r>
      <w:r>
        <w:rPr>
          <w:rFonts w:asciiTheme="minorEastAsia" w:hAnsiTheme="minorEastAsia" w:eastAsiaTheme="minorEastAsia"/>
          <w:sz w:val="32"/>
          <w:szCs w:val="32"/>
        </w:rPr>
        <w:t>增加</w:t>
      </w:r>
      <w:r>
        <w:rPr>
          <w:rFonts w:hint="eastAsia" w:asciiTheme="minorEastAsia" w:hAnsiTheme="minorEastAsia" w:eastAsiaTheme="minorEastAsia"/>
          <w:sz w:val="32"/>
          <w:szCs w:val="32"/>
        </w:rPr>
        <w:t>，</w:t>
      </w:r>
      <w:r>
        <w:rPr>
          <w:rFonts w:asciiTheme="minorEastAsia" w:hAnsiTheme="minorEastAsia" w:eastAsiaTheme="minorEastAsia"/>
          <w:sz w:val="32"/>
          <w:szCs w:val="32"/>
        </w:rPr>
        <w:t>人员经费开支增加</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2021年度财政拨款支出552.46万元，占本年支出合计的100%，与上年相比，财政拨款支出增加14.38万元，增长2.7%，主要是因为人员</w:t>
      </w:r>
      <w:r>
        <w:rPr>
          <w:rFonts w:asciiTheme="minorEastAsia" w:hAnsiTheme="minorEastAsia" w:eastAsiaTheme="minorEastAsia"/>
          <w:sz w:val="32"/>
          <w:szCs w:val="32"/>
        </w:rPr>
        <w:t>增加</w:t>
      </w:r>
      <w:r>
        <w:rPr>
          <w:rFonts w:hint="eastAsia" w:asciiTheme="minorEastAsia" w:hAnsiTheme="minorEastAsia" w:eastAsiaTheme="minorEastAsia"/>
          <w:sz w:val="32"/>
          <w:szCs w:val="32"/>
        </w:rPr>
        <w:t>。</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2021年度财政拨款支出552.46万元，主要用于以下方面：一般公共服务（类）支出479.64万元，占87%；教育（类）支出4.72万元，占0.9%;社会保障和就业支出53.88万元，占9.7%；卫生健康支出14.22万元，占2.4%.</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2021年度财政拨款支出年初预算数为483.54万元，支出决算数为552.46万元，完成年初预算的114%，其中：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w:t>
      </w:r>
      <w:r>
        <w:rPr>
          <w:rFonts w:hint="eastAsia" w:asciiTheme="minorEastAsia" w:hAnsiTheme="minorEastAsia" w:eastAsiaTheme="minorEastAsia"/>
          <w:sz w:val="32"/>
          <w:szCs w:val="32"/>
          <w:lang w:val="en-US" w:eastAsia="zh-CN"/>
        </w:rPr>
        <w:t>政协事务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行政运行</w:t>
      </w:r>
      <w:r>
        <w:rPr>
          <w:rFonts w:hint="eastAsia" w:asciiTheme="minorEastAsia" w:hAnsiTheme="minorEastAsia" w:eastAsiaTheme="minorEastAsia"/>
          <w:sz w:val="32"/>
          <w:szCs w:val="32"/>
        </w:rPr>
        <w:t>（项）。</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281.93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363.32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128.83</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大</w:t>
      </w:r>
      <w:r>
        <w:rPr>
          <w:rFonts w:hint="eastAsia" w:asciiTheme="minorEastAsia" w:hAnsiTheme="minorEastAsia" w:eastAsiaTheme="minorEastAsia"/>
          <w:sz w:val="32"/>
          <w:szCs w:val="32"/>
        </w:rPr>
        <w:t>于年初预算数的主要原因是：人员异动</w:t>
      </w:r>
      <w:r>
        <w:rPr>
          <w:rFonts w:hint="eastAsia" w:asciiTheme="minorEastAsia" w:hAnsiTheme="minorEastAsia" w:eastAsiaTheme="minorEastAsia"/>
          <w:sz w:val="32"/>
          <w:szCs w:val="32"/>
          <w:lang w:eastAsia="zh-CN"/>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、一般公共服务支出（类）</w:t>
      </w:r>
      <w:r>
        <w:rPr>
          <w:rFonts w:hint="eastAsia" w:asciiTheme="minorEastAsia" w:hAnsiTheme="minorEastAsia" w:eastAsiaTheme="minorEastAsia"/>
          <w:sz w:val="32"/>
          <w:szCs w:val="32"/>
          <w:lang w:val="en-US" w:eastAsia="zh-CN"/>
        </w:rPr>
        <w:t>政协事务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一般行政管理事务</w:t>
      </w:r>
      <w:r>
        <w:rPr>
          <w:rFonts w:hint="eastAsia" w:asciiTheme="minorEastAsia" w:hAnsiTheme="minorEastAsia" w:eastAsiaTheme="minorEastAsia"/>
          <w:sz w:val="32"/>
          <w:szCs w:val="32"/>
        </w:rPr>
        <w:t>（项）。</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47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65.56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139.48</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大</w:t>
      </w:r>
      <w:r>
        <w:rPr>
          <w:rFonts w:hint="eastAsia" w:asciiTheme="minorEastAsia" w:hAnsiTheme="minorEastAsia" w:eastAsiaTheme="minorEastAsia"/>
          <w:sz w:val="32"/>
          <w:szCs w:val="32"/>
        </w:rPr>
        <w:t>于年初预算数的主要原因是：人员异动</w:t>
      </w:r>
      <w:r>
        <w:rPr>
          <w:rFonts w:hint="eastAsia" w:asciiTheme="minorEastAsia" w:hAnsiTheme="minorEastAsia" w:eastAsiaTheme="minorEastAsia"/>
          <w:sz w:val="32"/>
          <w:szCs w:val="32"/>
          <w:lang w:eastAsia="zh-CN"/>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一般公共服务支出（类）</w:t>
      </w:r>
      <w:r>
        <w:rPr>
          <w:rFonts w:hint="eastAsia" w:asciiTheme="minorEastAsia" w:hAnsiTheme="minorEastAsia" w:eastAsiaTheme="minorEastAsia"/>
          <w:sz w:val="32"/>
          <w:szCs w:val="32"/>
          <w:lang w:val="en-US" w:eastAsia="zh-CN"/>
        </w:rPr>
        <w:t>政协事务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政协会议</w:t>
      </w:r>
      <w:r>
        <w:rPr>
          <w:rFonts w:hint="eastAsia" w:asciiTheme="minorEastAsia" w:hAnsiTheme="minorEastAsia" w:eastAsiaTheme="minorEastAsia"/>
          <w:sz w:val="32"/>
          <w:szCs w:val="32"/>
        </w:rPr>
        <w:t>（项）。</w:t>
      </w:r>
    </w:p>
    <w:p>
      <w:pPr>
        <w:pStyle w:val="9"/>
        <w:ind w:firstLine="800" w:firstLineChars="250"/>
        <w:rPr>
          <w:rFonts w:hint="eastAsia" w:asciiTheme="minorEastAsia" w:hAnsiTheme="minorEastAsia" w:eastAsiaTheme="minorEastAsia"/>
          <w:color w:val="000000"/>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44.87</w:t>
      </w:r>
      <w:r>
        <w:rPr>
          <w:rFonts w:hint="eastAsia" w:asciiTheme="minorEastAsia" w:hAnsiTheme="minorEastAsia" w:eastAsiaTheme="minorEastAsia"/>
          <w:sz w:val="32"/>
          <w:szCs w:val="32"/>
        </w:rPr>
        <w:t>万元，</w:t>
      </w:r>
      <w:r>
        <w:rPr>
          <w:rFonts w:hint="eastAsia" w:asciiTheme="minorEastAsia" w:hAnsiTheme="minorEastAsia" w:eastAsiaTheme="minorEastAsia"/>
          <w:color w:val="000000"/>
          <w:sz w:val="32"/>
          <w:szCs w:val="32"/>
        </w:rPr>
        <w:t>由于预算数为0，无法计算百分比，决算数</w:t>
      </w:r>
      <w:r>
        <w:rPr>
          <w:rFonts w:hint="eastAsia" w:asciiTheme="minorEastAsia" w:hAnsiTheme="minorEastAsia" w:eastAsiaTheme="minorEastAsia"/>
          <w:color w:val="000000"/>
          <w:sz w:val="32"/>
          <w:szCs w:val="32"/>
          <w:lang w:val="en-US" w:eastAsia="zh-CN"/>
        </w:rPr>
        <w:t>大</w:t>
      </w:r>
      <w:r>
        <w:rPr>
          <w:rFonts w:hint="eastAsia" w:asciiTheme="minorEastAsia" w:hAnsiTheme="minorEastAsia" w:eastAsiaTheme="minorEastAsia"/>
          <w:color w:val="000000"/>
          <w:sz w:val="32"/>
          <w:szCs w:val="32"/>
        </w:rPr>
        <w:t>于年初预算数的主要原因是：人员异动</w:t>
      </w:r>
      <w:r>
        <w:rPr>
          <w:rFonts w:hint="eastAsia" w:asciiTheme="minorEastAsia" w:hAnsiTheme="minorEastAsia" w:eastAsiaTheme="minorEastAsia"/>
          <w:color w:val="000000"/>
          <w:sz w:val="32"/>
          <w:szCs w:val="32"/>
          <w:lang w:eastAsia="zh-CN"/>
        </w:rPr>
        <w:t>。</w:t>
      </w:r>
    </w:p>
    <w:p>
      <w:pPr>
        <w:pStyle w:val="9"/>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一般公共服务支出（类）</w:t>
      </w:r>
      <w:r>
        <w:rPr>
          <w:rFonts w:hint="eastAsia" w:asciiTheme="minorEastAsia" w:hAnsiTheme="minorEastAsia" w:eastAsiaTheme="minorEastAsia"/>
          <w:sz w:val="32"/>
          <w:szCs w:val="32"/>
          <w:lang w:val="en-US" w:eastAsia="zh-CN"/>
        </w:rPr>
        <w:t>政协事务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委员视察</w:t>
      </w:r>
      <w:r>
        <w:rPr>
          <w:rFonts w:hint="eastAsia" w:asciiTheme="minorEastAsia" w:hAnsiTheme="minorEastAsia" w:eastAsiaTheme="minorEastAsia"/>
          <w:sz w:val="32"/>
          <w:szCs w:val="32"/>
        </w:rPr>
        <w:t>（项）。</w:t>
      </w:r>
    </w:p>
    <w:p>
      <w:pPr>
        <w:pStyle w:val="9"/>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9.6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5.89</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61.35</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小于</w:t>
      </w:r>
      <w:r>
        <w:rPr>
          <w:rFonts w:hint="eastAsia" w:asciiTheme="minorEastAsia" w:hAnsiTheme="minorEastAsia" w:eastAsiaTheme="minorEastAsia"/>
          <w:sz w:val="32"/>
          <w:szCs w:val="32"/>
        </w:rPr>
        <w:t>年初预算数的主要原因是：人员异动</w:t>
      </w:r>
      <w:r>
        <w:rPr>
          <w:rFonts w:hint="eastAsia" w:asciiTheme="minorEastAsia" w:hAnsiTheme="minorEastAsia" w:eastAsiaTheme="minorEastAsia"/>
          <w:sz w:val="32"/>
          <w:szCs w:val="32"/>
          <w:lang w:eastAsia="zh-CN"/>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、教育支出（类）进修及培训（款）培训支出（项）。</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年初预算为0万元，支出决算为4.7万元，</w:t>
      </w:r>
      <w:r>
        <w:rPr>
          <w:rFonts w:hint="eastAsia" w:asciiTheme="minorEastAsia" w:hAnsiTheme="minorEastAsia" w:eastAsiaTheme="minorEastAsia"/>
          <w:color w:val="000000"/>
          <w:sz w:val="32"/>
          <w:szCs w:val="32"/>
        </w:rPr>
        <w:t>由于预算数为0，无法计算百分比</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决算数大于年初预算数的主要原因是：专项培训业务费</w:t>
      </w:r>
      <w:r>
        <w:rPr>
          <w:rFonts w:hint="eastAsia" w:asciiTheme="minorEastAsia" w:hAnsiTheme="minorEastAsia" w:eastAsiaTheme="minorEastAsia"/>
          <w:sz w:val="32"/>
          <w:szCs w:val="32"/>
          <w:lang w:eastAsia="zh-CN"/>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社会保障和就业支出（类）行政事业单位养老保险（款）行政单位离退休（项）。</w:t>
      </w:r>
    </w:p>
    <w:p>
      <w:pPr>
        <w:pStyle w:val="9"/>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0.09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31.11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345.66</w:t>
      </w:r>
      <w:r>
        <w:rPr>
          <w:rFonts w:hint="eastAsia" w:asciiTheme="minorEastAsia" w:hAnsiTheme="minorEastAsia" w:eastAsiaTheme="minorEastAsia"/>
          <w:sz w:val="32"/>
          <w:szCs w:val="32"/>
        </w:rPr>
        <w:t>%，决算数大于年初预算数的主要原因是：人员变动。</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、社会保障和就业支出（类）行政事业单位养老保险（款）机关事业单位基本养老保险缴费支出（项）。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年初预算为33.32万元，支出决算为53.88万元，完成年初预算的162%，决算数大于年初预算数的主要原因是：人员变动。</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、卫生健康支出（类）公共卫生（款）行政事业单位医疗（项）。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年初预算为16.61万元，支出决算为14.22元，完成年初预算的86%，单位行政人员医保。</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442.02万元，其中：人员经费347.84万元，占基本支出的79%,主要包括基本工资、津贴补贴、奖金、伙食补助费等；公用经费94.19万元，占基本支出的21%，主要包括办公费、印刷费、咨询费、手续费等。</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2021年度“三公”经费财政拨款支出预算为2万元，支出决算为0.</w:t>
      </w:r>
      <w:r>
        <w:rPr>
          <w:rFonts w:hint="eastAsia" w:asciiTheme="minorEastAsia" w:hAnsiTheme="minorEastAsia" w:eastAsiaTheme="minorEastAsia"/>
          <w:sz w:val="32"/>
          <w:szCs w:val="32"/>
          <w:lang w:val="en-US" w:eastAsia="zh-CN"/>
        </w:rPr>
        <w:t>87</w:t>
      </w:r>
      <w:r>
        <w:rPr>
          <w:rFonts w:hint="eastAsia" w:asciiTheme="minorEastAsia" w:hAnsiTheme="minorEastAsia" w:eastAsiaTheme="minorEastAsia"/>
          <w:sz w:val="32"/>
          <w:szCs w:val="32"/>
        </w:rPr>
        <w:t>万元，完成预算的0.05%，其中：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支出决算数为0万元，无法计算完成预算占比情况</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本单位未产生该项费用</w:t>
      </w:r>
      <w:r>
        <w:rPr>
          <w:rFonts w:hint="eastAsia" w:asciiTheme="minorEastAsia" w:hAnsiTheme="minorEastAsia" w:eastAsiaTheme="minorEastAsia"/>
          <w:sz w:val="32"/>
          <w:szCs w:val="32"/>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无法计算完成预算占比情况</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本单位未产生该项费用</w:t>
      </w:r>
      <w:r>
        <w:rPr>
          <w:rFonts w:hint="eastAsia" w:asciiTheme="minorEastAsia" w:hAnsiTheme="minorEastAsia" w:eastAsiaTheme="minorEastAsia"/>
          <w:sz w:val="32"/>
          <w:szCs w:val="32"/>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支出决算数为0万元，无法计算完成预算占比情况</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本单位未产生该项费用</w:t>
      </w:r>
      <w:r>
        <w:rPr>
          <w:rFonts w:hint="eastAsia" w:asciiTheme="minorEastAsia" w:hAnsiTheme="minorEastAsia" w:eastAsiaTheme="minorEastAsia"/>
          <w:sz w:val="32"/>
          <w:szCs w:val="32"/>
        </w:rPr>
        <w:t>。</w:t>
      </w:r>
    </w:p>
    <w:p>
      <w:pPr>
        <w:pStyle w:val="9"/>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万元，支出决算为0</w:t>
      </w:r>
      <w:r>
        <w:rPr>
          <w:rFonts w:hint="eastAsia" w:asciiTheme="minorEastAsia" w:hAnsiTheme="minorEastAsia" w:eastAsiaTheme="minorEastAsia"/>
          <w:sz w:val="32"/>
          <w:szCs w:val="32"/>
          <w:lang w:val="en-US" w:eastAsia="zh-CN"/>
        </w:rPr>
        <w:t>.87</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43.5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决算数小于预算数主要原因是本单位厉行节约。</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w:t>
      </w:r>
      <w:r>
        <w:rPr>
          <w:rFonts w:hint="eastAsia" w:asciiTheme="minorEastAsia" w:hAnsiTheme="minorEastAsia" w:eastAsiaTheme="minorEastAsia"/>
          <w:sz w:val="32"/>
          <w:szCs w:val="32"/>
          <w:lang w:val="en-US" w:eastAsia="zh-CN"/>
        </w:rPr>
        <w:t>87</w:t>
      </w:r>
      <w:r>
        <w:rPr>
          <w:rFonts w:hint="eastAsia" w:asciiTheme="minorEastAsia" w:hAnsiTheme="minorEastAsia" w:eastAsiaTheme="minorEastAsia"/>
          <w:sz w:val="32"/>
          <w:szCs w:val="32"/>
        </w:rPr>
        <w:t>万元，占100%,因公出国（境）费支出决算0万元，占0%,公务用车购置费及运行维护费支出决算0万元，占0%。其中：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未</w:t>
      </w:r>
      <w:r>
        <w:rPr>
          <w:rFonts w:hint="eastAsia" w:asciiTheme="minorEastAsia" w:hAnsiTheme="minorEastAsia" w:eastAsiaTheme="minorEastAsia"/>
          <w:sz w:val="32"/>
          <w:szCs w:val="32"/>
          <w:lang w:val="en-US" w:eastAsia="zh-CN"/>
        </w:rPr>
        <w:t>发生该项</w:t>
      </w:r>
      <w:r>
        <w:rPr>
          <w:rFonts w:hint="eastAsia" w:asciiTheme="minorEastAsia" w:hAnsiTheme="minorEastAsia" w:eastAsiaTheme="minorEastAsia"/>
          <w:sz w:val="32"/>
          <w:szCs w:val="32"/>
        </w:rPr>
        <w:t>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w:t>
      </w:r>
      <w:r>
        <w:rPr>
          <w:rFonts w:hint="eastAsia" w:asciiTheme="minorEastAsia" w:hAnsiTheme="minorEastAsia"/>
          <w:sz w:val="32"/>
          <w:szCs w:val="32"/>
          <w:lang w:val="en-US" w:eastAsia="zh-CN"/>
        </w:rPr>
        <w:t>.87</w:t>
      </w:r>
      <w:r>
        <w:rPr>
          <w:rFonts w:hint="eastAsia" w:asciiTheme="minorEastAsia" w:hAnsiTheme="minorEastAsia"/>
          <w:sz w:val="32"/>
          <w:szCs w:val="32"/>
        </w:rPr>
        <w:t>万元，其中：公务用车购置费0万元</w:t>
      </w:r>
      <w:r>
        <w:rPr>
          <w:rFonts w:hint="eastAsia" w:asciiTheme="minorEastAsia" w:hAnsiTheme="minorEastAsia"/>
          <w:sz w:val="32"/>
          <w:szCs w:val="32"/>
          <w:lang w:eastAsia="zh-CN"/>
        </w:rPr>
        <w:t>，</w:t>
      </w:r>
      <w:r>
        <w:rPr>
          <w:rFonts w:hint="eastAsia" w:asciiTheme="minorEastAsia" w:hAnsiTheme="minorEastAsia"/>
          <w:sz w:val="32"/>
          <w:szCs w:val="32"/>
        </w:rPr>
        <w:t>更新公务用车0辆</w:t>
      </w:r>
      <w:r>
        <w:rPr>
          <w:rFonts w:hint="eastAsia" w:asciiTheme="minorEastAsia" w:hAnsiTheme="minorEastAsia"/>
          <w:sz w:val="32"/>
          <w:szCs w:val="32"/>
          <w:lang w:eastAsia="zh-CN"/>
        </w:rPr>
        <w:t>，</w:t>
      </w:r>
      <w:r>
        <w:rPr>
          <w:rFonts w:hint="eastAsia" w:asciiTheme="minorEastAsia" w:hAnsiTheme="minorEastAsia"/>
          <w:sz w:val="32"/>
          <w:szCs w:val="32"/>
          <w:lang w:val="en-US" w:eastAsia="zh-CN"/>
        </w:rPr>
        <w:t>公务用车运行费0.87万元</w:t>
      </w:r>
      <w:r>
        <w:rPr>
          <w:rFonts w:hint="eastAsia" w:asciiTheme="minorEastAsia" w:hAnsiTheme="minorEastAsia"/>
          <w:sz w:val="32"/>
          <w:szCs w:val="32"/>
        </w:rPr>
        <w:t>，截止2021年12月31日，我单位开支财政拨款的公务用车保有量为</w:t>
      </w:r>
      <w:r>
        <w:rPr>
          <w:rFonts w:hint="eastAsia" w:asciiTheme="minorEastAsia" w:hAnsiTheme="minorEastAsia"/>
          <w:sz w:val="32"/>
          <w:szCs w:val="32"/>
          <w:lang w:val="en-US" w:eastAsia="zh-CN"/>
        </w:rPr>
        <w:t>1</w:t>
      </w:r>
      <w:r>
        <w:rPr>
          <w:rFonts w:hint="eastAsia" w:asciiTheme="minorEastAsia" w:hAnsiTheme="minorEastAsia"/>
          <w:sz w:val="32"/>
          <w:szCs w:val="32"/>
        </w:rPr>
        <w:t>辆。</w:t>
      </w:r>
    </w:p>
    <w:p>
      <w:pPr>
        <w:pStyle w:val="9"/>
        <w:rPr>
          <w:rFonts w:hAnsi="黑体"/>
          <w:b/>
          <w:sz w:val="32"/>
          <w:szCs w:val="32"/>
        </w:rPr>
      </w:pPr>
      <w:r>
        <w:rPr>
          <w:rFonts w:hint="eastAsia" w:hAnsi="黑体"/>
          <w:b/>
          <w:sz w:val="32"/>
          <w:szCs w:val="32"/>
        </w:rPr>
        <w:t>八、政府性基金预算收入支出决算情况</w:t>
      </w:r>
    </w:p>
    <w:p>
      <w:pPr>
        <w:pStyle w:val="9"/>
        <w:keepNext w:val="0"/>
        <w:keepLines w:val="0"/>
        <w:pageBreakBefore w:val="0"/>
        <w:widowControl w:val="0"/>
        <w:kinsoku/>
        <w:wordWrap/>
        <w:overflowPunct/>
        <w:topLinePunct w:val="0"/>
        <w:autoSpaceDE w:val="0"/>
        <w:autoSpaceDN w:val="0"/>
        <w:bidi w:val="0"/>
        <w:adjustRightInd w:val="0"/>
        <w:snapToGrid/>
        <w:ind w:firstLine="320" w:firstLineChars="100"/>
        <w:textAlignment w:val="auto"/>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color w:val="000000"/>
          <w:sz w:val="32"/>
          <w:szCs w:val="32"/>
        </w:rPr>
        <w:t>2021年度政府性基金预算财政拨款收入0万元；年初结转和结余0万元；支出0万元，其中基本支出0万元，项目支出0万元；年末结转和结余0万元</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九、国有资本经营预算财政拨款支出情况</w:t>
      </w:r>
    </w:p>
    <w:p>
      <w:pPr>
        <w:pStyle w:val="9"/>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p>
    <w:p>
      <w:pPr>
        <w:pStyle w:val="9"/>
        <w:rPr>
          <w:rFonts w:hAnsi="黑体"/>
          <w:b/>
          <w:sz w:val="32"/>
          <w:szCs w:val="32"/>
        </w:rPr>
      </w:pPr>
      <w:r>
        <w:rPr>
          <w:rFonts w:hint="eastAsia" w:hAnsi="黑体"/>
          <w:b/>
          <w:sz w:val="32"/>
          <w:szCs w:val="32"/>
        </w:rPr>
        <w:t>十、机关运行经费支出说明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本部门2021年度机关运行经费支出94.19万元，比上年决算数减少23.88 万元，降低25%。主要原因是：办公费、差旅费和其他交通费用支出减少。</w:t>
      </w:r>
    </w:p>
    <w:p>
      <w:pPr>
        <w:pStyle w:val="9"/>
        <w:rPr>
          <w:rFonts w:hAnsi="黑体"/>
          <w:b/>
          <w:sz w:val="32"/>
          <w:szCs w:val="32"/>
        </w:rPr>
      </w:pPr>
      <w:r>
        <w:rPr>
          <w:rFonts w:hint="eastAsia" w:hAnsi="黑体"/>
          <w:b/>
          <w:sz w:val="32"/>
          <w:szCs w:val="32"/>
        </w:rPr>
        <w:t>十一、一般性支出情况说明</w:t>
      </w:r>
    </w:p>
    <w:p>
      <w:pPr>
        <w:pStyle w:val="9"/>
        <w:ind w:firstLine="640" w:firstLineChars="200"/>
        <w:rPr>
          <w:rFonts w:hint="eastAsia" w:hAnsi="黑体" w:eastAsiaTheme="minorEastAsia"/>
          <w:b/>
          <w:sz w:val="32"/>
          <w:szCs w:val="32"/>
          <w:lang w:eastAsia="zh-CN"/>
        </w:rPr>
      </w:pPr>
      <w:r>
        <w:rPr>
          <w:rFonts w:hint="eastAsia" w:asciiTheme="minorEastAsia" w:hAnsiTheme="minorEastAsia" w:eastAsiaTheme="minorEastAsia"/>
          <w:sz w:val="32"/>
          <w:szCs w:val="32"/>
        </w:rPr>
        <w:t>2021年本部门开支会议费45万元，用于召开六届一次全会会议，人数185人，内容为政治协商，民主监督；开支培训费4.7万元，用于开展履职能力提升培训，人数200人，内容为学习履职情况，增强履职能力</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举办0场节庆、晚会、论坛、赛事等活动，开支0万元。</w:t>
      </w:r>
      <w:bookmarkStart w:id="0" w:name="_GoBack"/>
      <w:bookmarkEnd w:id="0"/>
    </w:p>
    <w:p>
      <w:pPr>
        <w:pStyle w:val="9"/>
        <w:numPr>
          <w:ilvl w:val="0"/>
          <w:numId w:val="2"/>
        </w:numPr>
        <w:rPr>
          <w:rFonts w:hint="eastAsia" w:hAnsi="黑体"/>
          <w:b/>
          <w:sz w:val="32"/>
          <w:szCs w:val="32"/>
        </w:rPr>
      </w:pPr>
      <w:r>
        <w:rPr>
          <w:rFonts w:hint="eastAsia" w:hAnsi="黑体"/>
          <w:b/>
          <w:sz w:val="32"/>
          <w:szCs w:val="32"/>
        </w:rPr>
        <w:t>政府采购支出说明</w:t>
      </w:r>
    </w:p>
    <w:p>
      <w:pPr>
        <w:pStyle w:val="9"/>
        <w:numPr>
          <w:ilvl w:val="0"/>
          <w:numId w:val="0"/>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 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9"/>
        <w:rPr>
          <w:rFonts w:hAnsi="黑体"/>
          <w:b/>
          <w:sz w:val="32"/>
          <w:szCs w:val="32"/>
        </w:rPr>
      </w:pPr>
      <w:r>
        <w:rPr>
          <w:rFonts w:hint="eastAsia" w:hAnsi="黑体"/>
          <w:b/>
          <w:sz w:val="32"/>
          <w:szCs w:val="32"/>
        </w:rPr>
        <w:t>十三、国有资产占用情况说明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辆，其中，主要领导干部用车0辆，机要通信用车0辆、应急保障用车0辆、执法执勤用车0辆、特种专业技术用车0辆、其他用车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辆；单位价值50万元以上通用设备0台（套）；单位价值100万元以上专用设备0台（套）。</w:t>
      </w:r>
    </w:p>
    <w:p>
      <w:pPr>
        <w:pStyle w:val="9"/>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年度一般公共预算项目支出全面开展绩效自评，其中，一级项目2个，二级项目0个，共涉及资金110.4万元，占一般公共预算项目支出总额的100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组织对“政协</w:t>
      </w:r>
      <w:r>
        <w:rPr>
          <w:rFonts w:cs="黑体" w:asciiTheme="minorEastAsia" w:hAnsiTheme="minorEastAsia"/>
          <w:color w:val="000000"/>
          <w:kern w:val="0"/>
          <w:sz w:val="32"/>
          <w:szCs w:val="32"/>
        </w:rPr>
        <w:t>会议</w:t>
      </w:r>
      <w:r>
        <w:rPr>
          <w:rFonts w:hint="eastAsia" w:cs="黑体" w:asciiTheme="minorEastAsia" w:hAnsiTheme="minorEastAsia"/>
          <w:color w:val="000000"/>
          <w:kern w:val="0"/>
          <w:sz w:val="32"/>
          <w:szCs w:val="32"/>
        </w:rPr>
        <w:t>”等2个项目开展了部门评价，涉及一般公共预算支出110.4万元，政府性基金预算支出0万元，国有资本经营预算支出0万元。。</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组织对“政协会议”等2个单位开展整体支出绩效评价，涉及一般公共预算支出110.4万元，政府性基金预算支出0万元。</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政协</w:t>
      </w:r>
      <w:r>
        <w:rPr>
          <w:rFonts w:cs="黑体" w:asciiTheme="minorEastAsia" w:hAnsiTheme="minorEastAsia"/>
          <w:color w:val="000000"/>
          <w:kern w:val="0"/>
          <w:sz w:val="32"/>
          <w:szCs w:val="32"/>
        </w:rPr>
        <w:t>会议</w:t>
      </w:r>
      <w:r>
        <w:rPr>
          <w:rFonts w:hint="eastAsia" w:cs="黑体" w:asciiTheme="minorEastAsia" w:hAnsiTheme="minorEastAsia"/>
          <w:color w:val="000000"/>
          <w:kern w:val="0"/>
          <w:sz w:val="32"/>
          <w:szCs w:val="32"/>
        </w:rPr>
        <w:t>项目绩效自评综述：根据年初设定的绩效目标，项目绩效自评得分为100分。项目全年预算数为45万元，执行数为45万元，完成预算的100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9"/>
        <w:ind w:firstLine="640" w:firstLineChars="200"/>
        <w:rPr>
          <w:rFonts w:hint="default"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已另行单独公开。</w:t>
      </w:r>
    </w:p>
    <w:p>
      <w:pPr>
        <w:pStyle w:val="9"/>
        <w:jc w:val="center"/>
        <w:rPr>
          <w:sz w:val="72"/>
          <w:szCs w:val="72"/>
        </w:rPr>
      </w:pPr>
    </w:p>
    <w:p>
      <w:pPr>
        <w:pStyle w:val="9"/>
        <w:jc w:val="center"/>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widowControl/>
        <w:spacing w:line="600" w:lineRule="exact"/>
        <w:ind w:firstLine="640" w:firstLineChars="200"/>
        <w:jc w:val="left"/>
        <w:rPr>
          <w:rFonts w:eastAsia="仿宋_GB2312"/>
          <w:sz w:val="32"/>
          <w:szCs w:val="32"/>
        </w:rPr>
      </w:pPr>
      <w:r>
        <w:rPr>
          <w:rFonts w:hint="eastAsia" w:ascii="Times New Roman" w:hAnsi="Times New Roman" w:eastAsia="仿宋_GB2312" w:cs="Times New Roman"/>
          <w:b/>
          <w:bCs/>
          <w:sz w:val="32"/>
          <w:szCs w:val="32"/>
        </w:rPr>
        <w:t>1</w:t>
      </w:r>
      <w:r>
        <w:rPr>
          <w:rFonts w:hint="eastAsia" w:eastAsia="仿宋_GB2312"/>
          <w:sz w:val="32"/>
          <w:szCs w:val="32"/>
        </w:rPr>
        <w:t>、鹤城区政协是全额拨款的行政单位。内设6委1室：办公室、委员学习联络委员会、提案委员会、经济科技和外事委员会、农业农村和人口资源环境委员会、文教卫体和文史委员会、社会法制和民族宗教委员会。</w:t>
      </w:r>
    </w:p>
    <w:p>
      <w:pPr>
        <w:widowControl/>
        <w:spacing w:line="600" w:lineRule="exact"/>
        <w:ind w:firstLine="640" w:firstLineChars="200"/>
        <w:jc w:val="left"/>
        <w:rPr>
          <w:rFonts w:eastAsia="仿宋_GB2312"/>
          <w:sz w:val="32"/>
          <w:szCs w:val="32"/>
        </w:rPr>
      </w:pPr>
      <w:r>
        <w:rPr>
          <w:rFonts w:hint="eastAsia" w:eastAsia="仿宋_GB2312"/>
          <w:sz w:val="32"/>
          <w:szCs w:val="32"/>
        </w:rPr>
        <w:t>2、主要工作职责：政治协商、民主监督、参政议政。</w:t>
      </w:r>
    </w:p>
    <w:p>
      <w:pPr>
        <w:widowControl/>
        <w:spacing w:line="600" w:lineRule="exact"/>
        <w:ind w:firstLine="640" w:firstLineChars="200"/>
        <w:jc w:val="left"/>
        <w:rPr>
          <w:rFonts w:eastAsia="仿宋_GB2312"/>
          <w:sz w:val="32"/>
          <w:szCs w:val="32"/>
        </w:rPr>
      </w:pPr>
      <w:r>
        <w:rPr>
          <w:rFonts w:hint="eastAsia" w:eastAsia="仿宋_GB2312"/>
          <w:sz w:val="32"/>
          <w:szCs w:val="32"/>
        </w:rPr>
        <w:t>3、编制人员情况:现实有在职人员31人（其中行政编21人，事业编8人，机关后勤2人），离退休人员26人(其中财政拨款26人，遗属人员1人。</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spacing w:line="600" w:lineRule="exact"/>
        <w:ind w:firstLine="640" w:firstLineChars="200"/>
        <w:jc w:val="left"/>
        <w:rPr>
          <w:rFonts w:eastAsia="仿宋_GB2312"/>
          <w:sz w:val="32"/>
          <w:szCs w:val="32"/>
        </w:rPr>
      </w:pPr>
      <w:r>
        <w:rPr>
          <w:rFonts w:hint="eastAsia" w:eastAsia="仿宋_GB2312"/>
          <w:sz w:val="32"/>
          <w:szCs w:val="32"/>
        </w:rPr>
        <w:t>2021年基本支出442.02万元，具体包括：</w:t>
      </w:r>
    </w:p>
    <w:p>
      <w:pPr>
        <w:widowControl/>
        <w:spacing w:line="600" w:lineRule="exact"/>
        <w:ind w:firstLine="600" w:firstLineChars="200"/>
        <w:jc w:val="left"/>
        <w:rPr>
          <w:rFonts w:eastAsia="仿宋_GB2312"/>
          <w:sz w:val="32"/>
          <w:szCs w:val="32"/>
        </w:rPr>
      </w:pPr>
      <w:r>
        <w:rPr>
          <w:rFonts w:hint="eastAsia" w:eastAsia="仿宋_GB2312"/>
          <w:w w:val="94"/>
          <w:sz w:val="32"/>
          <w:szCs w:val="32"/>
        </w:rPr>
        <w:t>1、工资福利支出311.37万元。主要包括在职人员工资、津贴补贴、政策规定奖金、伙食补助费和社会保障缴费等支出。</w:t>
      </w:r>
    </w:p>
    <w:p>
      <w:pPr>
        <w:widowControl/>
        <w:spacing w:line="600" w:lineRule="exact"/>
        <w:ind w:firstLine="640" w:firstLineChars="200"/>
        <w:jc w:val="left"/>
        <w:rPr>
          <w:rFonts w:eastAsia="仿宋_GB2312"/>
          <w:sz w:val="32"/>
          <w:szCs w:val="32"/>
        </w:rPr>
      </w:pPr>
      <w:r>
        <w:rPr>
          <w:rFonts w:hint="eastAsia" w:eastAsia="仿宋_GB2312"/>
          <w:sz w:val="32"/>
          <w:szCs w:val="32"/>
        </w:rPr>
        <w:t>2、一般商品和服务支出94.19万元。包括日常运行正常办公费、差旅费、劳务费、工会经费、福利费、其他交通费用及其他商品服务支出等。</w:t>
      </w:r>
    </w:p>
    <w:p>
      <w:pPr>
        <w:widowControl/>
        <w:spacing w:line="600" w:lineRule="exact"/>
        <w:ind w:firstLine="640" w:firstLineChars="200"/>
        <w:jc w:val="left"/>
        <w:rPr>
          <w:rFonts w:eastAsia="仿宋_GB2312"/>
          <w:sz w:val="32"/>
          <w:szCs w:val="32"/>
        </w:rPr>
      </w:pPr>
      <w:r>
        <w:rPr>
          <w:rFonts w:hint="eastAsia" w:eastAsia="仿宋_GB2312"/>
          <w:sz w:val="32"/>
          <w:szCs w:val="32"/>
        </w:rPr>
        <w:t>“三公”经费方面。公务接待费实际开支0.9万元，与上年支出数持平；车辆运行费实际开支0万元，与上年支出数持平；无任何出国出境考察开支。</w:t>
      </w:r>
    </w:p>
    <w:p>
      <w:pPr>
        <w:widowControl/>
        <w:spacing w:line="600" w:lineRule="exact"/>
        <w:ind w:firstLine="640" w:firstLineChars="200"/>
        <w:jc w:val="left"/>
        <w:rPr>
          <w:rFonts w:eastAsia="仿宋_GB2312"/>
          <w:sz w:val="32"/>
          <w:szCs w:val="32"/>
        </w:rPr>
      </w:pPr>
      <w:r>
        <w:rPr>
          <w:rFonts w:hint="eastAsia" w:eastAsia="仿宋_GB2312"/>
          <w:sz w:val="32"/>
          <w:szCs w:val="32"/>
        </w:rPr>
        <w:t>会议费、培训费。会议费开支0万元，培训费0万元。</w:t>
      </w:r>
    </w:p>
    <w:p>
      <w:pPr>
        <w:widowControl/>
        <w:spacing w:line="600" w:lineRule="exact"/>
        <w:ind w:firstLine="640" w:firstLineChars="200"/>
        <w:jc w:val="left"/>
        <w:rPr>
          <w:rFonts w:eastAsia="仿宋_GB2312"/>
          <w:sz w:val="32"/>
          <w:szCs w:val="32"/>
        </w:rPr>
      </w:pPr>
      <w:r>
        <w:rPr>
          <w:rFonts w:hint="eastAsia" w:eastAsia="仿宋_GB2312"/>
          <w:sz w:val="32"/>
          <w:szCs w:val="32"/>
        </w:rPr>
        <w:t>3、对个人和家庭补助支出36.46万元。主要包括退休人员春节一次性生活补助费等支出。</w:t>
      </w:r>
    </w:p>
    <w:p>
      <w:pPr>
        <w:widowControl/>
        <w:spacing w:line="600" w:lineRule="exact"/>
        <w:ind w:firstLine="640" w:firstLineChars="200"/>
        <w:jc w:val="left"/>
        <w:rPr>
          <w:rFonts w:ascii="Times New Roman" w:hAnsi="Times New Roman" w:eastAsia="黑体"/>
          <w:sz w:val="32"/>
          <w:szCs w:val="32"/>
        </w:rPr>
      </w:pPr>
      <w:r>
        <w:rPr>
          <w:rFonts w:hint="eastAsia" w:eastAsia="仿宋_GB2312"/>
          <w:sz w:val="32"/>
          <w:szCs w:val="32"/>
        </w:rPr>
        <w:t>4、资本性支出0万元。</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10"/>
        <w:widowControl/>
        <w:spacing w:line="600" w:lineRule="exact"/>
        <w:ind w:firstLine="64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2020年项目支出110.43万元，主要是用于新冠肺炎</w:t>
      </w:r>
      <w:r>
        <w:rPr>
          <w:rFonts w:hint="eastAsia" w:ascii="Times New Roman" w:hAnsi="Times New Roman" w:eastAsia="仿宋_GB2312" w:cs="Times New Roman"/>
          <w:sz w:val="32"/>
          <w:szCs w:val="32"/>
          <w:lang w:eastAsia="zh-CN"/>
        </w:rPr>
        <w:t>疫情防控</w:t>
      </w:r>
      <w:r>
        <w:rPr>
          <w:rFonts w:hint="eastAsia" w:ascii="Times New Roman" w:hAnsi="Times New Roman" w:eastAsia="仿宋_GB2312" w:cs="Times New Roman"/>
          <w:sz w:val="32"/>
          <w:szCs w:val="32"/>
        </w:rPr>
        <w:t>加班补助支出。</w:t>
      </w:r>
    </w:p>
    <w:p>
      <w:pPr>
        <w:pStyle w:val="10"/>
        <w:widowControl/>
        <w:spacing w:line="600" w:lineRule="exact"/>
        <w:ind w:firstLine="64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仿宋_GB2312" w:cs="Times New Roman"/>
          <w:sz w:val="32"/>
          <w:szCs w:val="32"/>
        </w:rPr>
        <w:t>鹤城区政协2021年度无政府性基金收支。</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9"/>
        <w:ind w:firstLine="640" w:firstLineChars="200"/>
        <w:rPr>
          <w:rFonts w:ascii="Times New Roman" w:hAnsi="Times New Roman"/>
          <w:sz w:val="32"/>
          <w:szCs w:val="32"/>
        </w:rPr>
      </w:pPr>
      <w:r>
        <w:rPr>
          <w:rFonts w:hint="eastAsia" w:ascii="Times New Roman" w:hAnsi="Times New Roman" w:eastAsia="仿宋_GB2312" w:cs="Times New Roman"/>
          <w:color w:val="auto"/>
          <w:kern w:val="2"/>
          <w:sz w:val="32"/>
          <w:szCs w:val="32"/>
        </w:rPr>
        <w:t>鹤城区政协2021年度国有资本经营预算财政拨款收入0万元，国有资本经营预算财政拨款支出0万元。</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9"/>
        <w:ind w:firstLine="640" w:firstLineChars="200"/>
        <w:rPr>
          <w:rFonts w:ascii="Times New Roman" w:hAnsi="Times New Roman"/>
          <w:sz w:val="32"/>
          <w:szCs w:val="32"/>
        </w:rPr>
      </w:pPr>
      <w:r>
        <w:rPr>
          <w:rFonts w:hint="eastAsia" w:ascii="Times New Roman" w:hAnsi="Times New Roman" w:eastAsia="仿宋_GB2312" w:cs="Times New Roman"/>
          <w:color w:val="auto"/>
          <w:kern w:val="2"/>
          <w:sz w:val="32"/>
          <w:szCs w:val="32"/>
        </w:rPr>
        <w:t>鹤城区政协2021年度无社会保险基金收支。</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对照鹤财绩〔202</w:t>
      </w:r>
      <w:r>
        <w:rPr>
          <w:rFonts w:hint="eastAsia" w:eastAsia="仿宋_GB2312" w:cs="Times New Roman"/>
          <w:sz w:val="32"/>
          <w:szCs w:val="32"/>
        </w:rPr>
        <w:t>1</w:t>
      </w:r>
      <w:r>
        <w:rPr>
          <w:rFonts w:hint="eastAsia" w:ascii="Times New Roman" w:hAnsi="Times New Roman" w:eastAsia="仿宋_GB2312" w:cs="Times New Roman"/>
          <w:sz w:val="32"/>
          <w:szCs w:val="32"/>
        </w:rPr>
        <w:t>〕3</w:t>
      </w:r>
      <w:r>
        <w:rPr>
          <w:rFonts w:hint="eastAsia" w:eastAsia="仿宋_GB2312" w:cs="Times New Roman"/>
          <w:sz w:val="32"/>
          <w:szCs w:val="32"/>
        </w:rPr>
        <w:t>0</w:t>
      </w:r>
      <w:r>
        <w:rPr>
          <w:rFonts w:hint="eastAsia" w:ascii="Times New Roman" w:hAnsi="Times New Roman" w:eastAsia="仿宋_GB2312" w:cs="Times New Roman"/>
          <w:sz w:val="32"/>
          <w:szCs w:val="32"/>
        </w:rPr>
        <w:t>号文件规定的考核指标，我单位从经济性、效率性、有效性和可持续性等对</w:t>
      </w:r>
      <w:r>
        <w:rPr>
          <w:rFonts w:hint="eastAsia" w:eastAsia="仿宋_GB2312" w:cs="Times New Roman"/>
          <w:sz w:val="32"/>
          <w:szCs w:val="32"/>
        </w:rPr>
        <w:t>2021</w:t>
      </w:r>
      <w:r>
        <w:rPr>
          <w:rFonts w:hint="eastAsia" w:ascii="Times New Roman" w:hAnsi="Times New Roman" w:eastAsia="仿宋_GB2312" w:cs="Times New Roman"/>
          <w:sz w:val="32"/>
          <w:szCs w:val="32"/>
        </w:rPr>
        <w:t>年部门整体支出绩效开展了评价，具体情况如下：</w:t>
      </w:r>
    </w:p>
    <w:p>
      <w:pPr>
        <w:widowControl/>
        <w:numPr>
          <w:ilvl w:val="0"/>
          <w:numId w:val="3"/>
        </w:numPr>
        <w:shd w:val="clear" w:color="auto" w:fill="FFFFFF"/>
        <w:spacing w:line="600" w:lineRule="atLeast"/>
        <w:ind w:firstLine="640"/>
        <w:rPr>
          <w:rFonts w:ascii="仿宋" w:hAnsi="仿宋" w:eastAsia="仿宋"/>
          <w:b/>
          <w:bCs/>
          <w:spacing w:val="-2"/>
          <w:sz w:val="32"/>
          <w:szCs w:val="32"/>
        </w:rPr>
      </w:pPr>
      <w:r>
        <w:rPr>
          <w:rFonts w:ascii="仿宋" w:hAnsi="仿宋" w:eastAsia="仿宋"/>
          <w:b/>
          <w:bCs/>
          <w:spacing w:val="-2"/>
          <w:sz w:val="32"/>
          <w:szCs w:val="32"/>
        </w:rPr>
        <w:t>经济性分析</w:t>
      </w:r>
    </w:p>
    <w:p>
      <w:pPr>
        <w:widowControl/>
        <w:spacing w:line="600" w:lineRule="exact"/>
        <w:ind w:firstLine="645"/>
        <w:jc w:val="left"/>
        <w:rPr>
          <w:rFonts w:ascii="仿宋" w:hAnsi="仿宋" w:eastAsia="仿宋"/>
          <w:spacing w:val="-2"/>
          <w:sz w:val="32"/>
          <w:szCs w:val="32"/>
        </w:rPr>
      </w:pPr>
      <w:r>
        <w:rPr>
          <w:rFonts w:hint="eastAsia" w:eastAsia="仿宋_GB2312" w:cs="Times New Roman"/>
          <w:sz w:val="32"/>
          <w:szCs w:val="32"/>
        </w:rPr>
        <w:t>从预算配置情况来看：</w:t>
      </w:r>
      <w:r>
        <w:rPr>
          <w:rFonts w:hint="eastAsia" w:ascii="Times New Roman" w:hAnsi="Times New Roman" w:eastAsia="仿宋_GB2312" w:cs="Times New Roman"/>
          <w:sz w:val="32"/>
          <w:szCs w:val="32"/>
        </w:rPr>
        <w:t>20</w:t>
      </w:r>
      <w:r>
        <w:rPr>
          <w:rFonts w:hint="eastAsia" w:eastAsia="仿宋_GB2312" w:cs="Times New Roman"/>
          <w:sz w:val="32"/>
          <w:szCs w:val="32"/>
        </w:rPr>
        <w:t>21</w:t>
      </w:r>
      <w:r>
        <w:rPr>
          <w:rFonts w:hint="eastAsia" w:ascii="Times New Roman" w:hAnsi="Times New Roman" w:eastAsia="仿宋_GB2312" w:cs="Times New Roman"/>
          <w:sz w:val="32"/>
          <w:szCs w:val="32"/>
        </w:rPr>
        <w:t>年年初预算483.54万元，</w:t>
      </w:r>
      <w:r>
        <w:rPr>
          <w:rFonts w:hint="eastAsia" w:eastAsia="仿宋_GB2312" w:cs="Times New Roman"/>
          <w:sz w:val="32"/>
          <w:szCs w:val="32"/>
        </w:rPr>
        <w:t>预算资金覆盖了档案工作各方面的需求，能保证单位正常运转需要，通过科学分配、统筹协调，基本保证了人员经费支出和单位全年档案工作任务的完成</w:t>
      </w:r>
      <w:r>
        <w:rPr>
          <w:rFonts w:hint="eastAsia" w:ascii="Times New Roman" w:hAnsi="Times New Roman" w:eastAsia="仿宋_GB2312" w:cs="Times New Roman"/>
          <w:sz w:val="32"/>
          <w:szCs w:val="32"/>
        </w:rPr>
        <w:t>。</w:t>
      </w:r>
    </w:p>
    <w:p>
      <w:pPr>
        <w:widowControl/>
        <w:numPr>
          <w:ilvl w:val="0"/>
          <w:numId w:val="3"/>
        </w:numPr>
        <w:shd w:val="clear" w:color="auto" w:fill="FFFFFF"/>
        <w:spacing w:line="600" w:lineRule="atLeast"/>
        <w:ind w:firstLine="640"/>
        <w:rPr>
          <w:rFonts w:ascii="仿宋" w:hAnsi="仿宋" w:eastAsia="仿宋"/>
          <w:b/>
          <w:bCs/>
          <w:spacing w:val="-2"/>
          <w:sz w:val="32"/>
          <w:szCs w:val="32"/>
        </w:rPr>
      </w:pPr>
      <w:r>
        <w:rPr>
          <w:rFonts w:ascii="仿宋" w:hAnsi="仿宋" w:eastAsia="仿宋"/>
          <w:b/>
          <w:bCs/>
          <w:spacing w:val="-2"/>
          <w:sz w:val="32"/>
          <w:szCs w:val="32"/>
        </w:rPr>
        <w:t>效率性分析</w:t>
      </w:r>
    </w:p>
    <w:p>
      <w:pPr>
        <w:pStyle w:val="10"/>
        <w:spacing w:line="600" w:lineRule="exact"/>
        <w:ind w:left="420" w:leftChars="200" w:firstLine="640"/>
        <w:rPr>
          <w:rFonts w:eastAsia="仿宋_GB2312"/>
          <w:sz w:val="32"/>
          <w:szCs w:val="32"/>
        </w:rPr>
      </w:pPr>
      <w:r>
        <w:rPr>
          <w:rFonts w:hint="eastAsia" w:eastAsia="仿宋_GB2312"/>
          <w:sz w:val="32"/>
          <w:szCs w:val="32"/>
        </w:rPr>
        <w:t>严格按照预算执行。在收到财政下达的各类款项后，按照资金的用途使用，支出总额控制在预算总额以内，按照预算执行进度，及时支付。</w:t>
      </w:r>
    </w:p>
    <w:p>
      <w:pPr>
        <w:ind w:firstLine="640"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（三）有效性分析</w:t>
      </w:r>
    </w:p>
    <w:p>
      <w:pPr>
        <w:spacing w:line="600" w:lineRule="exact"/>
        <w:ind w:firstLine="640" w:firstLineChars="200"/>
        <w:rPr>
          <w:rFonts w:eastAsia="仿宋_GB2312"/>
          <w:sz w:val="32"/>
          <w:szCs w:val="32"/>
        </w:rPr>
      </w:pPr>
      <w:r>
        <w:rPr>
          <w:rFonts w:hint="eastAsia" w:ascii="Times New Roman" w:hAnsi="Times New Roman" w:eastAsia="仿宋_GB2312" w:cs="Times New Roman"/>
          <w:sz w:val="32"/>
          <w:szCs w:val="32"/>
        </w:rPr>
        <w:t>1、预算完成率。</w:t>
      </w:r>
      <w:r>
        <w:rPr>
          <w:rFonts w:hint="eastAsia" w:eastAsia="仿宋_GB2312"/>
          <w:sz w:val="32"/>
          <w:szCs w:val="32"/>
        </w:rPr>
        <w:t>2021年度财政拨款支出年初预算数为483.54万元，支出决算数为552.46万元</w:t>
      </w:r>
      <w:r>
        <w:rPr>
          <w:rFonts w:eastAsia="仿宋_GB2312"/>
          <w:sz w:val="32"/>
          <w:szCs w:val="32"/>
        </w:rPr>
        <w:t xml:space="preserve">. </w:t>
      </w:r>
      <w:r>
        <w:rPr>
          <w:rFonts w:hint="eastAsia" w:eastAsia="仿宋_GB2312"/>
          <w:sz w:val="32"/>
          <w:szCs w:val="32"/>
        </w:rPr>
        <w:t>完成年初预算的</w:t>
      </w:r>
      <w:r>
        <w:rPr>
          <w:rFonts w:eastAsia="仿宋_GB2312"/>
          <w:sz w:val="32"/>
          <w:szCs w:val="32"/>
        </w:rPr>
        <w:t>1</w:t>
      </w:r>
      <w:r>
        <w:rPr>
          <w:rFonts w:hint="eastAsia" w:eastAsia="仿宋_GB2312"/>
          <w:sz w:val="32"/>
          <w:szCs w:val="32"/>
        </w:rPr>
        <w:t>14</w:t>
      </w:r>
      <w:r>
        <w:rPr>
          <w:rFonts w:eastAsia="仿宋_GB2312"/>
          <w:sz w:val="32"/>
          <w:szCs w:val="32"/>
        </w:rPr>
        <w:t>%</w:t>
      </w:r>
    </w:p>
    <w:p>
      <w:pPr>
        <w:widowControl/>
        <w:spacing w:line="600" w:lineRule="exact"/>
        <w:ind w:firstLine="645"/>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2、预算调整率。</w:t>
      </w:r>
      <w:r>
        <w:rPr>
          <w:rFonts w:hint="eastAsia" w:eastAsia="仿宋_GB2312" w:cs="Times New Roman"/>
          <w:sz w:val="32"/>
          <w:szCs w:val="32"/>
        </w:rPr>
        <w:t>2021</w:t>
      </w:r>
      <w:r>
        <w:rPr>
          <w:rFonts w:hint="eastAsia" w:ascii="Times New Roman" w:hAnsi="Times New Roman" w:eastAsia="仿宋_GB2312" w:cs="Times New Roman"/>
          <w:sz w:val="32"/>
          <w:szCs w:val="32"/>
        </w:rPr>
        <w:t>年预算控制率低于100%，预算控制未达到预期目标。</w:t>
      </w:r>
    </w:p>
    <w:p>
      <w:pPr>
        <w:widowControl/>
        <w:spacing w:line="600" w:lineRule="exact"/>
        <w:ind w:firstLine="645"/>
        <w:jc w:val="left"/>
        <w:rPr>
          <w:rFonts w:ascii="Times New Roman" w:hAnsi="Times New Roman" w:eastAsia="仿宋_GB2312" w:cs="Times New Roman"/>
          <w:sz w:val="32"/>
          <w:szCs w:val="32"/>
        </w:rPr>
      </w:pPr>
      <w:r>
        <w:rPr>
          <w:rFonts w:hint="eastAsia" w:eastAsia="仿宋_GB2312" w:cs="Times New Roman"/>
          <w:sz w:val="32"/>
          <w:szCs w:val="32"/>
        </w:rPr>
        <w:t>3</w:t>
      </w:r>
      <w:r>
        <w:rPr>
          <w:rFonts w:hint="eastAsia" w:ascii="Times New Roman" w:hAnsi="Times New Roman" w:eastAsia="仿宋_GB2312" w:cs="Times New Roman"/>
          <w:sz w:val="32"/>
          <w:szCs w:val="32"/>
        </w:rPr>
        <w:t>、公用经费控制率。</w:t>
      </w:r>
      <w:r>
        <w:rPr>
          <w:rFonts w:hint="eastAsia" w:eastAsia="仿宋_GB2312" w:cs="Times New Roman"/>
          <w:sz w:val="32"/>
          <w:szCs w:val="32"/>
        </w:rPr>
        <w:t>2021</w:t>
      </w:r>
      <w:r>
        <w:rPr>
          <w:rFonts w:hint="eastAsia" w:ascii="Times New Roman" w:hAnsi="Times New Roman" w:eastAsia="仿宋_GB2312" w:cs="Times New Roman"/>
          <w:sz w:val="32"/>
          <w:szCs w:val="32"/>
        </w:rPr>
        <w:t>年我</w:t>
      </w:r>
      <w:r>
        <w:rPr>
          <w:rFonts w:hint="eastAsia" w:eastAsia="仿宋_GB2312" w:cs="Times New Roman"/>
          <w:sz w:val="32"/>
          <w:szCs w:val="32"/>
        </w:rPr>
        <w:t>单位</w:t>
      </w:r>
      <w:r>
        <w:rPr>
          <w:rFonts w:hint="eastAsia" w:ascii="Times New Roman" w:hAnsi="Times New Roman" w:eastAsia="仿宋_GB2312" w:cs="Times New Roman"/>
          <w:sz w:val="32"/>
          <w:szCs w:val="32"/>
        </w:rPr>
        <w:t>预算管理（按部门预算经济分类）各项指标控制</w:t>
      </w:r>
      <w:r>
        <w:rPr>
          <w:rFonts w:hint="eastAsia" w:eastAsia="仿宋_GB2312" w:cs="Times New Roman"/>
          <w:sz w:val="32"/>
          <w:szCs w:val="32"/>
        </w:rPr>
        <w:t>良好。</w:t>
      </w:r>
    </w:p>
    <w:p>
      <w:pPr>
        <w:widowControl/>
        <w:spacing w:line="600" w:lineRule="exact"/>
        <w:ind w:firstLine="645"/>
        <w:jc w:val="left"/>
        <w:rPr>
          <w:rFonts w:ascii="Times New Roman" w:hAnsi="Times New Roman" w:eastAsia="仿宋_GB2312" w:cs="Times New Roman"/>
          <w:sz w:val="32"/>
          <w:szCs w:val="32"/>
        </w:rPr>
      </w:pPr>
      <w:r>
        <w:rPr>
          <w:rFonts w:hint="eastAsia" w:eastAsia="仿宋_GB2312" w:cs="Times New Roman"/>
          <w:sz w:val="32"/>
          <w:szCs w:val="32"/>
        </w:rPr>
        <w:t>4</w:t>
      </w:r>
      <w:r>
        <w:rPr>
          <w:rFonts w:hint="eastAsia" w:ascii="Times New Roman" w:hAnsi="Times New Roman" w:eastAsia="仿宋_GB2312" w:cs="Times New Roman"/>
          <w:sz w:val="32"/>
          <w:szCs w:val="32"/>
        </w:rPr>
        <w:t>、“三公经费”控制率。“三公经费”实际支出数为</w:t>
      </w:r>
      <w:r>
        <w:rPr>
          <w:rFonts w:hint="eastAsia" w:eastAsia="仿宋_GB2312" w:cs="Times New Roman"/>
          <w:sz w:val="32"/>
          <w:szCs w:val="32"/>
        </w:rPr>
        <w:t>0.9</w:t>
      </w:r>
      <w:r>
        <w:rPr>
          <w:rFonts w:hint="eastAsia" w:ascii="Times New Roman" w:hAnsi="Times New Roman" w:eastAsia="仿宋_GB2312" w:cs="Times New Roman"/>
          <w:sz w:val="32"/>
          <w:szCs w:val="32"/>
        </w:rPr>
        <w:t>万元。</w:t>
      </w:r>
    </w:p>
    <w:p>
      <w:pPr>
        <w:widowControl/>
        <w:spacing w:line="600" w:lineRule="exact"/>
        <w:ind w:firstLine="645"/>
        <w:jc w:val="left"/>
        <w:rPr>
          <w:rFonts w:ascii="Times New Roman" w:hAnsi="Times New Roman" w:eastAsia="仿宋_GB2312" w:cs="Times New Roman"/>
          <w:sz w:val="32"/>
          <w:szCs w:val="32"/>
        </w:rPr>
      </w:pPr>
      <w:r>
        <w:rPr>
          <w:rFonts w:hint="eastAsia" w:eastAsia="仿宋_GB2312" w:cs="Times New Roman"/>
          <w:sz w:val="32"/>
          <w:szCs w:val="32"/>
        </w:rPr>
        <w:t>5</w:t>
      </w:r>
      <w:r>
        <w:rPr>
          <w:rFonts w:hint="eastAsia" w:ascii="Times New Roman" w:hAnsi="Times New Roman" w:eastAsia="仿宋_GB2312" w:cs="Times New Roman"/>
          <w:sz w:val="32"/>
          <w:szCs w:val="32"/>
        </w:rPr>
        <w:t>、政府采购执行率。政府采购预算</w:t>
      </w:r>
      <w:r>
        <w:rPr>
          <w:rFonts w:hint="eastAsia" w:eastAsia="仿宋_GB2312" w:cs="Times New Roman"/>
          <w:sz w:val="32"/>
          <w:szCs w:val="32"/>
        </w:rPr>
        <w:t>0万</w:t>
      </w:r>
      <w:r>
        <w:rPr>
          <w:rFonts w:hint="eastAsia" w:ascii="Times New Roman" w:hAnsi="Times New Roman" w:eastAsia="仿宋_GB2312" w:cs="Times New Roman"/>
          <w:sz w:val="32"/>
          <w:szCs w:val="32"/>
        </w:rPr>
        <w:t>元，实际政府采购金额</w:t>
      </w:r>
      <w:r>
        <w:rPr>
          <w:rFonts w:hint="eastAsia" w:eastAsia="仿宋_GB2312" w:cs="Times New Roman"/>
          <w:sz w:val="32"/>
          <w:szCs w:val="32"/>
        </w:rPr>
        <w:t>0</w:t>
      </w:r>
      <w:r>
        <w:rPr>
          <w:rFonts w:hint="eastAsia" w:ascii="Times New Roman" w:hAnsi="Times New Roman" w:eastAsia="仿宋_GB2312" w:cs="Times New Roman"/>
          <w:sz w:val="32"/>
          <w:szCs w:val="32"/>
        </w:rPr>
        <w:t>万元，预算执行率0%。</w:t>
      </w:r>
    </w:p>
    <w:p>
      <w:pPr>
        <w:widowControl/>
        <w:spacing w:line="600" w:lineRule="exact"/>
        <w:ind w:firstLine="645"/>
        <w:jc w:val="left"/>
        <w:rPr>
          <w:rFonts w:ascii="Times New Roman" w:hAnsi="Times New Roman" w:eastAsia="仿宋_GB2312" w:cs="Times New Roman"/>
          <w:sz w:val="32"/>
          <w:szCs w:val="32"/>
        </w:rPr>
      </w:pPr>
      <w:r>
        <w:rPr>
          <w:rFonts w:hint="eastAsia" w:eastAsia="仿宋_GB2312" w:cs="Times New Roman"/>
          <w:sz w:val="32"/>
          <w:szCs w:val="32"/>
        </w:rPr>
        <w:t>6</w:t>
      </w:r>
      <w:r>
        <w:rPr>
          <w:rFonts w:hint="eastAsia" w:ascii="Times New Roman" w:hAnsi="Times New Roman" w:eastAsia="仿宋_GB2312" w:cs="Times New Roman"/>
          <w:sz w:val="32"/>
          <w:szCs w:val="32"/>
        </w:rPr>
        <w:t>、管理制度健全性。严格落实有关管理制度，规范财务审批程序，推行公务卡结算，严格差旅费和接待费支出标准、范围和程序的审核。</w:t>
      </w:r>
    </w:p>
    <w:p>
      <w:pPr>
        <w:widowControl/>
        <w:spacing w:line="600" w:lineRule="exact"/>
        <w:ind w:firstLine="645"/>
        <w:jc w:val="left"/>
        <w:rPr>
          <w:rFonts w:ascii="Times New Roman" w:hAnsi="Times New Roman" w:eastAsia="仿宋_GB2312" w:cs="Times New Roman"/>
          <w:sz w:val="32"/>
          <w:szCs w:val="32"/>
        </w:rPr>
      </w:pPr>
      <w:r>
        <w:rPr>
          <w:rFonts w:hint="eastAsia" w:eastAsia="仿宋_GB2312" w:cs="Times New Roman"/>
          <w:w w:val="99"/>
          <w:sz w:val="32"/>
          <w:szCs w:val="32"/>
        </w:rPr>
        <w:t>7</w:t>
      </w:r>
      <w:r>
        <w:rPr>
          <w:rFonts w:hint="eastAsia" w:ascii="Times New Roman" w:hAnsi="Times New Roman" w:eastAsia="仿宋_GB2312" w:cs="Times New Roman"/>
          <w:w w:val="99"/>
          <w:sz w:val="32"/>
          <w:szCs w:val="32"/>
        </w:rPr>
        <w:t>、 资金使用合规性。严格落实中央八项规定和有关公务支出标准。加强经费合法合规性审核和预算控制，严格按制度政策办事，资金使用合法合规，支出手续齐全，程序到位。</w:t>
      </w:r>
    </w:p>
    <w:p>
      <w:pPr>
        <w:widowControl/>
        <w:numPr>
          <w:ilvl w:val="0"/>
          <w:numId w:val="4"/>
        </w:numPr>
        <w:spacing w:line="600" w:lineRule="exact"/>
        <w:ind w:firstLine="645"/>
        <w:jc w:val="left"/>
        <w:rPr>
          <w:rFonts w:eastAsia="仿宋_GB2312" w:cs="Times New Roman"/>
          <w:sz w:val="32"/>
          <w:szCs w:val="32"/>
        </w:rPr>
      </w:pPr>
      <w:r>
        <w:rPr>
          <w:rFonts w:hint="eastAsia" w:ascii="Times New Roman" w:hAnsi="Times New Roman" w:eastAsia="仿宋_GB2312" w:cs="Times New Roman"/>
          <w:sz w:val="32"/>
          <w:szCs w:val="32"/>
        </w:rPr>
        <w:t>基础信息完善性</w:t>
      </w:r>
      <w:r>
        <w:rPr>
          <w:rFonts w:hint="eastAsia" w:eastAsia="仿宋_GB2312" w:cs="Times New Roman"/>
          <w:sz w:val="32"/>
          <w:szCs w:val="32"/>
        </w:rPr>
        <w:t>。基础数据信息和会计信息资料真实、完整、准确。</w:t>
      </w:r>
    </w:p>
    <w:p>
      <w:pPr>
        <w:widowControl/>
        <w:numPr>
          <w:ilvl w:val="0"/>
          <w:numId w:val="4"/>
        </w:numPr>
        <w:spacing w:line="600" w:lineRule="exact"/>
        <w:ind w:firstLine="645"/>
        <w:jc w:val="left"/>
        <w:rPr>
          <w:rFonts w:eastAsia="仿宋_GB2312" w:cs="Times New Roman"/>
          <w:sz w:val="32"/>
          <w:szCs w:val="32"/>
        </w:rPr>
      </w:pPr>
      <w:r>
        <w:rPr>
          <w:rFonts w:hint="eastAsia" w:eastAsia="仿宋_GB2312" w:cs="Times New Roman"/>
          <w:sz w:val="32"/>
          <w:szCs w:val="32"/>
        </w:rPr>
        <w:t>资产管理安全性。我馆</w:t>
      </w:r>
      <w:r>
        <w:rPr>
          <w:rFonts w:hint="eastAsia" w:ascii="仿宋" w:hAnsi="仿宋" w:eastAsia="仿宋"/>
          <w:spacing w:val="-2"/>
          <w:sz w:val="32"/>
          <w:szCs w:val="32"/>
        </w:rPr>
        <w:t>严格按照《鹤城区档案馆资产管理办法》和《政府采购管理制度》对固定资产进行配置和处置，按计划购置办公用品。</w:t>
      </w:r>
    </w:p>
    <w:p>
      <w:pPr>
        <w:widowControl/>
        <w:spacing w:line="600" w:lineRule="exact"/>
        <w:ind w:firstLine="645"/>
        <w:jc w:val="left"/>
        <w:rPr>
          <w:rFonts w:ascii="Times New Roman" w:hAnsi="Times New Roman" w:eastAsia="仿宋_GB2312" w:cs="Times New Roman"/>
          <w:w w:val="99"/>
          <w:sz w:val="32"/>
          <w:szCs w:val="32"/>
        </w:rPr>
      </w:pPr>
      <w:r>
        <w:rPr>
          <w:rFonts w:hint="eastAsia" w:eastAsia="仿宋_GB2312" w:cs="Times New Roman"/>
          <w:w w:val="99"/>
          <w:sz w:val="32"/>
          <w:szCs w:val="32"/>
        </w:rPr>
        <w:t>10</w:t>
      </w:r>
      <w:r>
        <w:rPr>
          <w:rFonts w:hint="eastAsia" w:ascii="Times New Roman" w:hAnsi="Times New Roman" w:eastAsia="仿宋_GB2312" w:cs="Times New Roman"/>
          <w:w w:val="99"/>
          <w:sz w:val="32"/>
          <w:szCs w:val="32"/>
        </w:rPr>
        <w:t>、预决算信息公开性。真实准确编制部门预算和决算，按时上报基础数据资料。对上年度部门整体支出进行了绩效评价，对标找差距。按规定时限和规定内容公开部门预算、部门决算以及绩效自评报告。各项应向社会公开的信息及时、完整、真实，更加细化，部门预决算信息透明度进一步提高。 </w:t>
      </w:r>
    </w:p>
    <w:p>
      <w:pPr>
        <w:widowControl/>
        <w:shd w:val="clear" w:color="auto" w:fill="FFFFFF"/>
        <w:spacing w:line="600" w:lineRule="atLeast"/>
        <w:ind w:firstLine="624"/>
        <w:rPr>
          <w:rFonts w:ascii="仿宋" w:hAnsi="仿宋" w:eastAsia="仿宋"/>
          <w:b/>
          <w:bCs/>
          <w:spacing w:val="-2"/>
          <w:sz w:val="32"/>
          <w:szCs w:val="32"/>
        </w:rPr>
      </w:pPr>
      <w:r>
        <w:rPr>
          <w:rFonts w:hint="eastAsia" w:ascii="仿宋" w:hAnsi="仿宋" w:eastAsia="仿宋"/>
          <w:b/>
          <w:bCs/>
          <w:spacing w:val="-2"/>
          <w:sz w:val="32"/>
          <w:szCs w:val="32"/>
        </w:rPr>
        <w:t>（四）可持续性分析</w:t>
      </w:r>
    </w:p>
    <w:p>
      <w:pPr>
        <w:ind w:firstLine="632" w:firstLineChars="200"/>
        <w:rPr>
          <w:rFonts w:ascii="Times New Roman" w:hAnsi="Times New Roman" w:eastAsia="黑体"/>
          <w:sz w:val="32"/>
          <w:szCs w:val="32"/>
        </w:rPr>
      </w:pPr>
      <w:r>
        <w:rPr>
          <w:rFonts w:hint="eastAsia" w:ascii="仿宋" w:hAnsi="仿宋" w:eastAsia="仿宋" w:cs="仿宋"/>
          <w:w w:val="99"/>
          <w:sz w:val="32"/>
          <w:szCs w:val="32"/>
        </w:rPr>
        <w:t>还存在着一定的差距和不足，加快完善委员工作室建设，更好地履行参政议政职能。</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w:t>
      </w:r>
      <w:r>
        <w:rPr>
          <w:rFonts w:hint="eastAsia" w:eastAsia="仿宋_GB2312" w:cs="Times New Roman"/>
          <w:sz w:val="32"/>
          <w:szCs w:val="32"/>
        </w:rPr>
        <w:t>21</w:t>
      </w:r>
      <w:r>
        <w:rPr>
          <w:rFonts w:hint="eastAsia" w:ascii="Times New Roman" w:hAnsi="Times New Roman" w:eastAsia="仿宋_GB2312" w:cs="Times New Roman"/>
          <w:sz w:val="32"/>
          <w:szCs w:val="32"/>
        </w:rPr>
        <w:t>年我单位的部门整体绩效评价工作还存在一些问题和不足需要进一步完善。在资金安排和使用上仍有不可预见性，在科学设置预算绩效指标上还需进一步加强。</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eastAsia="黑体"/>
          <w:sz w:val="32"/>
          <w:szCs w:val="32"/>
        </w:rPr>
      </w:pPr>
      <w:r>
        <w:rPr>
          <w:rFonts w:hint="eastAsia" w:ascii="Times New Roman" w:hAnsi="Times New Roman" w:eastAsia="仿宋_GB2312" w:cs="Times New Roman"/>
          <w:sz w:val="32"/>
          <w:szCs w:val="32"/>
        </w:rPr>
        <w:t>我单位需要增强预算编制的全面性、准确性，强化预算执行的严肃性。对年初没有预算安排的支出原则上不安排支出，不申请新增追加资金。严格按预算批复的用途使用资金，减少预算调整事项。 </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hint="eastAsia" w:eastAsia="仿宋_GB2312"/>
          <w:sz w:val="32"/>
          <w:szCs w:val="32"/>
        </w:rPr>
        <w:t>无。</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1D602B"/>
    <w:multiLevelType w:val="singleLevel"/>
    <w:tmpl w:val="151D602B"/>
    <w:lvl w:ilvl="0" w:tentative="0">
      <w:start w:val="1"/>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C1469F2"/>
    <w:multiLevelType w:val="singleLevel"/>
    <w:tmpl w:val="5C1469F2"/>
    <w:lvl w:ilvl="0" w:tentative="0">
      <w:start w:val="12"/>
      <w:numFmt w:val="chineseCounting"/>
      <w:suff w:val="nothing"/>
      <w:lvlText w:val="%1、"/>
      <w:lvlJc w:val="left"/>
      <w:rPr>
        <w:rFonts w:hint="eastAsia"/>
      </w:rPr>
    </w:lvl>
  </w:abstractNum>
  <w:abstractNum w:abstractNumId="3">
    <w:nsid w:val="603A9A0C"/>
    <w:multiLevelType w:val="singleLevel"/>
    <w:tmpl w:val="603A9A0C"/>
    <w:lvl w:ilvl="0" w:tentative="0">
      <w:start w:val="8"/>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0C4A31"/>
    <w:rsid w:val="00103957"/>
    <w:rsid w:val="00124A1F"/>
    <w:rsid w:val="00152C6D"/>
    <w:rsid w:val="00162D39"/>
    <w:rsid w:val="001678BD"/>
    <w:rsid w:val="00182373"/>
    <w:rsid w:val="00182B50"/>
    <w:rsid w:val="001A67DB"/>
    <w:rsid w:val="001B31AD"/>
    <w:rsid w:val="001C3C29"/>
    <w:rsid w:val="001D51E5"/>
    <w:rsid w:val="001E080D"/>
    <w:rsid w:val="001E53D0"/>
    <w:rsid w:val="001F0C3B"/>
    <w:rsid w:val="00202C14"/>
    <w:rsid w:val="00202C82"/>
    <w:rsid w:val="00214427"/>
    <w:rsid w:val="00226CB7"/>
    <w:rsid w:val="00233D19"/>
    <w:rsid w:val="00250A42"/>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0439F"/>
    <w:rsid w:val="00416E61"/>
    <w:rsid w:val="0042790C"/>
    <w:rsid w:val="004506F9"/>
    <w:rsid w:val="004717A2"/>
    <w:rsid w:val="00473DF3"/>
    <w:rsid w:val="00487911"/>
    <w:rsid w:val="00491741"/>
    <w:rsid w:val="00497300"/>
    <w:rsid w:val="004A2719"/>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3BF2"/>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533A0"/>
    <w:rsid w:val="00967F5D"/>
    <w:rsid w:val="009A0F95"/>
    <w:rsid w:val="009B3ADF"/>
    <w:rsid w:val="009C3B52"/>
    <w:rsid w:val="009E6817"/>
    <w:rsid w:val="009E6E9A"/>
    <w:rsid w:val="00A01D2B"/>
    <w:rsid w:val="00A37EC9"/>
    <w:rsid w:val="00A42218"/>
    <w:rsid w:val="00A516F9"/>
    <w:rsid w:val="00A70249"/>
    <w:rsid w:val="00A70B02"/>
    <w:rsid w:val="00A71D9F"/>
    <w:rsid w:val="00A92E9F"/>
    <w:rsid w:val="00B079EB"/>
    <w:rsid w:val="00B33BEA"/>
    <w:rsid w:val="00B42C25"/>
    <w:rsid w:val="00B43F86"/>
    <w:rsid w:val="00B57C9F"/>
    <w:rsid w:val="00B63572"/>
    <w:rsid w:val="00B845B3"/>
    <w:rsid w:val="00B85D8B"/>
    <w:rsid w:val="00BB4A40"/>
    <w:rsid w:val="00BC0E56"/>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EC01EC"/>
    <w:rsid w:val="00F14946"/>
    <w:rsid w:val="00F57AF2"/>
    <w:rsid w:val="00F74360"/>
    <w:rsid w:val="00FB462F"/>
    <w:rsid w:val="00FE16FA"/>
    <w:rsid w:val="00FE328A"/>
    <w:rsid w:val="00FE6269"/>
    <w:rsid w:val="00FF5CD6"/>
    <w:rsid w:val="12AF5192"/>
    <w:rsid w:val="3141442D"/>
    <w:rsid w:val="4CAB3DD8"/>
    <w:rsid w:val="51516FC6"/>
    <w:rsid w:val="5611596C"/>
    <w:rsid w:val="66A50E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62322-15CA-4B60-826B-EEA1C68B932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6449</Words>
  <Characters>6958</Characters>
  <Lines>48</Lines>
  <Paragraphs>13</Paragraphs>
  <TotalTime>0</TotalTime>
  <ScaleCrop>false</ScaleCrop>
  <LinksUpToDate>false</LinksUpToDate>
  <CharactersWithSpaces>6980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2022-11-21T00:18:00Z</dcterms:created>
  <dc:creator>李航 null</dc:creator>
  <cp:lastModifiedBy>养鱼的猫</cp:lastModifiedBy>
  <cp:lastPrinted>2022-07-27T12:55:00Z</cp:lastPrinted>
  <dcterms:modified xsi:type="dcterms:W3CDTF">2023-09-27T18:53:47Z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0AFFC667D01F4E478002312CCA53C635_13</vt:lpwstr>
  </property>
</Properties>
</file>