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lang w:eastAsia="zh-CN"/>
        </w:rPr>
        <w:t>怀化市鹤城区迎丰街道办事处</w:t>
      </w: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both"/>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怀化市鹤城区迎丰街道办事处</w:t>
      </w:r>
      <w:r>
        <w:rPr>
          <w:rFonts w:hint="eastAsia"/>
          <w:b/>
          <w:sz w:val="28"/>
          <w:szCs w:val="28"/>
        </w:rPr>
        <w:t>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lang w:eastAsia="zh-CN"/>
        </w:rPr>
        <w:t>怀化市鹤城区迎丰街道办事处</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0" w:leftChars="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（一）内设机构设置。</w:t>
      </w:r>
      <w:r>
        <w:rPr>
          <w:rFonts w:hint="eastAsia" w:asciiTheme="minorEastAsia" w:hAnsiTheme="minorEastAsia" w:eastAsiaTheme="minorEastAsia"/>
          <w:sz w:val="32"/>
          <w:szCs w:val="32"/>
          <w:lang w:eastAsia="zh-CN"/>
        </w:rPr>
        <w:t>怀化市鹤城区迎丰街道办事处</w:t>
      </w:r>
      <w:r>
        <w:rPr>
          <w:rFonts w:hint="eastAsia" w:asciiTheme="minorEastAsia" w:hAnsiTheme="minorEastAsia" w:eastAsiaTheme="minorEastAsia"/>
          <w:sz w:val="32"/>
          <w:szCs w:val="32"/>
        </w:rPr>
        <w:t>单位内设机构包括：党政办办公室，民政、计生等。</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（二）决算单位构成。</w:t>
      </w:r>
      <w:r>
        <w:rPr>
          <w:rFonts w:hint="eastAsia" w:asciiTheme="minorEastAsia" w:hAnsiTheme="minorEastAsia" w:eastAsiaTheme="minorEastAsia"/>
          <w:sz w:val="32"/>
          <w:szCs w:val="32"/>
          <w:lang w:eastAsia="zh-CN"/>
        </w:rPr>
        <w:t>怀化市鹤城区迎丰街道办事处</w:t>
      </w:r>
      <w:r>
        <w:rPr>
          <w:rFonts w:hint="eastAsia" w:asciiTheme="minorEastAsia" w:hAnsiTheme="minorEastAsia" w:eastAsiaTheme="minorEastAsia"/>
          <w:sz w:val="32"/>
          <w:szCs w:val="32"/>
        </w:rPr>
        <w:t>单位2021年部门决算汇总公开单位构成包括：</w:t>
      </w:r>
      <w:r>
        <w:rPr>
          <w:rFonts w:hint="eastAsia" w:asciiTheme="minorEastAsia" w:hAnsiTheme="minorEastAsia" w:eastAsiaTheme="minorEastAsia"/>
          <w:sz w:val="32"/>
          <w:szCs w:val="32"/>
          <w:lang w:eastAsia="zh-CN"/>
        </w:rPr>
        <w:t>怀化市鹤城区迎丰街道办事处</w:t>
      </w:r>
      <w:r>
        <w:rPr>
          <w:rFonts w:hint="eastAsia" w:asciiTheme="minorEastAsia" w:hAnsiTheme="minorEastAsia" w:eastAsiaTheme="minorEastAsia"/>
          <w:sz w:val="32"/>
          <w:szCs w:val="32"/>
          <w:lang w:val="en-US" w:eastAsia="zh-CN"/>
        </w:rPr>
        <w:t>本级</w:t>
      </w:r>
      <w:r>
        <w:rPr>
          <w:rFonts w:hint="eastAsia" w:asciiTheme="minorEastAsia" w:hAnsiTheme="minorEastAsia" w:eastAsiaTheme="minorEastAsia"/>
          <w:sz w:val="32"/>
          <w:szCs w:val="32"/>
        </w:rPr>
        <w:t>。</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2021年度收入合计1994.91万元。与上年相比，减少873.24万元，减少30%，主要是因为其他收入资金返还减少。</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2021年度支出合计1994.91万元。与上年相比，减少873.24万元，减少30%，主要是因为基本支出减少。</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2021年度收入合计1994.91万元，其中：财政拨款收入1994.91万元，占100%；上级补助收入0万元，占0%；事业收入0万元，占0%；经营收入0万元，占0%；附属单位上缴收入0万元，占0%；其他收入0万元，占0%。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2021年度支出合计1994.91万元，其中：基本支出1589.87万元，占80%；项目支出405.04万元，占20%；上缴上级支出0万元，占0%；经营支出0万元，占0%；对附属单位补助支出0万元，占0%。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2021年度财政拨款收入合计1994.91万元。与上年相比，增加48.76万元，增长2%，主要是因为财政拨款增加。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2021年度财政拨款支出合计1994.91万元。与上年相比，增加48.76万元，增长2%，主要是因为城乡社区（类）支出增加。</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2021年度财政拨款支出1994.91万元，占本年支出合计的100%，与上年相比，财政拨款支出增加48.76万元，增长2%，主要是因为城乡社区（类）支出增加。</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1994.91万元，主要用于以下方面：一般公共服务（类）支出837.52万元，占41.98%；教育（类）支出1.43万元，占0.07%;文化旅游体育与传媒（类）支出4万元，占0.2%；社会保障和就业（类）支出240.54万元，占12.06%；卫生健康（类）支出48.9万元，占2.45%；城乡社区（类）支出858.52万元，占43.04%；农林水支出4万元，占0.2%。</w:t>
      </w:r>
    </w:p>
    <w:p>
      <w:pPr>
        <w:pStyle w:val="11"/>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2021年度财政拨款支出年初预算数为1705.61万元，支出决算数为1994.91万元，完成年初预算的116.96%，其中：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1、一般公共服务支出（类）人大事务（款）人大代表履职能力提升（项）。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年初预算为5万元，支出决算为1.5万元，完成年初预算的30%，决算数小于年初预算数的主要原因是：预算的功能代码与财政下指标的功能代码不一样，导致决算与预算功能科目金额不一样。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2、一般公共服务支出（类）政府办公厅（室）及相关机构事务（款）行政运行（项）。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年初预算为367.07万元，支出决算为586.61万元，完成年初预算的159.81%，决算数大于年初预算数的主要原因是：预算的功能代码与财政下指标的功能代码不一样，导致决算与预算功能科目金额不一样。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3、一般公共服务（类）政府办公厅（室）及相关机构事务（款）事业运行（项）。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年初预算为201.04万元，支出决算为141.61万元，完成年初预算的70.44%，决算数小于年初预算数的主要原因是：预算的功能代码与财政下指标的功能代码不一样，导致决算与预算功能科目金额不一样。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4、一般公共服务（类）政府办公厅（室）及相关机构事务（款）信访事务（项）。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年初预算为0万元，支出决算为5.4万元，完成年初预算的100%，决算数大于年初预算数的主要原因是：预算的功能代码与财政下指标的功能代码不一样，导致决算与预算功能科目金额不一样。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5、一般公共服务（类）统计信息事务（款）专项普查活动（项）。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年初预算为0万元，支出决算为3.36万元，完成年初预算的100%，决算数大于年初预算数的主要原因是：预算的功能代码与财政下指标的功能代码不一样，导致决算与预算功能科目金额不一样。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6、一般公共服务（类）财政事务（款）行政运行（项）。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年初预算为0万元，支出决算为15.77万元，年初预算为0万元，无法计算完成比率，决算数大于年初预算数的主要原因是：预算的功能代码与财政下指标的功能代码不一样，导致决算与预算功能科目金额不一样。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7、一般公共服务（类）其他一般公共服务支出（款）其他一般公共服务支出（项）。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年初预算为0万元，支出决算为83.27万元，年初预算为0万元，无法计算完成比率，决算数大于年初预算数的主要原因是：预算的功能代码与财政下指标的功能代码不一样，导致决算与预算功能科目金额不一样。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8、教育支出（类）成人教育（款）其他成人教育支出（项）。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年初预算为0万元，支出决算为1.43万元，年初预算为0万元，无法计算完成比率，决算数大于年初预算数的主要原因是：预算的功能代码与财政下指标的功能代码不一样，导致决算与预算功能科目金额不一样。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9、文化旅游体育与传媒支出（类）其他文化旅游体育与传媒支出（款） 其他文化旅游体育与传媒支出（项）。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年初预算为0万元，支出决算为4万元，年初预算为0万元，无法计算完成比率，决算数大于年初预算数的主要原因是：预算的功能代码与财政下指标的功能代码不一样，导致决算与预算功能科目金额不一样。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10、社会保障和就业支出（类）民政管理事务（款）基层政权建设和社区治理（项）。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年初预算为0万元，支出决算为74.3万元，年初预算为0万元，无法计算完成比率，决算数大于年初预算数的主要原因是：预算的功能代码与财政下指标的功能代码不一样，导致决算与预算功能科目金额不一样。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11、社会保障和就业支出（类）行政事业单位养老支出（款）机关事业单位基本养老保险缴费支出（项）。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年初预算为101.97万元，支出决算为92.17万元，完成年初预算的90.39%，决算数小于年初预算数的主要原因是：预算的功能代码与财政下指标的功能代码不一样，导致决算与预算功能科目金额不一样。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12、社会保障和就业支出（类）行政事业单位养老支出（款）行政单位离退休（项）。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年初预算为11.24万元，支出决算为11.86万元，完成年初预算的105.52%，决算数大于年初预算数的主要原因是：预算的功能代码与财政下指标的功能代码不一样，导致决算与预算功能科目金额不一样。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13、社会保障和就业支出（类）就业补助（款）其他就业补助支出（项）。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年初预算为0万元，支出决算为7.2万元，年初预算为0万元，无法计算完成比率，决算数大于年初预算数的主要原因是：预算的功能代码与财政下指标的功能代码不一样，导致决算与预算功能科目金额不一样。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14、社会保障和就业支出（类）抚恤（款）其他优抚支出（项）。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年初预算为0万元，支出决算为1.8万元，年初预算为0万元，无法计算完成比率，决算数大于年初预算数的主要原因是：预算的功能代码与财政下指标的功能代码不一样，导致决算与预算功能科目金额不一样。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15、社会保障和就业支出（类）最低生活保障（款）城市最低生活保障金支出（项）。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年初预算为0万元，支出决算为53.22万元，年初预算为0万元，无法计算完成比率，决算数大于年初预算数的主要原因是：预算的功能代码与财政下指标的功能代码不一样，导致决算与预算功能科目金额不一样。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16、卫生健康支出（类）行政事业单位医疗（款）行政单位医疗（项）。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年初预算为50.99万元，支出决算为45.9万元，完成年初预算的90.02%，决算数小于年初预算数的主要原因是：预算的功能代码与财政下指标的功能代码不一样，导致决算与预算功能科目金额不一样。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17、卫生健康支出（类）医疗救助（款）城乡医疗救助（项）。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年初预算为0万元，支出决算为3万元，年初预算为0万元，无法计算完成比率，决算数大于年初预算数的主要原因是：预算的功能代码与财政下指标的功能代码不一样，导致决算与预算功能科目金额不一样。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18、城乡社区支出（类）城乡社区管理事务（款） 行政运行（项）。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年初预算为798.65万元，支出决算为417.44万元，完成年初预算的52.27%，决算数小于年初预算数的主要原因是：预算的功能代码与财政下指标的功能代码不一样，导致决算与预算功能科目金额不一样。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19、城乡社区支出（类）城乡社区管理事务（款）一般行政管理事务（项）。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年初预算为36万元，支出决算为405.04万元，完成年初预算的1125.11%，决算数大于年初预算数的主要原因是：预算的功能代码与财政下指标的功能代码不一样，导致决算与预算功能科目金额不一样。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20、城乡社区支出（类）城乡社区管理事务（款）城管执法（项）。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年初预算为0万元，支出决算为19.71万元，年初预算为0万元，无法计算完成比率，决算数大于年初预算数的主要原因是：预算的功能代码与财政下指标的功能代码不一样，导致决算与预算功能科目金额不一样。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21、城乡社区支出（类）城乡社区环境卫生（款）城乡社区环境卫生（项）。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年初预算为0万元，支出决算为16.34万元，年初预算为0万元，无法计算完成比率，决算数大于年初预算数的主要原因是：预算的功能代码与财政下指标的功能代码不一样，导致决算与预算功能科目金额不一样。</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22、农林水支出（类）水利（款）防汛（项）。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年初预算为0万元，支出决算为4，年初预算为0万元，无法计算完成比率，决算数大于年初预算数的主要原因是：预算的功能代码与财政下指标的功能代码不一样，导致决算与预算功能科目金额不一样。</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1589.88万元，其中：人员经费1299.54万元，占基本支出的81.74%,主要包括基本工资、津贴补贴、奖金、伙食补助费机关事业单位基本养老保险缴费、职工基本医疗保险缴费、住房公积金、抚恤金、生活补助、奖励金；公用经费290.34万元，占基本支出的18.26%，主要包括办公费、印刷费、咨询费、水费、电费、邮电费、差旅费、会议费、维修（护）、租赁费、专用材料费、劳务费、工会经费等。</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万元，支出决算为0万元，由于预算数为0，无法计算百分比，其中：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因公出国（境）费支出预算为0万元，支出决算为0万元，完由于预算数为0，无法计算百分比，</w:t>
      </w:r>
      <w:r>
        <w:rPr>
          <w:rFonts w:hint="eastAsia" w:asciiTheme="minorEastAsia" w:hAnsiTheme="minorEastAsia" w:eastAsiaTheme="minorEastAsia"/>
          <w:color w:val="auto"/>
          <w:sz w:val="32"/>
          <w:szCs w:val="32"/>
        </w:rPr>
        <w:t>决算数与预算一致，与上年一致</w:t>
      </w:r>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由于预算数为0，无法计算百分比，决算数与预算数的一致的主要原因是全年没有公务接待费支出，与上年相比无增减变化，主要原因是各县市区交流减少，没有公务接待支出。</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决算数与预算数的一致的主要原因是按全年没有公务用车购置费开支，与上年相比无增减变化，主要原因是没有公务用车购置费。</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万元，由于预算数为0，无法计算百分比，决算数与预算数的一致</w:t>
      </w:r>
      <w:r>
        <w:rPr>
          <w:rFonts w:hint="eastAsia" w:asciiTheme="minorEastAsia" w:hAnsiTheme="minorEastAsia" w:eastAsiaTheme="minorEastAsia"/>
          <w:color w:val="auto"/>
          <w:sz w:val="32"/>
          <w:szCs w:val="32"/>
        </w:rPr>
        <w:t>的主要原因是厉行节约，严格控制公务用车费用。</w:t>
      </w:r>
      <w:bookmarkStart w:id="0" w:name="_GoBack"/>
      <w:bookmarkEnd w:id="0"/>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ind w:firstLine="800" w:firstLineChars="25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九、国有资本经营预算财政拨款支出情况</w:t>
      </w:r>
    </w:p>
    <w:p>
      <w:pPr>
        <w:pStyle w:val="11"/>
        <w:ind w:firstLine="800" w:firstLineChars="25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本部门2021年度机关运行经费支出290.34万元，比上年决算数增加60.98万元，增加26.59%。主要原因是：21年决算日常工作中印刷费较去年有所增加。</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6.64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主要用于会议等相关费用；</w:t>
      </w:r>
      <w:r>
        <w:rPr>
          <w:rFonts w:hint="eastAsia" w:asciiTheme="minorEastAsia" w:hAnsiTheme="minorEastAsia" w:eastAsiaTheme="minorEastAsia"/>
          <w:sz w:val="32"/>
          <w:szCs w:val="32"/>
        </w:rPr>
        <w:t>开支培训费0万元；未举办节庆、晚会、论坛、赛事活动。</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 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1"/>
        <w:rPr>
          <w:sz w:val="72"/>
          <w:szCs w:val="72"/>
        </w:rPr>
      </w:pPr>
      <w:r>
        <w:rPr>
          <w:rFonts w:hint="eastAsia" w:hAnsi="黑体"/>
          <w:b/>
          <w:sz w:val="32"/>
          <w:szCs w:val="32"/>
        </w:rPr>
        <w:t>十四、2021年度预算绩效情况说明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我街道严格按照年初预算执行。在收到财政下达的各类款项后，按照资金用途，依据预算执行计划，及时拨付各项资金。</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针对项目资金，从源头入手，落实责任，完善制度，合理使用，加强监管，注重宣传，确保项目资金的管理使用高效率。一是加强领导，增强责任制意识。二是加强资金管理制度建设。结合单位实际，将各项经济活动划分到具体工作岗位，按照岗位确定任务、职责和权限，贯彻执行所制订的相关财务制度，加强制度执行的监督，使专项资金的财务管理有章可循。三是加强资金支出管理。坚持“专项核算、专人管理、专款专用”的原则，严禁挤占、挪用专项资金。</w:t>
      </w:r>
    </w:p>
    <w:p>
      <w:pPr>
        <w:pStyle w:val="11"/>
        <w:ind w:firstLine="640" w:firstLineChars="200"/>
        <w:rPr>
          <w:rFonts w:asciiTheme="minorEastAsia" w:hAnsiTheme="minorEastAsia" w:eastAsiaTheme="minorEastAsia"/>
          <w:sz w:val="32"/>
          <w:szCs w:val="32"/>
        </w:rPr>
      </w:pPr>
      <w:r>
        <w:rPr>
          <w:rFonts w:asciiTheme="minorEastAsia" w:hAnsiTheme="minorEastAsia" w:eastAsiaTheme="minorEastAsia"/>
          <w:sz w:val="32"/>
          <w:szCs w:val="32"/>
        </w:rPr>
        <w:t>预算支出绩效目标完成程度</w:t>
      </w:r>
      <w:r>
        <w:rPr>
          <w:rFonts w:hint="eastAsia" w:asciiTheme="minorEastAsia" w:hAnsiTheme="minorEastAsia" w:eastAsiaTheme="minorEastAsia"/>
          <w:sz w:val="32"/>
          <w:szCs w:val="32"/>
        </w:rPr>
        <w:t>：社区工作经费保障了社区工作正常开展,保障人员工资及经费开支，保障辖区内各项工作的正常工作。服务辖区居民，促进了辖区内的和谐发展。人大基层平台建设经费推进基层人大服务平台建设，更好的服务群众。法律顾问费提高了本单位的人员的法律知识，及合同文书的质量。</w:t>
      </w:r>
    </w:p>
    <w:p>
      <w:pPr>
        <w:rPr>
          <w:rFonts w:asciiTheme="minorEastAsia" w:hAnsiTheme="minorEastAsia" w:eastAsiaTheme="minorEastAsia"/>
          <w:sz w:val="32"/>
          <w:szCs w:val="32"/>
        </w:rPr>
      </w:pPr>
      <w:r>
        <w:rPr>
          <w:rFonts w:asciiTheme="minorEastAsia" w:hAnsiTheme="minorEastAsia" w:eastAsiaTheme="minorEastAsia"/>
          <w:sz w:val="32"/>
          <w:szCs w:val="32"/>
        </w:rPr>
        <w:br w:type="page"/>
      </w: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rPr>
          <w:rFonts w:asciiTheme="minorEastAsia" w:hAnsiTheme="minorEastAsia" w:eastAsiaTheme="minorEastAsia"/>
          <w:sz w:val="32"/>
          <w:szCs w:val="32"/>
        </w:rPr>
      </w:pPr>
      <w:r>
        <w:rPr>
          <w:rFonts w:asciiTheme="minorEastAsia" w:hAnsiTheme="minorEastAsia" w:eastAsiaTheme="minorEastAsia"/>
          <w:sz w:val="32"/>
          <w:szCs w:val="32"/>
        </w:rPr>
        <w:br w:type="page"/>
      </w:r>
    </w:p>
    <w:p>
      <w:pPr>
        <w:pStyle w:val="11"/>
        <w:rPr>
          <w:rFonts w:asciiTheme="minorEastAsia" w:hAnsiTheme="minorEastAsia" w:eastAsiaTheme="minorEastAsia"/>
          <w:sz w:val="32"/>
          <w:szCs w:val="32"/>
        </w:rPr>
      </w:pPr>
    </w:p>
    <w:p>
      <w:pPr>
        <w:spacing w:line="60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rPr>
        <w:t>怀化市鹤城区</w:t>
      </w:r>
      <w:r>
        <w:rPr>
          <w:rFonts w:hint="eastAsia" w:ascii="宋体" w:hAnsi="宋体" w:eastAsia="宋体" w:cs="宋体"/>
          <w:b/>
          <w:bCs/>
          <w:sz w:val="36"/>
          <w:szCs w:val="36"/>
          <w:lang w:eastAsia="zh-CN"/>
        </w:rPr>
        <w:t>怀化市鹤城区迎丰街道办事处</w:t>
      </w:r>
    </w:p>
    <w:p>
      <w:pPr>
        <w:spacing w:line="600" w:lineRule="exact"/>
        <w:jc w:val="center"/>
        <w:rPr>
          <w:rFonts w:hint="eastAsia" w:ascii="宋体" w:hAnsi="宋体" w:eastAsia="宋体" w:cs="宋体"/>
          <w:b/>
          <w:bCs/>
          <w:sz w:val="36"/>
          <w:szCs w:val="36"/>
        </w:rPr>
      </w:pPr>
      <w:r>
        <w:rPr>
          <w:rFonts w:hint="eastAsia" w:ascii="宋体" w:hAnsi="宋体" w:eastAsia="宋体" w:cs="宋体"/>
          <w:b/>
          <w:bCs/>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hint="eastAsia" w:ascii="黑体" w:hAnsi="黑体" w:eastAsia="黑体" w:cs="黑体"/>
          <w:b/>
          <w:color w:val="000000"/>
          <w:kern w:val="0"/>
          <w:sz w:val="32"/>
          <w:szCs w:val="32"/>
          <w:lang w:val="en-US" w:eastAsia="zh-CN" w:bidi="ar-SA"/>
        </w:rPr>
      </w:pPr>
      <w:r>
        <w:rPr>
          <w:rFonts w:hint="eastAsia" w:ascii="黑体" w:hAnsi="黑体" w:eastAsia="黑体" w:cs="黑体"/>
          <w:b/>
          <w:color w:val="000000"/>
          <w:kern w:val="0"/>
          <w:sz w:val="32"/>
          <w:szCs w:val="32"/>
          <w:lang w:val="en-US" w:eastAsia="zh-CN" w:bidi="ar-SA"/>
        </w:rPr>
        <w:t>一、预算支出基本情况</w:t>
      </w:r>
    </w:p>
    <w:p>
      <w:pPr>
        <w:spacing w:line="600" w:lineRule="exact"/>
        <w:ind w:firstLine="640" w:firstLineChars="200"/>
        <w:rPr>
          <w:rFonts w:hint="eastAsia" w:ascii="宋体" w:hAnsi="宋体" w:eastAsia="宋体" w:cs="宋体"/>
          <w:sz w:val="32"/>
          <w:szCs w:val="32"/>
        </w:rPr>
      </w:pPr>
      <w:r>
        <w:rPr>
          <w:rFonts w:hint="eastAsia" w:ascii="宋体" w:hAnsi="宋体" w:eastAsia="宋体" w:cs="宋体"/>
          <w:b/>
          <w:sz w:val="32"/>
          <w:szCs w:val="32"/>
        </w:rPr>
        <w:t>（一）预算支出概况。</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2021年怀化市鹤城区迎丰街道办事处预算支出1994.91万元，其中人员支出1299.54万元，公用经费支出290.34万元，项目支出405.04万元。</w:t>
      </w:r>
    </w:p>
    <w:p>
      <w:pPr>
        <w:spacing w:line="600" w:lineRule="exact"/>
        <w:ind w:firstLine="640" w:firstLineChars="200"/>
        <w:rPr>
          <w:rFonts w:hint="eastAsia" w:ascii="宋体" w:hAnsi="宋体" w:eastAsia="宋体" w:cs="宋体"/>
          <w:b/>
          <w:sz w:val="32"/>
          <w:szCs w:val="32"/>
        </w:rPr>
      </w:pPr>
      <w:r>
        <w:rPr>
          <w:rFonts w:hint="eastAsia" w:ascii="宋体" w:hAnsi="宋体" w:eastAsia="宋体" w:cs="宋体"/>
          <w:b/>
          <w:sz w:val="32"/>
          <w:szCs w:val="32"/>
          <w:lang w:eastAsia="zh-CN"/>
        </w:rPr>
        <w:t>（</w:t>
      </w:r>
      <w:r>
        <w:rPr>
          <w:rFonts w:hint="eastAsia" w:ascii="宋体" w:hAnsi="宋体" w:eastAsia="宋体" w:cs="宋体"/>
          <w:b/>
          <w:sz w:val="32"/>
          <w:szCs w:val="32"/>
          <w:lang w:val="en-US" w:eastAsia="zh-CN"/>
        </w:rPr>
        <w:t>二）</w:t>
      </w:r>
      <w:r>
        <w:rPr>
          <w:rFonts w:hint="eastAsia" w:ascii="宋体" w:hAnsi="宋体" w:eastAsia="宋体" w:cs="宋体"/>
          <w:b/>
          <w:sz w:val="32"/>
          <w:szCs w:val="32"/>
        </w:rPr>
        <w:t>预算资金使用管理情况。</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我街道严格按照年初预算执行。在收到财政下达的各类款项后，按照资金用途，依据预算执行计划，及时拨付各项资金。</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针对项目资金，从源头入手，落实责任，完善制度，合理使用，加强监管，注重宣传，确保项目资金的管理使用高效率。一是加强领导，增强责任制意识。二是加强资金管理制度建设。结合单位实际，将各项经济活动划分到具体工作岗位，按照岗位确定任务、职责和权限，贯彻执行所制订的相关财务制度，加强制度执行的监督，使专项资金的财务管理有章可循。三是加强资金支出管理。坚持“专项核算、专人管理、专款专用”的原则，严禁挤占、挪用专项资金。</w:t>
      </w:r>
    </w:p>
    <w:p>
      <w:pPr>
        <w:spacing w:line="600" w:lineRule="exact"/>
        <w:ind w:firstLine="640" w:firstLineChars="200"/>
        <w:rPr>
          <w:rFonts w:hint="eastAsia" w:ascii="宋体" w:hAnsi="宋体" w:eastAsia="宋体" w:cs="宋体"/>
          <w:b/>
          <w:sz w:val="32"/>
          <w:szCs w:val="32"/>
          <w:lang w:eastAsia="zh-CN"/>
        </w:rPr>
      </w:pPr>
      <w:r>
        <w:rPr>
          <w:rFonts w:hint="eastAsia" w:ascii="宋体" w:hAnsi="宋体" w:eastAsia="宋体" w:cs="宋体"/>
          <w:b/>
          <w:sz w:val="32"/>
          <w:szCs w:val="32"/>
          <w:lang w:eastAsia="zh-CN"/>
        </w:rPr>
        <w:t>（</w:t>
      </w:r>
      <w:r>
        <w:rPr>
          <w:rFonts w:hint="eastAsia" w:ascii="宋体" w:hAnsi="宋体" w:eastAsia="宋体" w:cs="宋体"/>
          <w:b/>
          <w:sz w:val="32"/>
          <w:szCs w:val="32"/>
          <w:lang w:val="en-US" w:eastAsia="zh-CN"/>
        </w:rPr>
        <w:t>三）</w:t>
      </w:r>
      <w:r>
        <w:rPr>
          <w:rFonts w:hint="eastAsia" w:ascii="宋体" w:hAnsi="宋体" w:eastAsia="宋体" w:cs="宋体"/>
          <w:b/>
          <w:sz w:val="32"/>
          <w:szCs w:val="32"/>
          <w:lang w:eastAsia="zh-CN"/>
        </w:rPr>
        <w:t>预算支出绩效目标完成程度。</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社区工作经费保障了社区工作正常开展,保障人员工资及经费开支，保障辖区内各项工作的正常工作。服务辖区居民，促进了辖区内的和谐发展。人大基层平台建设经费推进基层人大服务平台建设，更好的服务群众。法律顾问费提高了本单位的人员的法律知识，及合同文书的质量。</w:t>
      </w:r>
    </w:p>
    <w:p>
      <w:pPr>
        <w:spacing w:line="600" w:lineRule="exact"/>
        <w:ind w:firstLine="640" w:firstLineChars="200"/>
        <w:rPr>
          <w:rFonts w:hint="eastAsia" w:ascii="黑体" w:hAnsi="黑体" w:eastAsia="黑体" w:cs="黑体"/>
          <w:b/>
          <w:color w:val="000000"/>
          <w:kern w:val="0"/>
          <w:sz w:val="32"/>
          <w:szCs w:val="32"/>
          <w:lang w:val="en-US" w:eastAsia="zh-CN" w:bidi="ar-SA"/>
        </w:rPr>
      </w:pPr>
      <w:r>
        <w:rPr>
          <w:rFonts w:hint="eastAsia" w:ascii="黑体" w:hAnsi="黑体" w:eastAsia="黑体" w:cs="黑体"/>
          <w:b/>
          <w:color w:val="000000"/>
          <w:kern w:val="0"/>
          <w:sz w:val="32"/>
          <w:szCs w:val="32"/>
          <w:lang w:val="en-US" w:eastAsia="zh-CN" w:bidi="ar-SA"/>
        </w:rPr>
        <w:t>二、绩效评价工作情况</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我街道在预算执行和支出绩效方面，按照规定严格执行，合理安排支出，使财政资金发挥最大效益。</w:t>
      </w:r>
    </w:p>
    <w:p>
      <w:pPr>
        <w:spacing w:line="600" w:lineRule="exact"/>
        <w:ind w:firstLine="640" w:firstLineChars="200"/>
        <w:rPr>
          <w:rFonts w:hint="eastAsia" w:ascii="黑体" w:hAnsi="黑体" w:eastAsia="黑体" w:cs="黑体"/>
          <w:b/>
          <w:color w:val="000000"/>
          <w:kern w:val="0"/>
          <w:sz w:val="32"/>
          <w:szCs w:val="32"/>
          <w:lang w:val="en-US" w:eastAsia="zh-CN" w:bidi="ar-SA"/>
        </w:rPr>
      </w:pPr>
      <w:r>
        <w:rPr>
          <w:rFonts w:hint="eastAsia" w:ascii="黑体" w:hAnsi="黑体" w:eastAsia="黑体" w:cs="黑体"/>
          <w:b/>
          <w:color w:val="000000"/>
          <w:kern w:val="0"/>
          <w:sz w:val="32"/>
          <w:szCs w:val="32"/>
          <w:lang w:val="en-US" w:eastAsia="zh-CN" w:bidi="ar-SA"/>
        </w:rPr>
        <w:t>三、预算支出主要绩效及评价结论</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我街道2021年的基本支出，保障了工作人员的基本工资，确保了基础性工作的运转。</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项目支出中，保障社区正常运行，更好的服务辖区居民，促进辖区经济发展，提高群众的满意度，促进辖区和谐发展。2022年本单位自评预算支出绩效评得分97分。</w:t>
      </w:r>
    </w:p>
    <w:p>
      <w:pPr>
        <w:spacing w:line="600" w:lineRule="exact"/>
        <w:ind w:firstLine="640" w:firstLineChars="200"/>
        <w:rPr>
          <w:rFonts w:hint="eastAsia" w:ascii="黑体" w:hAnsi="黑体" w:eastAsia="黑体" w:cs="黑体"/>
          <w:b/>
          <w:color w:val="000000"/>
          <w:kern w:val="0"/>
          <w:sz w:val="32"/>
          <w:szCs w:val="32"/>
          <w:lang w:val="en-US" w:eastAsia="zh-CN" w:bidi="ar-SA"/>
        </w:rPr>
      </w:pPr>
      <w:r>
        <w:rPr>
          <w:rFonts w:hint="eastAsia" w:ascii="黑体" w:hAnsi="黑体" w:eastAsia="黑体" w:cs="黑体"/>
          <w:b/>
          <w:color w:val="000000"/>
          <w:kern w:val="0"/>
          <w:sz w:val="32"/>
          <w:szCs w:val="32"/>
          <w:lang w:val="en-US" w:eastAsia="zh-CN" w:bidi="ar-SA"/>
        </w:rPr>
        <w:t>四、绩效评价指标分析</w:t>
      </w:r>
    </w:p>
    <w:p>
      <w:pPr>
        <w:spacing w:line="600" w:lineRule="exact"/>
        <w:ind w:firstLine="640" w:firstLineChars="200"/>
        <w:rPr>
          <w:rFonts w:hint="eastAsia" w:ascii="宋体" w:hAnsi="宋体" w:eastAsia="宋体" w:cs="宋体"/>
          <w:b/>
          <w:sz w:val="32"/>
          <w:szCs w:val="32"/>
          <w:lang w:eastAsia="zh-CN"/>
        </w:rPr>
      </w:pPr>
      <w:r>
        <w:rPr>
          <w:rFonts w:hint="eastAsia" w:ascii="宋体" w:hAnsi="宋体" w:eastAsia="宋体" w:cs="宋体"/>
          <w:b/>
          <w:sz w:val="32"/>
          <w:szCs w:val="32"/>
          <w:lang w:eastAsia="zh-CN"/>
        </w:rPr>
        <w:t>（一）预算支出决策情况</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按照年初预算绩效目标，合理安排资金的使用。</w:t>
      </w:r>
    </w:p>
    <w:p>
      <w:pPr>
        <w:spacing w:line="600" w:lineRule="exact"/>
        <w:ind w:firstLine="640" w:firstLineChars="200"/>
        <w:rPr>
          <w:rFonts w:hint="eastAsia" w:ascii="宋体" w:hAnsi="宋体" w:eastAsia="宋体" w:cs="宋体"/>
          <w:b/>
          <w:sz w:val="32"/>
          <w:szCs w:val="32"/>
          <w:lang w:eastAsia="zh-CN"/>
        </w:rPr>
      </w:pPr>
      <w:r>
        <w:rPr>
          <w:rFonts w:hint="eastAsia" w:ascii="宋体" w:hAnsi="宋体" w:eastAsia="宋体" w:cs="宋体"/>
          <w:b/>
          <w:sz w:val="32"/>
          <w:szCs w:val="32"/>
          <w:lang w:eastAsia="zh-CN"/>
        </w:rPr>
        <w:t>（</w:t>
      </w:r>
      <w:r>
        <w:rPr>
          <w:rFonts w:hint="eastAsia" w:ascii="宋体" w:hAnsi="宋体" w:eastAsia="宋体" w:cs="宋体"/>
          <w:b/>
          <w:sz w:val="32"/>
          <w:szCs w:val="32"/>
          <w:lang w:val="en-US" w:eastAsia="zh-CN"/>
        </w:rPr>
        <w:t>二）</w:t>
      </w:r>
      <w:r>
        <w:rPr>
          <w:rFonts w:hint="eastAsia" w:ascii="宋体" w:hAnsi="宋体" w:eastAsia="宋体" w:cs="宋体"/>
          <w:b/>
          <w:sz w:val="32"/>
          <w:szCs w:val="32"/>
          <w:lang w:eastAsia="zh-CN"/>
        </w:rPr>
        <w:t>预算执行过程情况</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强化绩效理念，提高财政资金使用效益，在预算执行中严格接受财政部门的监管。</w:t>
      </w:r>
    </w:p>
    <w:p>
      <w:pPr>
        <w:spacing w:line="600" w:lineRule="exact"/>
        <w:ind w:firstLine="640" w:firstLineChars="200"/>
        <w:rPr>
          <w:rFonts w:hint="eastAsia" w:ascii="宋体" w:hAnsi="宋体" w:eastAsia="宋体" w:cs="宋体"/>
          <w:b/>
          <w:sz w:val="32"/>
          <w:szCs w:val="32"/>
          <w:lang w:eastAsia="zh-CN"/>
        </w:rPr>
      </w:pPr>
      <w:r>
        <w:rPr>
          <w:rFonts w:hint="eastAsia" w:ascii="宋体" w:hAnsi="宋体" w:eastAsia="宋体" w:cs="宋体"/>
          <w:b/>
          <w:sz w:val="32"/>
          <w:szCs w:val="32"/>
          <w:lang w:eastAsia="zh-CN"/>
        </w:rPr>
        <w:t>（</w:t>
      </w:r>
      <w:r>
        <w:rPr>
          <w:rFonts w:hint="eastAsia" w:ascii="宋体" w:hAnsi="宋体" w:eastAsia="宋体" w:cs="宋体"/>
          <w:b/>
          <w:sz w:val="32"/>
          <w:szCs w:val="32"/>
          <w:lang w:val="en-US" w:eastAsia="zh-CN"/>
        </w:rPr>
        <w:t>三）</w:t>
      </w:r>
      <w:r>
        <w:rPr>
          <w:rFonts w:hint="eastAsia" w:ascii="宋体" w:hAnsi="宋体" w:eastAsia="宋体" w:cs="宋体"/>
          <w:b/>
          <w:sz w:val="32"/>
          <w:szCs w:val="32"/>
          <w:lang w:eastAsia="zh-CN"/>
        </w:rPr>
        <w:t>预算支出产出情况</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社区工作经费保障社区2021年的正常运行，更好的服务群众，促进社会和谐发展。人大基层平台建设经费推进基层人大服务平台建设，更好的服务群众。法律顾问费提高了本单位的人员的法律知识，及合同文书的质量。</w:t>
      </w:r>
    </w:p>
    <w:p>
      <w:pPr>
        <w:spacing w:line="600" w:lineRule="exact"/>
        <w:ind w:firstLine="640" w:firstLineChars="200"/>
        <w:rPr>
          <w:rFonts w:hint="eastAsia" w:ascii="宋体" w:hAnsi="宋体" w:eastAsia="宋体" w:cs="宋体"/>
          <w:b/>
          <w:sz w:val="32"/>
          <w:szCs w:val="32"/>
          <w:lang w:eastAsia="zh-CN"/>
        </w:rPr>
      </w:pPr>
      <w:r>
        <w:rPr>
          <w:rFonts w:hint="eastAsia" w:ascii="宋体" w:hAnsi="宋体" w:eastAsia="宋体" w:cs="宋体"/>
          <w:b/>
          <w:sz w:val="32"/>
          <w:szCs w:val="32"/>
          <w:lang w:eastAsia="zh-CN"/>
        </w:rPr>
        <w:t>（</w:t>
      </w:r>
      <w:r>
        <w:rPr>
          <w:rFonts w:hint="eastAsia" w:ascii="宋体" w:hAnsi="宋体" w:eastAsia="宋体" w:cs="宋体"/>
          <w:b/>
          <w:sz w:val="32"/>
          <w:szCs w:val="32"/>
          <w:lang w:val="en-US" w:eastAsia="zh-CN"/>
        </w:rPr>
        <w:t>四）</w:t>
      </w:r>
      <w:r>
        <w:rPr>
          <w:rFonts w:hint="eastAsia" w:ascii="宋体" w:hAnsi="宋体" w:eastAsia="宋体" w:cs="宋体"/>
          <w:b/>
          <w:sz w:val="32"/>
          <w:szCs w:val="32"/>
          <w:lang w:eastAsia="zh-CN"/>
        </w:rPr>
        <w:t>预算支出效益情况</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通过对预算资金的合理安排、使用，我街道基本完成了年初绩效目标，通过街道及社区的共同努力，创造了和谐、美丽的城市环境。</w:t>
      </w:r>
    </w:p>
    <w:p>
      <w:pPr>
        <w:spacing w:line="600" w:lineRule="exact"/>
        <w:ind w:firstLine="640" w:firstLineChars="200"/>
        <w:rPr>
          <w:rFonts w:hint="eastAsia" w:ascii="黑体" w:hAnsi="黑体" w:eastAsia="黑体" w:cs="黑体"/>
          <w:b/>
          <w:color w:val="000000"/>
          <w:kern w:val="0"/>
          <w:sz w:val="32"/>
          <w:szCs w:val="32"/>
          <w:lang w:val="en-US" w:eastAsia="zh-CN" w:bidi="ar-SA"/>
        </w:rPr>
      </w:pPr>
      <w:r>
        <w:rPr>
          <w:rFonts w:hint="eastAsia" w:ascii="黑体" w:hAnsi="黑体" w:eastAsia="黑体" w:cs="黑体"/>
          <w:b/>
          <w:color w:val="000000"/>
          <w:kern w:val="0"/>
          <w:sz w:val="32"/>
          <w:szCs w:val="32"/>
          <w:lang w:val="en-US" w:eastAsia="zh-CN" w:bidi="ar-SA"/>
        </w:rPr>
        <w:t>五、主要经验及做法、存在的问题及原因分析</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主要经验及做法：严格遵循财务制度，基本做到专款专用，严格资金审批程序，确保了项目质量，财政资金的安全。</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存在的问题：1、预算执行存在偏差；2、固定资产管理水平有待进一步提高。</w:t>
      </w:r>
    </w:p>
    <w:p>
      <w:pPr>
        <w:spacing w:line="600" w:lineRule="exact"/>
        <w:ind w:firstLine="640" w:firstLineChars="200"/>
        <w:rPr>
          <w:rFonts w:hint="eastAsia" w:ascii="黑体" w:hAnsi="黑体" w:eastAsia="黑体" w:cs="黑体"/>
          <w:b/>
          <w:color w:val="000000"/>
          <w:kern w:val="0"/>
          <w:sz w:val="32"/>
          <w:szCs w:val="32"/>
          <w:lang w:val="en-US" w:eastAsia="zh-CN" w:bidi="ar-SA"/>
        </w:rPr>
      </w:pPr>
      <w:r>
        <w:rPr>
          <w:rFonts w:hint="eastAsia" w:ascii="黑体" w:hAnsi="黑体" w:eastAsia="黑体" w:cs="黑体"/>
          <w:b/>
          <w:color w:val="000000"/>
          <w:kern w:val="0"/>
          <w:sz w:val="32"/>
          <w:szCs w:val="32"/>
          <w:lang w:val="en-US" w:eastAsia="zh-CN" w:bidi="ar-SA"/>
        </w:rPr>
        <w:t>六、有关建议</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1、科学合理编制预算，严格执行预算。按照新《预算法》及其实施条例的相关规定，按本部门的发展规划，结合上一年度预算执行情况和本年度预算收支变化因素，科学合理的编制本年度预算方案，避免预算支出与实际执行出现较大偏差情况。</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2、严格按照《固定资产管理办法》的规定加强固定资产管理，及时登记、加强资产卡片管理，年终前对各类实物资产进行全面盘点，确保账账、账实相符。</w:t>
      </w:r>
    </w:p>
    <w:p>
      <w:pPr>
        <w:spacing w:line="600" w:lineRule="exact"/>
        <w:ind w:firstLine="640" w:firstLineChars="200"/>
        <w:rPr>
          <w:rFonts w:hint="eastAsia" w:ascii="黑体" w:hAnsi="黑体" w:eastAsia="黑体" w:cs="黑体"/>
          <w:b/>
          <w:color w:val="000000"/>
          <w:kern w:val="0"/>
          <w:sz w:val="32"/>
          <w:szCs w:val="32"/>
          <w:lang w:val="en-US" w:eastAsia="zh-CN" w:bidi="ar-SA"/>
        </w:rPr>
      </w:pPr>
      <w:r>
        <w:rPr>
          <w:rFonts w:hint="eastAsia" w:ascii="黑体" w:hAnsi="黑体" w:eastAsia="黑体" w:cs="黑体"/>
          <w:b/>
          <w:color w:val="000000"/>
          <w:kern w:val="0"/>
          <w:sz w:val="32"/>
          <w:szCs w:val="32"/>
          <w:lang w:val="en-US" w:eastAsia="zh-CN" w:bidi="ar-SA"/>
        </w:rPr>
        <w:t>七、其他需要说明的问题</w:t>
      </w:r>
    </w:p>
    <w:p>
      <w:pPr>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无</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widowControl/>
        <w:jc w:val="left"/>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pStyle w:val="12"/>
        <w:widowControl/>
        <w:numPr>
          <w:ilvl w:val="0"/>
          <w:numId w:val="2"/>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pStyle w:val="12"/>
        <w:widowControl/>
        <w:spacing w:line="600" w:lineRule="exact"/>
        <w:ind w:left="640" w:firstLine="640"/>
        <w:rPr>
          <w:rFonts w:ascii="仿宋_GB2312" w:hAnsi="Times New Roman" w:eastAsia="仿宋_GB2312" w:cs="Times New Roman"/>
          <w:sz w:val="32"/>
          <w:szCs w:val="32"/>
        </w:rPr>
      </w:pPr>
      <w:r>
        <w:rPr>
          <w:rFonts w:hint="eastAsia" w:ascii="仿宋_GB2312" w:hAnsi="Times New Roman" w:eastAsia="仿宋_GB2312" w:cs="Times New Roman"/>
          <w:sz w:val="32"/>
          <w:szCs w:val="32"/>
          <w:lang w:eastAsia="zh-CN"/>
        </w:rPr>
        <w:t>怀化市鹤城区迎丰街道办事处</w:t>
      </w:r>
      <w:r>
        <w:rPr>
          <w:rFonts w:hint="eastAsia" w:ascii="仿宋_GB2312" w:hAnsi="Times New Roman" w:eastAsia="仿宋_GB2312" w:cs="Times New Roman"/>
          <w:sz w:val="32"/>
          <w:szCs w:val="32"/>
        </w:rPr>
        <w:t>系怀化市的政治中心，共辖迎丰、顺天桥、天生塘、长湾里、板桥铺、太平桥、团结、莲花池、华峰、府前、学林、银湾12个社区，辖区总面积11.75平方公里，总人口12万人。</w:t>
      </w:r>
    </w:p>
    <w:p>
      <w:pPr>
        <w:pStyle w:val="12"/>
        <w:widowControl/>
        <w:spacing w:line="600" w:lineRule="exact"/>
        <w:ind w:left="640" w:firstLine="640"/>
        <w:rPr>
          <w:rFonts w:ascii="仿宋_GB2312" w:hAnsi="Times New Roman" w:eastAsia="仿宋_GB2312" w:cs="Times New Roman"/>
          <w:sz w:val="32"/>
          <w:szCs w:val="32"/>
        </w:rPr>
      </w:pPr>
      <w:r>
        <w:rPr>
          <w:rFonts w:hint="eastAsia" w:ascii="仿宋_GB2312" w:hAnsi="Times New Roman" w:eastAsia="仿宋_GB2312" w:cs="Times New Roman"/>
          <w:sz w:val="32"/>
          <w:szCs w:val="32"/>
        </w:rPr>
        <w:t>1、单位机构设置</w:t>
      </w:r>
    </w:p>
    <w:p>
      <w:pPr>
        <w:pStyle w:val="12"/>
        <w:widowControl/>
        <w:spacing w:line="600" w:lineRule="exact"/>
        <w:ind w:left="640" w:firstLine="640"/>
        <w:rPr>
          <w:rFonts w:ascii="仿宋_GB2312" w:hAnsi="Times New Roman" w:eastAsia="仿宋_GB2312" w:cs="Times New Roman"/>
          <w:sz w:val="32"/>
          <w:szCs w:val="32"/>
        </w:rPr>
      </w:pPr>
      <w:r>
        <w:rPr>
          <w:rFonts w:hint="eastAsia" w:ascii="仿宋_GB2312" w:hAnsi="Times New Roman" w:eastAsia="仿宋_GB2312" w:cs="Times New Roman"/>
          <w:sz w:val="32"/>
          <w:szCs w:val="32"/>
          <w:lang w:eastAsia="zh-CN"/>
        </w:rPr>
        <w:t>怀化市鹤城区迎丰街道办事处</w:t>
      </w:r>
      <w:r>
        <w:rPr>
          <w:rFonts w:hint="eastAsia" w:ascii="仿宋_GB2312" w:hAnsi="Times New Roman" w:eastAsia="仿宋_GB2312" w:cs="Times New Roman"/>
          <w:sz w:val="32"/>
          <w:szCs w:val="32"/>
        </w:rPr>
        <w:t>属全额拨款的行政单位，下设党群办公室、综合办公室、综治维稳办公室、城市建设管理站、社会保障服务中心、社会事业发展服务中心、计生服务站。</w:t>
      </w:r>
    </w:p>
    <w:p>
      <w:pPr>
        <w:pStyle w:val="12"/>
        <w:widowControl/>
        <w:spacing w:line="600" w:lineRule="exact"/>
        <w:ind w:firstLine="1280" w:firstLineChars="4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2、主要工作职能</w:t>
      </w:r>
    </w:p>
    <w:p>
      <w:pPr>
        <w:pStyle w:val="12"/>
        <w:widowControl/>
        <w:spacing w:line="600" w:lineRule="exact"/>
        <w:ind w:left="640" w:firstLine="640"/>
        <w:rPr>
          <w:rFonts w:ascii="仿宋_GB2312" w:hAnsi="Times New Roman" w:eastAsia="仿宋_GB2312" w:cs="Times New Roman"/>
          <w:sz w:val="32"/>
          <w:szCs w:val="32"/>
        </w:rPr>
      </w:pPr>
      <w:r>
        <w:rPr>
          <w:rFonts w:hint="eastAsia" w:ascii="仿宋_GB2312" w:hAnsi="Times New Roman" w:eastAsia="仿宋_GB2312" w:cs="Times New Roman"/>
          <w:sz w:val="32"/>
          <w:szCs w:val="32"/>
          <w:lang w:eastAsia="zh-CN"/>
        </w:rPr>
        <w:t>怀化市鹤城区迎丰街道办事处</w:t>
      </w:r>
      <w:r>
        <w:rPr>
          <w:rFonts w:hint="eastAsia" w:ascii="仿宋_GB2312" w:hAnsi="Times New Roman" w:eastAsia="仿宋_GB2312" w:cs="Times New Roman"/>
          <w:sz w:val="32"/>
          <w:szCs w:val="32"/>
        </w:rPr>
        <w:t>在区委区政的正确领导下，负责承办政府各职能部门在本辖区开展的各项行政事业性事务，办理社会经济发展工作，负责落实党中央国务院一系列惠民政策等各事项，负责并积极做好与办事处辖区群众利益相关的社会保障、劳务输出、社会稳定、计划生育、优抚救济，社区自治及其他公益事业性工作。</w:t>
      </w:r>
    </w:p>
    <w:p>
      <w:pPr>
        <w:pStyle w:val="12"/>
        <w:widowControl/>
        <w:spacing w:line="600" w:lineRule="exact"/>
        <w:ind w:left="640" w:firstLine="640"/>
        <w:rPr>
          <w:rFonts w:ascii="仿宋_GB2312" w:hAnsi="Times New Roman" w:eastAsia="仿宋_GB2312" w:cs="Times New Roman"/>
          <w:sz w:val="32"/>
          <w:szCs w:val="32"/>
        </w:rPr>
      </w:pPr>
      <w:r>
        <w:rPr>
          <w:rFonts w:hint="eastAsia" w:ascii="仿宋_GB2312" w:hAnsi="Times New Roman" w:eastAsia="仿宋_GB2312" w:cs="Times New Roman"/>
          <w:sz w:val="32"/>
          <w:szCs w:val="32"/>
        </w:rPr>
        <w:t>3、人员编制情况</w:t>
      </w:r>
    </w:p>
    <w:p>
      <w:pPr>
        <w:pStyle w:val="12"/>
        <w:widowControl/>
        <w:spacing w:line="600" w:lineRule="exact"/>
        <w:ind w:left="640" w:firstLine="640"/>
        <w:rPr>
          <w:rFonts w:ascii="仿宋_GB2312" w:hAnsi="Times New Roman" w:eastAsia="仿宋_GB2312" w:cs="Times New Roman"/>
          <w:sz w:val="32"/>
          <w:szCs w:val="32"/>
        </w:rPr>
      </w:pPr>
      <w:r>
        <w:rPr>
          <w:rFonts w:hint="eastAsia" w:ascii="仿宋_GB2312" w:hAnsi="Times New Roman" w:eastAsia="仿宋_GB2312" w:cs="Times New Roman"/>
          <w:sz w:val="32"/>
          <w:szCs w:val="32"/>
        </w:rPr>
        <w:t>现有在职全额编制124人，（其中行政编制20人，事业编制104人）退休38人。</w:t>
      </w:r>
    </w:p>
    <w:p>
      <w:pPr>
        <w:pStyle w:val="12"/>
        <w:widowControl/>
        <w:numPr>
          <w:ilvl w:val="0"/>
          <w:numId w:val="2"/>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一般公共预算支出情况</w:t>
      </w:r>
    </w:p>
    <w:p>
      <w:pPr>
        <w:spacing w:line="560" w:lineRule="exact"/>
        <w:ind w:firstLine="640" w:firstLineChars="200"/>
        <w:jc w:val="left"/>
        <w:rPr>
          <w:rFonts w:ascii="仿宋_GB2312" w:eastAsia="仿宋_GB2312"/>
          <w:sz w:val="32"/>
          <w:szCs w:val="32"/>
        </w:rPr>
      </w:pPr>
      <w:r>
        <w:rPr>
          <w:rFonts w:hint="eastAsia" w:eastAsia="黑体"/>
          <w:sz w:val="32"/>
          <w:szCs w:val="32"/>
        </w:rPr>
        <w:t>（一）</w:t>
      </w:r>
      <w:r>
        <w:rPr>
          <w:rFonts w:eastAsia="黑体"/>
          <w:sz w:val="32"/>
          <w:szCs w:val="32"/>
        </w:rPr>
        <w:t>基本支出情况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2021年初预算数1658.61万元，2021年决算数</w:t>
      </w:r>
      <w:r>
        <w:rPr>
          <w:rFonts w:hint="eastAsia" w:asciiTheme="minorEastAsia" w:hAnsiTheme="minorEastAsia"/>
          <w:sz w:val="32"/>
          <w:szCs w:val="32"/>
        </w:rPr>
        <w:t>1589.88</w:t>
      </w:r>
      <w:r>
        <w:rPr>
          <w:rFonts w:hint="eastAsia" w:ascii="仿宋_GB2312" w:eastAsia="仿宋_GB2312"/>
          <w:sz w:val="32"/>
          <w:szCs w:val="32"/>
        </w:rPr>
        <w:t>万元。基本支出是指为保障单位机构正常运转、完成日常工作任务而发生的各项支出，包括用于基本工资、津贴补贴等人员经费以及办公费、印刷费、水电费、物业管理费等日常公用经费；</w:t>
      </w:r>
    </w:p>
    <w:p>
      <w:pPr>
        <w:pStyle w:val="12"/>
        <w:widowControl/>
        <w:spacing w:line="600" w:lineRule="exact"/>
        <w:ind w:firstLine="64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12"/>
        <w:widowControl/>
        <w:spacing w:line="600" w:lineRule="exact"/>
        <w:ind w:firstLine="640"/>
        <w:rPr>
          <w:rFonts w:ascii="Times New Roman" w:hAnsi="Times New Roman" w:eastAsia="仿宋_GB2312"/>
          <w:sz w:val="32"/>
          <w:szCs w:val="32"/>
        </w:rPr>
      </w:pPr>
      <w:r>
        <w:rPr>
          <w:rFonts w:hint="eastAsia" w:ascii="仿宋_GB2312" w:eastAsia="仿宋_GB2312"/>
          <w:sz w:val="32"/>
          <w:szCs w:val="32"/>
        </w:rPr>
        <w:t>2021年项目支出405.04万元。</w:t>
      </w:r>
    </w:p>
    <w:p>
      <w:pPr>
        <w:numPr>
          <w:ilvl w:val="0"/>
          <w:numId w:val="3"/>
        </w:numPr>
        <w:spacing w:line="560" w:lineRule="exact"/>
        <w:ind w:firstLine="640" w:firstLineChars="200"/>
        <w:jc w:val="left"/>
        <w:rPr>
          <w:rFonts w:eastAsia="黑体"/>
          <w:sz w:val="32"/>
          <w:szCs w:val="32"/>
        </w:rPr>
      </w:pPr>
      <w:r>
        <w:rPr>
          <w:rFonts w:eastAsia="黑体"/>
          <w:sz w:val="32"/>
          <w:szCs w:val="32"/>
        </w:rPr>
        <w:t>政府性基金预算支出情况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2021年政府性基金支出为</w:t>
      </w:r>
      <w:r>
        <w:rPr>
          <w:rFonts w:ascii="仿宋_GB2312" w:eastAsia="仿宋_GB2312"/>
          <w:sz w:val="32"/>
          <w:szCs w:val="32"/>
        </w:rPr>
        <w:t>0</w:t>
      </w:r>
      <w:r>
        <w:rPr>
          <w:rFonts w:hint="eastAsia" w:ascii="仿宋_GB2312" w:eastAsia="仿宋_GB2312"/>
          <w:sz w:val="32"/>
          <w:szCs w:val="32"/>
        </w:rPr>
        <w:t>万元。</w:t>
      </w:r>
    </w:p>
    <w:p>
      <w:pPr>
        <w:pStyle w:val="12"/>
        <w:widowControl/>
        <w:numPr>
          <w:ilvl w:val="0"/>
          <w:numId w:val="3"/>
        </w:numPr>
        <w:spacing w:line="600" w:lineRule="exact"/>
        <w:ind w:firstLine="64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2021年国有资本经营支出为</w:t>
      </w:r>
      <w:r>
        <w:rPr>
          <w:rFonts w:ascii="仿宋_GB2312" w:eastAsia="仿宋_GB2312"/>
          <w:sz w:val="32"/>
          <w:szCs w:val="32"/>
        </w:rPr>
        <w:t>0</w:t>
      </w:r>
      <w:r>
        <w:rPr>
          <w:rFonts w:hint="eastAsia" w:ascii="仿宋_GB2312" w:eastAsia="仿宋_GB2312"/>
          <w:sz w:val="32"/>
          <w:szCs w:val="32"/>
        </w:rPr>
        <w:t>万元。</w:t>
      </w:r>
    </w:p>
    <w:p>
      <w:pPr>
        <w:pStyle w:val="12"/>
        <w:widowControl/>
        <w:numPr>
          <w:ilvl w:val="0"/>
          <w:numId w:val="3"/>
        </w:numPr>
        <w:spacing w:line="600" w:lineRule="exact"/>
        <w:ind w:firstLine="64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spacing w:line="560" w:lineRule="exact"/>
        <w:ind w:firstLine="640" w:firstLineChars="200"/>
        <w:jc w:val="left"/>
        <w:rPr>
          <w:rFonts w:eastAsia="黑体"/>
          <w:sz w:val="32"/>
          <w:szCs w:val="32"/>
        </w:rPr>
      </w:pPr>
      <w:r>
        <w:rPr>
          <w:rFonts w:hint="eastAsia" w:ascii="仿宋_GB2312" w:eastAsia="仿宋_GB2312"/>
          <w:sz w:val="32"/>
          <w:szCs w:val="32"/>
        </w:rPr>
        <w:t>2021年社会保险基金支出为</w:t>
      </w:r>
      <w:r>
        <w:rPr>
          <w:rFonts w:ascii="仿宋_GB2312" w:eastAsia="仿宋_GB2312"/>
          <w:sz w:val="32"/>
          <w:szCs w:val="32"/>
        </w:rPr>
        <w:t>0</w:t>
      </w:r>
      <w:r>
        <w:rPr>
          <w:rFonts w:hint="eastAsia" w:ascii="仿宋_GB2312" w:eastAsia="仿宋_GB2312"/>
          <w:sz w:val="32"/>
          <w:szCs w:val="32"/>
        </w:rPr>
        <w:t>万元。</w:t>
      </w:r>
    </w:p>
    <w:p>
      <w:pPr>
        <w:widowControl/>
        <w:spacing w:line="600" w:lineRule="exact"/>
        <w:ind w:firstLine="640" w:firstLineChars="200"/>
        <w:jc w:val="left"/>
        <w:rPr>
          <w:rFonts w:eastAsia="黑体"/>
          <w:sz w:val="32"/>
          <w:szCs w:val="32"/>
        </w:rPr>
      </w:pPr>
      <w:r>
        <w:rPr>
          <w:rFonts w:eastAsia="黑体"/>
          <w:sz w:val="32"/>
          <w:szCs w:val="32"/>
        </w:rPr>
        <w:t>六、部门整体支出绩效情况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2021年基本支出:1589.88万元，其中人员经费支出1299.54万元;公用经费支出290.34万元。</w:t>
      </w:r>
    </w:p>
    <w:p>
      <w:pPr>
        <w:pStyle w:val="12"/>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pStyle w:val="12"/>
        <w:widowControl/>
        <w:spacing w:line="600" w:lineRule="exact"/>
        <w:ind w:left="640" w:firstLine="0" w:firstLineChars="0"/>
        <w:jc w:val="left"/>
        <w:rPr>
          <w:rFonts w:eastAsia="黑体"/>
          <w:sz w:val="32"/>
          <w:szCs w:val="32"/>
        </w:rPr>
      </w:pPr>
      <w:r>
        <w:rPr>
          <w:rFonts w:hint="eastAsia" w:eastAsia="仿宋_GB2312"/>
          <w:sz w:val="32"/>
          <w:szCs w:val="32"/>
        </w:rPr>
        <w:t>主要存在的问题在于预算执行有偏差，形成的原因为突发状况导致的支出与预算有偏差。</w:t>
      </w:r>
    </w:p>
    <w:p>
      <w:pPr>
        <w:widowControl/>
        <w:numPr>
          <w:ilvl w:val="0"/>
          <w:numId w:val="4"/>
        </w:numPr>
        <w:spacing w:line="600" w:lineRule="exact"/>
        <w:ind w:firstLine="640" w:firstLineChars="200"/>
        <w:jc w:val="left"/>
        <w:rPr>
          <w:rFonts w:eastAsia="黑体"/>
          <w:sz w:val="32"/>
          <w:szCs w:val="32"/>
        </w:rPr>
      </w:pPr>
      <w:r>
        <w:rPr>
          <w:rFonts w:eastAsia="黑体"/>
          <w:sz w:val="32"/>
          <w:szCs w:val="32"/>
        </w:rPr>
        <w:t>下一步改进措施</w:t>
      </w:r>
    </w:p>
    <w:p>
      <w:pPr>
        <w:widowControl/>
        <w:spacing w:line="600" w:lineRule="exact"/>
        <w:ind w:firstLine="645"/>
        <w:jc w:val="left"/>
      </w:pPr>
      <w:r>
        <w:rPr>
          <w:rFonts w:hint="eastAsia" w:eastAsia="仿宋_GB2312"/>
          <w:color w:val="000000"/>
          <w:sz w:val="32"/>
          <w:szCs w:val="32"/>
        </w:rPr>
        <w:t>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pPr>
        <w:widowControl/>
        <w:numPr>
          <w:ilvl w:val="0"/>
          <w:numId w:val="4"/>
        </w:numPr>
        <w:spacing w:line="600" w:lineRule="exact"/>
        <w:ind w:firstLine="640" w:firstLineChars="200"/>
        <w:jc w:val="left"/>
        <w:rPr>
          <w:rFonts w:eastAsia="黑体"/>
          <w:sz w:val="32"/>
          <w:szCs w:val="32"/>
        </w:rPr>
      </w:pPr>
      <w:r>
        <w:rPr>
          <w:rFonts w:eastAsia="黑体"/>
          <w:sz w:val="32"/>
          <w:szCs w:val="32"/>
        </w:rPr>
        <w:t>其他需要说明的情况</w:t>
      </w:r>
    </w:p>
    <w:p>
      <w:pPr>
        <w:widowControl/>
        <w:spacing w:line="600" w:lineRule="exact"/>
        <w:ind w:left="420" w:leftChars="200"/>
        <w:jc w:val="left"/>
        <w:rPr>
          <w:rFonts w:eastAsia="仿宋_GB2312"/>
          <w:sz w:val="32"/>
          <w:szCs w:val="32"/>
        </w:rPr>
      </w:pPr>
      <w:r>
        <w:rPr>
          <w:rFonts w:hint="eastAsia" w:eastAsia="仿宋_GB2312"/>
          <w:sz w:val="32"/>
          <w:szCs w:val="32"/>
        </w:rPr>
        <w:t xml:space="preserve"> 无</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1BF1C3"/>
    <w:multiLevelType w:val="singleLevel"/>
    <w:tmpl w:val="ED1BF1C3"/>
    <w:lvl w:ilvl="0" w:tentative="0">
      <w:start w:val="1"/>
      <w:numFmt w:val="chineseCounting"/>
      <w:suff w:val="nothing"/>
      <w:lvlText w:val="%1、"/>
      <w:lvlJc w:val="left"/>
      <w:rPr>
        <w:rFonts w:hint="eastAsia"/>
      </w:rPr>
    </w:lvl>
  </w:abstractNum>
  <w:abstractNum w:abstractNumId="1">
    <w:nsid w:val="F613CC65"/>
    <w:multiLevelType w:val="singleLevel"/>
    <w:tmpl w:val="F613CC65"/>
    <w:lvl w:ilvl="0" w:tentative="0">
      <w:start w:val="3"/>
      <w:numFmt w:val="chineseCounting"/>
      <w:suff w:val="nothing"/>
      <w:lvlText w:val="%1、"/>
      <w:lvlJc w:val="left"/>
      <w:rPr>
        <w:rFonts w:hint="eastAsia"/>
      </w:rPr>
    </w:lvl>
  </w:abstractNum>
  <w:abstractNum w:abstractNumId="2">
    <w:nsid w:val="12AD9BD8"/>
    <w:multiLevelType w:val="singleLevel"/>
    <w:tmpl w:val="12AD9BD8"/>
    <w:lvl w:ilvl="0" w:tentative="0">
      <w:start w:val="8"/>
      <w:numFmt w:val="chineseCounting"/>
      <w:suff w:val="nothing"/>
      <w:lvlText w:val="%1、"/>
      <w:lvlJc w:val="left"/>
      <w:rPr>
        <w:rFonts w:hint="eastAsia"/>
      </w:rPr>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451F8"/>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05297"/>
    <w:rsid w:val="00A37EC9"/>
    <w:rsid w:val="00A42218"/>
    <w:rsid w:val="00A70249"/>
    <w:rsid w:val="00A70B02"/>
    <w:rsid w:val="00A71D9F"/>
    <w:rsid w:val="00A92E9F"/>
    <w:rsid w:val="00B02AE3"/>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23B2730D"/>
    <w:rsid w:val="33367C29"/>
    <w:rsid w:val="48322DCD"/>
    <w:rsid w:val="5621694E"/>
    <w:rsid w:val="68B72932"/>
    <w:rsid w:val="73253A2E"/>
    <w:rsid w:val="745974E9"/>
    <w:rsid w:val="7FEF1E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1451</Words>
  <Characters>8273</Characters>
  <Lines>68</Lines>
  <Paragraphs>19</Paragraphs>
  <TotalTime>1</TotalTime>
  <ScaleCrop>false</ScaleCrop>
  <LinksUpToDate>false</LinksUpToDate>
  <CharactersWithSpaces>9705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2022-11-21T00:20:00Z</dcterms:created>
  <dc:creator>李航 null</dc:creator>
  <cp:lastModifiedBy>yanyan小朋友 </cp:lastModifiedBy>
  <cp:lastPrinted>2022-07-27T12:55:00Z</cp:lastPrinted>
  <dcterms:modified xsi:type="dcterms:W3CDTF">2023-09-27T19:20:09Z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00AFE30A3662488FB49185F6B606D4BB</vt:lpwstr>
  </property>
</Properties>
</file>