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2021年度</w:t>
      </w:r>
    </w:p>
    <w:p>
      <w:pPr>
        <w:pStyle w:val="11"/>
        <w:jc w:val="center"/>
        <w:rPr>
          <w:rFonts w:hint="eastAsia"/>
          <w:sz w:val="84"/>
          <w:szCs w:val="84"/>
          <w:lang w:val="en-US" w:eastAsia="zh-CN"/>
        </w:rPr>
      </w:pPr>
      <w:r>
        <w:rPr>
          <w:rFonts w:hint="eastAsia"/>
          <w:sz w:val="84"/>
          <w:szCs w:val="84"/>
          <w:lang w:val="en-US" w:eastAsia="zh-CN"/>
        </w:rPr>
        <w:t>怀化市鹤城区乡村振兴局</w:t>
      </w:r>
    </w:p>
    <w:p>
      <w:pPr>
        <w:pStyle w:val="11"/>
        <w:jc w:val="center"/>
        <w:rPr>
          <w:sz w:val="84"/>
          <w:szCs w:val="84"/>
        </w:rPr>
      </w:pPr>
      <w:r>
        <w:rPr>
          <w:rFonts w:hint="eastAsia"/>
          <w:sz w:val="84"/>
          <w:szCs w:val="84"/>
        </w:rPr>
        <w:t>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spacing w:line="500" w:lineRule="exact"/>
        <w:jc w:val="both"/>
        <w:rPr>
          <w:b/>
          <w:sz w:val="36"/>
          <w:szCs w:val="28"/>
        </w:rPr>
      </w:pPr>
    </w:p>
    <w:p>
      <w:pPr>
        <w:pStyle w:val="11"/>
        <w:spacing w:line="500" w:lineRule="exact"/>
        <w:jc w:val="both"/>
        <w:rPr>
          <w:b/>
          <w:sz w:val="36"/>
          <w:szCs w:val="28"/>
        </w:rPr>
      </w:pPr>
    </w:p>
    <w:p>
      <w:pPr>
        <w:pStyle w:val="11"/>
        <w:spacing w:line="500" w:lineRule="exact"/>
        <w:jc w:val="center"/>
        <w:rPr>
          <w:b/>
          <w:sz w:val="36"/>
          <w:szCs w:val="28"/>
        </w:rPr>
      </w:pPr>
      <w:r>
        <w:rPr>
          <w:rFonts w:hint="eastAsia"/>
          <w:b/>
          <w:sz w:val="36"/>
          <w:szCs w:val="28"/>
        </w:rPr>
        <w:t>目录</w:t>
      </w:r>
    </w:p>
    <w:p>
      <w:pPr>
        <w:pStyle w:val="11"/>
        <w:spacing w:line="500" w:lineRule="exact"/>
        <w:rPr>
          <w:rFonts w:ascii="仿宋_GB2312" w:hAnsi="仿宋_GB2312" w:cs="仿宋_GB2312"/>
          <w:b/>
          <w:sz w:val="28"/>
          <w:szCs w:val="28"/>
        </w:rPr>
      </w:pPr>
      <w:r>
        <w:rPr>
          <w:rFonts w:hint="eastAsia"/>
          <w:b/>
          <w:sz w:val="28"/>
          <w:szCs w:val="28"/>
        </w:rPr>
        <w:t>第一部分单位概况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rFonts w:hint="eastAsia"/>
          <w:sz w:val="84"/>
          <w:szCs w:val="84"/>
        </w:rPr>
        <w:t>第一部分</w:t>
      </w:r>
    </w:p>
    <w:p>
      <w:pPr>
        <w:pStyle w:val="11"/>
        <w:jc w:val="center"/>
        <w:rPr>
          <w:sz w:val="84"/>
          <w:szCs w:val="84"/>
        </w:rPr>
      </w:pPr>
    </w:p>
    <w:p>
      <w:pPr>
        <w:pStyle w:val="11"/>
        <w:jc w:val="center"/>
        <w:rPr>
          <w:rFonts w:hint="eastAsia"/>
          <w:sz w:val="84"/>
          <w:szCs w:val="84"/>
          <w:lang w:val="en-US" w:eastAsia="zh-CN"/>
        </w:rPr>
      </w:pPr>
      <w:r>
        <w:rPr>
          <w:rFonts w:hint="eastAsia"/>
          <w:sz w:val="84"/>
          <w:szCs w:val="84"/>
          <w:lang w:val="en-US" w:eastAsia="zh-CN"/>
        </w:rPr>
        <w:t>怀化市鹤城区乡村振兴局</w:t>
      </w:r>
    </w:p>
    <w:p>
      <w:pPr>
        <w:pStyle w:val="11"/>
        <w:jc w:val="center"/>
        <w:rPr>
          <w:sz w:val="84"/>
          <w:szCs w:val="84"/>
        </w:rPr>
      </w:pP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0" w:leftChars="0" w:firstLine="0" w:firstLineChars="0"/>
        <w:jc w:val="left"/>
        <w:rPr>
          <w:rFonts w:ascii="黑体" w:hAnsi="黑体" w:eastAsia="黑体"/>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640" w:firstLineChars="200"/>
        <w:rPr>
          <w:rFonts w:hint="eastAsia" w:ascii="宋体" w:hAnsi="宋体" w:eastAsia="宋体" w:cs="宋体"/>
          <w:sz w:val="32"/>
          <w:szCs w:val="32"/>
          <w:lang w:eastAsia="zh-CN"/>
        </w:rPr>
      </w:pPr>
      <w:r>
        <w:rPr>
          <w:rFonts w:hint="eastAsia" w:ascii="宋体" w:hAnsi="宋体" w:eastAsia="宋体" w:cs="宋体"/>
          <w:sz w:val="32"/>
          <w:szCs w:val="32"/>
        </w:rPr>
        <w:t>（一）负责组织、协调、指导全区脱贫攻坚工作，组织实施精准扶贫、精准脱贫</w:t>
      </w:r>
      <w:r>
        <w:rPr>
          <w:rFonts w:hint="eastAsia" w:ascii="宋体" w:hAnsi="宋体" w:eastAsia="宋体" w:cs="宋体"/>
          <w:sz w:val="32"/>
          <w:szCs w:val="32"/>
          <w:lang w:eastAsia="zh-CN"/>
        </w:rPr>
        <w:t>；</w:t>
      </w:r>
    </w:p>
    <w:p>
      <w:pPr>
        <w:ind w:firstLine="640" w:firstLineChars="200"/>
        <w:rPr>
          <w:rFonts w:hint="eastAsia" w:ascii="宋体" w:hAnsi="宋体" w:eastAsia="宋体" w:cs="宋体"/>
          <w:sz w:val="32"/>
          <w:szCs w:val="32"/>
          <w:lang w:eastAsia="zh-CN"/>
        </w:rPr>
      </w:pPr>
      <w:r>
        <w:rPr>
          <w:rFonts w:hint="eastAsia" w:ascii="宋体" w:hAnsi="宋体" w:eastAsia="宋体" w:cs="宋体"/>
          <w:sz w:val="32"/>
          <w:szCs w:val="32"/>
        </w:rPr>
        <w:t>（二）负责组织开展扶贫信息体系建设，建立扶贫开发统计监测体系，指导扶贫系统统计和信息化建设工作</w:t>
      </w:r>
      <w:r>
        <w:rPr>
          <w:rFonts w:hint="eastAsia" w:ascii="宋体" w:hAnsi="宋体" w:eastAsia="宋体" w:cs="宋体"/>
          <w:sz w:val="32"/>
          <w:szCs w:val="32"/>
          <w:lang w:eastAsia="zh-CN"/>
        </w:rPr>
        <w:t>；</w:t>
      </w:r>
    </w:p>
    <w:p>
      <w:pPr>
        <w:ind w:firstLine="640" w:firstLineChars="200"/>
        <w:rPr>
          <w:rFonts w:hint="eastAsia" w:ascii="宋体" w:hAnsi="宋体" w:eastAsia="宋体" w:cs="宋体"/>
          <w:sz w:val="32"/>
          <w:szCs w:val="32"/>
          <w:lang w:eastAsia="zh-CN"/>
        </w:rPr>
      </w:pPr>
      <w:r>
        <w:rPr>
          <w:rFonts w:hint="eastAsia" w:ascii="宋体" w:hAnsi="宋体" w:eastAsia="宋体" w:cs="宋体"/>
          <w:sz w:val="32"/>
          <w:szCs w:val="32"/>
        </w:rPr>
        <w:t>（三）负责会同有关部门组织开展全区脱贫攻坚督查、考核工作</w:t>
      </w:r>
      <w:r>
        <w:rPr>
          <w:rFonts w:hint="eastAsia" w:ascii="宋体" w:hAnsi="宋体" w:eastAsia="宋体" w:cs="宋体"/>
          <w:sz w:val="32"/>
          <w:szCs w:val="32"/>
          <w:lang w:eastAsia="zh-CN"/>
        </w:rPr>
        <w:t>；</w:t>
      </w:r>
    </w:p>
    <w:p>
      <w:pPr>
        <w:ind w:firstLine="640" w:firstLineChars="200"/>
        <w:rPr>
          <w:rFonts w:hint="eastAsia" w:ascii="宋体" w:hAnsi="宋体" w:eastAsia="宋体" w:cs="宋体"/>
          <w:sz w:val="32"/>
          <w:szCs w:val="32"/>
          <w:lang w:eastAsia="zh-CN"/>
        </w:rPr>
      </w:pPr>
      <w:r>
        <w:rPr>
          <w:rFonts w:hint="eastAsia" w:ascii="宋体" w:hAnsi="宋体" w:eastAsia="宋体" w:cs="宋体"/>
          <w:sz w:val="32"/>
          <w:szCs w:val="32"/>
        </w:rPr>
        <w:t>（四）承担协调扶贫开发系统风险防控、涉贫信访和舆情处理工作</w:t>
      </w:r>
      <w:r>
        <w:rPr>
          <w:rFonts w:hint="eastAsia" w:ascii="宋体" w:hAnsi="宋体" w:eastAsia="宋体" w:cs="宋体"/>
          <w:sz w:val="32"/>
          <w:szCs w:val="32"/>
          <w:lang w:eastAsia="zh-CN"/>
        </w:rPr>
        <w:t>；</w:t>
      </w:r>
    </w:p>
    <w:p>
      <w:pPr>
        <w:ind w:firstLine="640" w:firstLineChars="200"/>
        <w:rPr>
          <w:rFonts w:ascii="宋体" w:hAnsi="宋体" w:eastAsia="宋体" w:cs="宋体"/>
          <w:sz w:val="32"/>
          <w:szCs w:val="32"/>
        </w:rPr>
      </w:pPr>
      <w:r>
        <w:rPr>
          <w:rFonts w:hint="eastAsia" w:ascii="宋体" w:hAnsi="宋体" w:eastAsia="宋体" w:cs="宋体"/>
          <w:sz w:val="32"/>
          <w:szCs w:val="32"/>
        </w:rPr>
        <w:t>（五）完成区扶贫开发领导小组交办的工作。</w:t>
      </w:r>
    </w:p>
    <w:p>
      <w:pPr>
        <w:widowControl/>
        <w:spacing w:line="600" w:lineRule="exact"/>
        <w:rPr>
          <w:rFonts w:hint="eastAsia"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640" w:firstLineChars="200"/>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（一）内设机构设置。乡村振兴局单位内设机构包括：</w:t>
      </w:r>
      <w:r>
        <w:rPr>
          <w:rFonts w:hint="eastAsia" w:ascii="宋体" w:hAnsi="宋体" w:eastAsia="宋体" w:cs="宋体"/>
          <w:sz w:val="32"/>
          <w:szCs w:val="32"/>
        </w:rPr>
        <w:t>综合股（加挂人事股、驻村指导和督查股、贫困监测股）</w:t>
      </w:r>
      <w:r>
        <w:rPr>
          <w:rFonts w:hint="eastAsia" w:ascii="宋体" w:hAnsi="宋体" w:eastAsia="宋体" w:cs="宋体"/>
          <w:sz w:val="32"/>
          <w:szCs w:val="32"/>
          <w:lang w:eastAsia="zh-CN"/>
        </w:rPr>
        <w:t>、</w:t>
      </w:r>
      <w:r>
        <w:rPr>
          <w:rFonts w:hint="eastAsia" w:ascii="宋体" w:hAnsi="宋体" w:eastAsia="宋体" w:cs="宋体"/>
          <w:sz w:val="32"/>
          <w:szCs w:val="32"/>
        </w:rPr>
        <w:t>规划财务和项目股</w:t>
      </w:r>
      <w:r>
        <w:rPr>
          <w:rFonts w:hint="eastAsia" w:ascii="宋体" w:hAnsi="宋体" w:eastAsia="宋体" w:cs="宋体"/>
          <w:sz w:val="32"/>
          <w:szCs w:val="32"/>
          <w:lang w:eastAsia="zh-CN"/>
        </w:rPr>
        <w:t>、</w:t>
      </w:r>
      <w:r>
        <w:rPr>
          <w:rFonts w:hint="eastAsia" w:ascii="宋体" w:hAnsi="宋体" w:eastAsia="宋体" w:cs="宋体"/>
          <w:sz w:val="32"/>
          <w:szCs w:val="32"/>
        </w:rPr>
        <w:t>行业协调和社会扶贫股</w:t>
      </w:r>
      <w:r>
        <w:rPr>
          <w:rFonts w:hint="eastAsia"/>
          <w:lang w:eastAsia="zh-CN"/>
        </w:rPr>
        <w:t>。</w:t>
      </w:r>
    </w:p>
    <w:p>
      <w:pPr>
        <w:widowControl/>
        <w:spacing w:line="600" w:lineRule="exact"/>
        <w:ind w:firstLine="640" w:firstLineChars="200"/>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（二）决算单位构成。区乡村振兴局单位</w:t>
      </w:r>
      <w:r>
        <w:rPr>
          <w:rFonts w:asciiTheme="minorEastAsia" w:hAnsiTheme="minorEastAsia"/>
          <w:bCs/>
          <w:kern w:val="0"/>
          <w:sz w:val="32"/>
          <w:szCs w:val="32"/>
        </w:rPr>
        <w:t>20</w:t>
      </w:r>
      <w:r>
        <w:rPr>
          <w:rFonts w:hint="eastAsia" w:asciiTheme="minorEastAsia" w:hAnsiTheme="minorEastAsia"/>
          <w:bCs/>
          <w:kern w:val="0"/>
          <w:sz w:val="32"/>
          <w:szCs w:val="32"/>
        </w:rPr>
        <w:t>21年部门决算汇总公开单位构成包括：乡村振兴局单位本级</w:t>
      </w:r>
      <w:r>
        <w:rPr>
          <w:rFonts w:hint="eastAsia" w:asciiTheme="minorEastAsia" w:hAnsiTheme="minorEastAsia"/>
          <w:bCs/>
          <w:kern w:val="0"/>
          <w:sz w:val="32"/>
          <w:szCs w:val="32"/>
          <w:lang w:eastAsia="zh-CN"/>
        </w:rPr>
        <w:t>。</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both"/>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both"/>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1"/>
        <w:rPr>
          <w:sz w:val="72"/>
          <w:szCs w:val="72"/>
        </w:rPr>
      </w:pPr>
    </w:p>
    <w:p>
      <w:pPr>
        <w:pStyle w:val="11"/>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1"/>
        <w:rPr>
          <w:rFonts w:asciiTheme="minorEastAsia" w:hAnsiTheme="minorEastAsia" w:eastAsiaTheme="minorEastAsia"/>
          <w:sz w:val="32"/>
          <w:szCs w:val="32"/>
        </w:rPr>
      </w:pPr>
    </w:p>
    <w:p>
      <w:pPr>
        <w:pStyle w:val="11"/>
        <w:rPr>
          <w:rFonts w:hAnsi="黑体"/>
          <w:b/>
          <w:sz w:val="32"/>
          <w:szCs w:val="32"/>
        </w:rPr>
      </w:pPr>
      <w:r>
        <w:rPr>
          <w:rFonts w:hint="eastAsia" w:hAnsi="黑体"/>
          <w:b/>
          <w:sz w:val="32"/>
          <w:szCs w:val="32"/>
        </w:rPr>
        <w:t>一、收入支出决算总体情况说明</w:t>
      </w:r>
    </w:p>
    <w:p>
      <w:pPr>
        <w:pStyle w:val="11"/>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2021年度收入合计770.1万元</w:t>
      </w:r>
      <w:r>
        <w:rPr>
          <w:rFonts w:hint="eastAsia"/>
          <w:lang w:eastAsia="zh-CN"/>
        </w:rPr>
        <w:t>，</w:t>
      </w:r>
      <w:r>
        <w:rPr>
          <w:rFonts w:hint="eastAsia" w:asciiTheme="minorEastAsia" w:hAnsiTheme="minorEastAsia" w:eastAsiaTheme="minorEastAsia"/>
          <w:sz w:val="32"/>
          <w:szCs w:val="32"/>
          <w:lang w:val="en-US" w:eastAsia="zh-CN"/>
        </w:rPr>
        <w:t>年初结转和结余0.11万元，收入总计770.2万元。与上年相比，增加152.05万元，增长24%，主要是因为增加了为全区农村人口购买了返贫保险项目等。</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2021年度支出合计770.2万元。与上年相比</w:t>
      </w:r>
      <w:r>
        <w:rPr>
          <w:rFonts w:hint="eastAsia" w:asciiTheme="minorEastAsia" w:hAnsiTheme="minorEastAsia" w:eastAsiaTheme="minorEastAsia"/>
          <w:sz w:val="32"/>
          <w:szCs w:val="32"/>
        </w:rPr>
        <w:t>，增加149.78万元，增长24%，主要是因为增加了为全区农村人口购买了返贫保险等。</w:t>
      </w:r>
    </w:p>
    <w:p>
      <w:pPr>
        <w:pStyle w:val="11"/>
        <w:rPr>
          <w:rFonts w:hAnsi="黑体"/>
          <w:b/>
          <w:sz w:val="32"/>
          <w:szCs w:val="32"/>
        </w:rPr>
      </w:pPr>
      <w:r>
        <w:rPr>
          <w:rFonts w:hint="eastAsia" w:hAnsi="黑体"/>
          <w:b/>
          <w:sz w:val="32"/>
          <w:szCs w:val="32"/>
        </w:rPr>
        <w:t>二、收入决算情况说明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2021年度收入合计770.1万元，其中：财政拨款收入769.07万元，占99.9%；上级补助收入0万元，占0%；事业收入0万元，0%；经营收入0万元，占0%；附属单位上缴收入0万元，占0%；其他收入1.03万元，占0.1%。</w:t>
      </w:r>
    </w:p>
    <w:p>
      <w:pPr>
        <w:pStyle w:val="11"/>
        <w:rPr>
          <w:rFonts w:hAnsi="黑体"/>
          <w:b/>
          <w:sz w:val="32"/>
          <w:szCs w:val="32"/>
        </w:rPr>
      </w:pPr>
      <w:r>
        <w:rPr>
          <w:rFonts w:hint="eastAsia" w:hAnsi="黑体"/>
          <w:b/>
          <w:sz w:val="32"/>
          <w:szCs w:val="32"/>
        </w:rPr>
        <w:t>三、支出决算情况说明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2021年度支出合计770.2万元，其中：基本支出197.27万元，占26%；项目支出572.93万元，占74%；上缴上级支出0万元，占0%；经营支出0万元，占0%；对附属单位补助支出0万元，占0%。</w:t>
      </w:r>
    </w:p>
    <w:p>
      <w:pPr>
        <w:pStyle w:val="11"/>
        <w:rPr>
          <w:rFonts w:hAnsi="黑体"/>
          <w:b/>
          <w:sz w:val="32"/>
          <w:szCs w:val="32"/>
        </w:rPr>
      </w:pPr>
      <w:r>
        <w:rPr>
          <w:rFonts w:hint="eastAsia" w:hAnsi="黑体"/>
          <w:b/>
          <w:sz w:val="32"/>
          <w:szCs w:val="32"/>
        </w:rPr>
        <w:t>四、财政拨款收入支出决算总体情况说明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2021年度财政拨款收入合计769.07万元。与上年相比，增加151.02万元，增长24%，主要是因为因为增加了为全区农村人口购买了返贫保险项目等。</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2021年度财政拨款支出合计769.17万元。与上年相比，增加148.75万元，增长24%，主要是因为增加了为全区农村人口购买了返贫保险项目等。</w:t>
      </w:r>
    </w:p>
    <w:p>
      <w:pPr>
        <w:pStyle w:val="11"/>
        <w:rPr>
          <w:rFonts w:hAnsi="黑体"/>
          <w:b/>
          <w:sz w:val="32"/>
          <w:szCs w:val="32"/>
        </w:rPr>
      </w:pPr>
      <w:r>
        <w:rPr>
          <w:rFonts w:hint="eastAsia" w:hAnsi="黑体"/>
          <w:b/>
          <w:sz w:val="32"/>
          <w:szCs w:val="32"/>
        </w:rPr>
        <w:t>五、一般公共预算财政拨款支出决算情况说明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2021年度财政拨款支出769.17万元，占本年支出合计的99.9%，与上年相比，财政拨款支出增加148.75万元，增长24%，主要是因为增加了为全区农村人口购买了返贫保险项目等。</w:t>
      </w:r>
    </w:p>
    <w:p>
      <w:pPr>
        <w:pStyle w:val="11"/>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2021年度财政拨款支出769.17万元，主要用于以下方面：一般公共服务（类）支出0万元，</w:t>
      </w:r>
      <w:r>
        <w:rPr>
          <w:rFonts w:hint="eastAsia" w:ascii="宋体" w:hAnsi="宋体" w:eastAsia="宋体"/>
          <w:sz w:val="32"/>
          <w:szCs w:val="32"/>
        </w:rPr>
        <w:t>社会保障和就业支出25.34万元，占3.3</w:t>
      </w:r>
      <w:r>
        <w:rPr>
          <w:rFonts w:ascii="宋体" w:hAnsi="宋体" w:eastAsia="宋体"/>
          <w:sz w:val="32"/>
          <w:szCs w:val="32"/>
        </w:rPr>
        <w:t>%</w:t>
      </w:r>
      <w:r>
        <w:rPr>
          <w:rFonts w:hint="eastAsia" w:ascii="宋体" w:hAnsi="宋体" w:eastAsia="宋体"/>
          <w:sz w:val="32"/>
          <w:szCs w:val="32"/>
        </w:rPr>
        <w:t>；卫生健康支出8.15万元，占1</w:t>
      </w:r>
      <w:r>
        <w:rPr>
          <w:rFonts w:ascii="宋体" w:hAnsi="宋体" w:eastAsia="宋体"/>
          <w:sz w:val="32"/>
          <w:szCs w:val="32"/>
        </w:rPr>
        <w:t>%</w:t>
      </w:r>
      <w:r>
        <w:rPr>
          <w:rFonts w:hint="eastAsia" w:ascii="宋体" w:hAnsi="宋体" w:eastAsia="宋体"/>
          <w:sz w:val="32"/>
          <w:szCs w:val="32"/>
        </w:rPr>
        <w:t>；农林水支出724.32万元，占94.2</w:t>
      </w:r>
      <w:r>
        <w:rPr>
          <w:rFonts w:ascii="宋体" w:hAnsi="宋体" w:eastAsia="宋体"/>
          <w:sz w:val="32"/>
          <w:szCs w:val="32"/>
        </w:rPr>
        <w:t>%</w:t>
      </w:r>
      <w:r>
        <w:rPr>
          <w:rFonts w:hint="eastAsia" w:ascii="宋体" w:hAnsi="宋体" w:eastAsia="宋体"/>
          <w:sz w:val="32"/>
          <w:szCs w:val="32"/>
        </w:rPr>
        <w:t>；住房保障支出11.36万元占1.5</w:t>
      </w:r>
      <w:r>
        <w:rPr>
          <w:rFonts w:ascii="宋体" w:hAnsi="宋体" w:eastAsia="宋体"/>
          <w:sz w:val="32"/>
          <w:szCs w:val="32"/>
        </w:rPr>
        <w:t>%</w:t>
      </w:r>
      <w:r>
        <w:rPr>
          <w:rFonts w:hint="eastAsia" w:ascii="宋体" w:hAnsi="宋体" w:eastAsia="宋体"/>
          <w:sz w:val="32"/>
          <w:szCs w:val="32"/>
        </w:rPr>
        <w:t>。</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2021年度财政拨款支出年初预算数为769.07万元，支出决算数为769.17万元，完成年初预算的100.01%，其中：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1、社会保障和就业支出</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类）行政事业单位养老支出</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款</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行政单位离退休</w:t>
      </w:r>
      <w:r>
        <w:rPr>
          <w:rFonts w:hint="eastAsia" w:asciiTheme="minorEastAsia" w:hAnsiTheme="minorEastAsia" w:eastAsiaTheme="minorEastAsia"/>
          <w:sz w:val="32"/>
          <w:szCs w:val="32"/>
        </w:rPr>
        <w:t>（项）。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年初预算为9.06万元，支出决算为9.06万元，完成年初预算的100%。</w:t>
      </w:r>
    </w:p>
    <w:p>
      <w:pPr>
        <w:pStyle w:val="11"/>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2、社会保障和就业支出（类）行政事业单位养老支出（款）机关事业单位基本养老保险缴费支出（项）。</w:t>
      </w:r>
    </w:p>
    <w:p>
      <w:pPr>
        <w:pStyle w:val="11"/>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年初预算为16.28万元，支出决算为16.28万元，完成年初预算的100%。</w:t>
      </w:r>
    </w:p>
    <w:p>
      <w:pPr>
        <w:pStyle w:val="11"/>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卫生健康支出</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类）</w:t>
      </w:r>
      <w:r>
        <w:rPr>
          <w:rFonts w:hint="eastAsia" w:asciiTheme="minorEastAsia" w:hAnsiTheme="minorEastAsia" w:eastAsiaTheme="minorEastAsia"/>
          <w:sz w:val="32"/>
          <w:szCs w:val="32"/>
        </w:rPr>
        <w:t>行政单位医疗</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款）行政单位医疗（项）。</w:t>
      </w:r>
    </w:p>
    <w:p>
      <w:pPr>
        <w:pStyle w:val="11"/>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年初预算为8.15万元，支出决算为8.15万元，完成年初预算的100%。</w:t>
      </w:r>
    </w:p>
    <w:p>
      <w:pPr>
        <w:pStyle w:val="11"/>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农林水支出</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类）扶贫（款）行政运行（项）。</w:t>
      </w:r>
    </w:p>
    <w:p>
      <w:pPr>
        <w:pStyle w:val="11"/>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年初预算为152.43万元，支出决算为152.43万元，完成年初预算的100%。</w:t>
      </w:r>
    </w:p>
    <w:p>
      <w:pPr>
        <w:pStyle w:val="11"/>
        <w:ind w:firstLine="800" w:firstLineChars="250"/>
        <w:rPr>
          <w:rFonts w:hint="default" w:asciiTheme="minorEastAsia" w:hAnsiTheme="minorEastAsia" w:eastAsiaTheme="minorEastAsia"/>
          <w:sz w:val="32"/>
          <w:szCs w:val="32"/>
          <w:lang w:val="en-US"/>
        </w:rPr>
      </w:pP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rPr>
        <w:t>农林水支出</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类）扶贫（款）一般行政管理事务（项）。</w:t>
      </w:r>
    </w:p>
    <w:p>
      <w:pPr>
        <w:pStyle w:val="11"/>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年初预算为84万元，支出决算为84万元，完成年初预算的100%.</w:t>
      </w:r>
    </w:p>
    <w:p>
      <w:pPr>
        <w:pStyle w:val="11"/>
        <w:ind w:firstLine="800" w:firstLineChars="250"/>
        <w:rPr>
          <w:rFonts w:hint="default" w:asciiTheme="minorEastAsia" w:hAnsiTheme="minorEastAsia" w:eastAsiaTheme="minorEastAsia"/>
          <w:sz w:val="32"/>
          <w:szCs w:val="32"/>
          <w:lang w:val="en-US"/>
        </w:rPr>
      </w:pPr>
      <w:r>
        <w:rPr>
          <w:rFonts w:hint="eastAsia" w:asciiTheme="minorEastAsia" w:hAnsiTheme="minorEastAsia" w:eastAsiaTheme="minorEastAsia"/>
          <w:sz w:val="32"/>
          <w:szCs w:val="32"/>
          <w:lang w:val="en-US" w:eastAsia="zh-CN"/>
        </w:rPr>
        <w:t>6、</w:t>
      </w:r>
      <w:r>
        <w:rPr>
          <w:rFonts w:hint="eastAsia" w:asciiTheme="minorEastAsia" w:hAnsiTheme="minorEastAsia" w:eastAsiaTheme="minorEastAsia"/>
          <w:sz w:val="32"/>
          <w:szCs w:val="32"/>
        </w:rPr>
        <w:t>农林水支出</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类）扶贫（款）其他扶贫支出。</w:t>
      </w:r>
    </w:p>
    <w:p>
      <w:pPr>
        <w:pStyle w:val="11"/>
        <w:ind w:firstLine="640" w:firstLineChars="200"/>
        <w:rPr>
          <w:rFonts w:ascii="宋体" w:hAnsi="宋体" w:eastAsia="宋体"/>
          <w:sz w:val="32"/>
          <w:szCs w:val="32"/>
        </w:rPr>
      </w:pPr>
      <w:r>
        <w:rPr>
          <w:rFonts w:hint="eastAsia" w:asciiTheme="minorEastAsia" w:hAnsiTheme="minorEastAsia" w:eastAsiaTheme="minorEastAsia"/>
          <w:sz w:val="32"/>
          <w:szCs w:val="32"/>
        </w:rPr>
        <w:t>年初预算为487.8万元，支出决算为487.9万元，完成年初预算的100.01%，决算数大于年初预算数的主要原因是：支付了上年结余费用。</w:t>
      </w:r>
    </w:p>
    <w:p>
      <w:pPr>
        <w:pStyle w:val="2"/>
        <w:ind w:firstLine="640" w:firstLineChars="200"/>
        <w:rPr>
          <w:rFonts w:hint="default" w:eastAsia="宋体"/>
          <w:lang w:val="en-US" w:eastAsia="zh-CN"/>
        </w:rPr>
      </w:pPr>
      <w:r>
        <w:rPr>
          <w:rFonts w:hint="eastAsia" w:ascii="宋体" w:hAnsi="宋体" w:eastAsia="宋体"/>
          <w:sz w:val="32"/>
          <w:szCs w:val="32"/>
          <w:lang w:val="en-US" w:eastAsia="zh-CN"/>
        </w:rPr>
        <w:t>7、</w:t>
      </w:r>
      <w:r>
        <w:rPr>
          <w:rFonts w:hint="eastAsia" w:ascii="宋体" w:hAnsi="宋体" w:eastAsia="宋体"/>
          <w:sz w:val="32"/>
          <w:szCs w:val="32"/>
        </w:rPr>
        <w:t>住房保障支出</w:t>
      </w:r>
      <w:r>
        <w:rPr>
          <w:rFonts w:hint="eastAsia" w:ascii="宋体" w:hAnsi="宋体" w:eastAsia="宋体"/>
          <w:sz w:val="32"/>
          <w:szCs w:val="32"/>
          <w:lang w:eastAsia="zh-CN"/>
        </w:rPr>
        <w:t>（</w:t>
      </w:r>
      <w:r>
        <w:rPr>
          <w:rFonts w:hint="eastAsia" w:ascii="宋体" w:hAnsi="宋体" w:eastAsia="宋体"/>
          <w:sz w:val="32"/>
          <w:szCs w:val="32"/>
          <w:lang w:val="en-US" w:eastAsia="zh-CN"/>
        </w:rPr>
        <w:t>类）住房改革支出（款）住房公积金（项）。</w:t>
      </w:r>
    </w:p>
    <w:p>
      <w:pPr>
        <w:pStyle w:val="11"/>
        <w:ind w:firstLine="640" w:firstLineChars="200"/>
        <w:rPr>
          <w:rFonts w:asciiTheme="minorEastAsia" w:hAnsiTheme="minorEastAsia" w:eastAsiaTheme="minorEastAsia"/>
          <w:sz w:val="32"/>
          <w:szCs w:val="32"/>
        </w:rPr>
      </w:pPr>
      <w:r>
        <w:rPr>
          <w:rFonts w:hint="eastAsia" w:ascii="宋体" w:hAnsi="宋体" w:eastAsia="宋体"/>
          <w:sz w:val="32"/>
          <w:szCs w:val="32"/>
        </w:rPr>
        <w:t>初预算为11.36万元，支出决算为11.36万元，完成年初预算的</w:t>
      </w:r>
      <w:r>
        <w:rPr>
          <w:rFonts w:ascii="宋体" w:hAnsi="宋体" w:eastAsia="宋体"/>
          <w:sz w:val="32"/>
          <w:szCs w:val="32"/>
        </w:rPr>
        <w:t>100%</w:t>
      </w:r>
      <w:r>
        <w:rPr>
          <w:rFonts w:hint="eastAsia" w:ascii="宋体" w:hAnsi="宋体" w:eastAsia="宋体"/>
          <w:sz w:val="32"/>
          <w:szCs w:val="32"/>
        </w:rPr>
        <w:t>。</w:t>
      </w:r>
    </w:p>
    <w:p>
      <w:pPr>
        <w:pStyle w:val="11"/>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2021年度财政拨款基本支出197.27万元，其中：人员经费187.71万元，占基本支出的95%,主要包括基本工资50.59万元、津贴补贴44.69万元、奖金47.76万元、机关事业单位基本养老保险缴费16.28万元、</w:t>
      </w:r>
      <w:r>
        <w:rPr>
          <w:rFonts w:hint="eastAsia" w:ascii="宋体" w:hAnsi="宋体" w:eastAsia="宋体"/>
          <w:sz w:val="32"/>
          <w:szCs w:val="32"/>
        </w:rPr>
        <w:t>职工基本医疗保险缴费8.15万元、住房公积金11.36万元、对个人和家庭补助8.88万元</w:t>
      </w:r>
      <w:r>
        <w:rPr>
          <w:rFonts w:hint="eastAsia" w:asciiTheme="minorEastAsia" w:hAnsiTheme="minorEastAsia" w:eastAsiaTheme="minorEastAsia"/>
          <w:sz w:val="32"/>
          <w:szCs w:val="32"/>
        </w:rPr>
        <w:t>；公用经费9.57万元，占基本支出的5%，主要包括办公费2.09万元、印刷费0.78万元、水费0.1万元、</w:t>
      </w:r>
      <w:r>
        <w:rPr>
          <w:rFonts w:hint="eastAsia" w:ascii="宋体" w:hAnsi="宋体" w:eastAsia="宋体"/>
          <w:sz w:val="32"/>
          <w:szCs w:val="32"/>
        </w:rPr>
        <w:t>邮电费</w:t>
      </w:r>
      <w:r>
        <w:rPr>
          <w:rFonts w:ascii="宋体" w:hAnsi="宋体" w:eastAsia="宋体"/>
          <w:sz w:val="32"/>
          <w:szCs w:val="32"/>
        </w:rPr>
        <w:t>0</w:t>
      </w:r>
      <w:r>
        <w:rPr>
          <w:rFonts w:hint="eastAsia" w:ascii="宋体" w:hAnsi="宋体" w:eastAsia="宋体"/>
          <w:sz w:val="32"/>
          <w:szCs w:val="32"/>
        </w:rPr>
        <w:t>.33万元、差旅费0.42万元、工会经费4.42万元、福利费1.12万元、其他商品和服务支出0.3万元。</w:t>
      </w:r>
    </w:p>
    <w:p>
      <w:pPr>
        <w:pStyle w:val="11"/>
        <w:rPr>
          <w:rFonts w:hAnsi="黑体"/>
          <w:b/>
          <w:sz w:val="32"/>
          <w:szCs w:val="32"/>
        </w:rPr>
      </w:pPr>
      <w:r>
        <w:rPr>
          <w:rFonts w:hint="eastAsia" w:hAnsi="黑体"/>
          <w:b/>
          <w:sz w:val="32"/>
          <w:szCs w:val="32"/>
        </w:rPr>
        <w:t>七、一般公共预算财政拨款“三公”经费支出决算情况说明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2021年度“三公”经费财政拨款支出预算为7.95万元，支出决算为5.14万元，完成预算的65%，其中：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因公出国（境）费支出预算为0万元，支出决算为0万元，完</w:t>
      </w:r>
      <w:r>
        <w:rPr>
          <w:rFonts w:hint="eastAsia" w:ascii="宋体" w:hAnsi="宋体" w:eastAsia="宋体" w:cs="Times New Roman"/>
          <w:sz w:val="32"/>
          <w:szCs w:val="32"/>
        </w:rPr>
        <w:t>由于预算数为0，无法计算百分比，决算数</w:t>
      </w:r>
      <w:r>
        <w:rPr>
          <w:rFonts w:hint="eastAsia" w:ascii="宋体" w:hAnsi="宋体" w:eastAsia="宋体" w:cs="Times New Roman"/>
          <w:sz w:val="32"/>
          <w:szCs w:val="32"/>
          <w:lang w:val="en-US" w:eastAsia="zh-CN"/>
        </w:rPr>
        <w:t>与</w:t>
      </w:r>
      <w:r>
        <w:rPr>
          <w:rFonts w:hint="eastAsia" w:asciiTheme="minorEastAsia" w:hAnsiTheme="minorEastAsia" w:eastAsiaTheme="minorEastAsia"/>
          <w:sz w:val="32"/>
          <w:szCs w:val="32"/>
        </w:rPr>
        <w:t>预算数</w:t>
      </w:r>
      <w:r>
        <w:rPr>
          <w:rFonts w:hint="eastAsia" w:asciiTheme="minorEastAsia" w:hAnsiTheme="minorEastAsia" w:eastAsiaTheme="minorEastAsia"/>
          <w:sz w:val="32"/>
          <w:szCs w:val="32"/>
          <w:lang w:val="en-US" w:eastAsia="zh-CN"/>
        </w:rPr>
        <w:t>持平</w:t>
      </w:r>
      <w:r>
        <w:rPr>
          <w:rFonts w:hint="eastAsia" w:asciiTheme="minorEastAsia" w:hAnsiTheme="minorEastAsia" w:eastAsiaTheme="minorEastAsia"/>
          <w:sz w:val="32"/>
          <w:szCs w:val="32"/>
        </w:rPr>
        <w:t>。</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公务接待费支出预算为7.95万元，支出决算为5.14</w:t>
      </w:r>
      <w:r>
        <w:rPr>
          <w:rFonts w:hint="eastAsia" w:ascii="宋体" w:hAnsi="宋体" w:eastAsia="宋体" w:cs="Times New Roman"/>
          <w:sz w:val="32"/>
          <w:szCs w:val="32"/>
        </w:rPr>
        <w:t>万元，由于预算数为0，无法计算百分比，决算数</w:t>
      </w:r>
      <w:r>
        <w:rPr>
          <w:rFonts w:hint="eastAsia" w:ascii="宋体" w:hAnsi="宋体" w:eastAsia="宋体" w:cs="Times New Roman"/>
          <w:sz w:val="32"/>
          <w:szCs w:val="32"/>
          <w:lang w:val="en-US" w:eastAsia="zh-CN"/>
        </w:rPr>
        <w:t>与</w:t>
      </w:r>
      <w:r>
        <w:rPr>
          <w:rFonts w:hint="eastAsia" w:asciiTheme="minorEastAsia" w:hAnsiTheme="minorEastAsia" w:eastAsiaTheme="minorEastAsia"/>
          <w:sz w:val="32"/>
          <w:szCs w:val="32"/>
        </w:rPr>
        <w:t>预算数</w:t>
      </w:r>
      <w:r>
        <w:rPr>
          <w:rFonts w:hint="eastAsia" w:asciiTheme="minorEastAsia" w:hAnsiTheme="minorEastAsia" w:eastAsiaTheme="minorEastAsia"/>
          <w:sz w:val="32"/>
          <w:szCs w:val="32"/>
          <w:lang w:val="en-US" w:eastAsia="zh-CN"/>
        </w:rPr>
        <w:t>持平</w:t>
      </w:r>
      <w:r>
        <w:rPr>
          <w:rFonts w:hint="eastAsia" w:asciiTheme="minorEastAsia" w:hAnsiTheme="minorEastAsia" w:eastAsiaTheme="minorEastAsia"/>
          <w:sz w:val="32"/>
          <w:szCs w:val="32"/>
        </w:rPr>
        <w:t>的主要原因是</w:t>
      </w:r>
      <w:r>
        <w:rPr>
          <w:rFonts w:hint="eastAsia" w:ascii="宋体" w:hAnsi="宋体" w:eastAsia="宋体" w:cs="Times New Roman"/>
          <w:sz w:val="32"/>
          <w:szCs w:val="32"/>
        </w:rPr>
        <w:t>根据中央、省、市、区委区政府要求，厉行勤俭节约，压减开支</w:t>
      </w:r>
      <w:r>
        <w:rPr>
          <w:rFonts w:hint="eastAsia" w:asciiTheme="minorEastAsia" w:hAnsiTheme="minorEastAsia" w:eastAsiaTheme="minorEastAsia"/>
          <w:sz w:val="32"/>
          <w:szCs w:val="32"/>
        </w:rPr>
        <w:t>，与上年相比减少0.21万元，减少4%,减少的主要原因是</w:t>
      </w:r>
      <w:r>
        <w:rPr>
          <w:rFonts w:hint="eastAsia" w:ascii="宋体" w:hAnsi="宋体" w:eastAsia="宋体" w:cs="Times New Roman"/>
          <w:sz w:val="32"/>
          <w:szCs w:val="32"/>
        </w:rPr>
        <w:t>厉行勤俭节约，压减开支</w:t>
      </w:r>
      <w:r>
        <w:rPr>
          <w:rFonts w:hint="eastAsia" w:asciiTheme="minorEastAsia" w:hAnsiTheme="minorEastAsia" w:eastAsiaTheme="minorEastAsia"/>
          <w:sz w:val="32"/>
          <w:szCs w:val="32"/>
        </w:rPr>
        <w:t>。</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w:t>
      </w:r>
      <w:r>
        <w:rPr>
          <w:rFonts w:hint="eastAsia" w:ascii="宋体" w:hAnsi="宋体" w:eastAsia="宋体" w:cs="Times New Roman"/>
          <w:sz w:val="32"/>
          <w:szCs w:val="32"/>
        </w:rPr>
        <w:t>由于预算数为0，无法计算百分比，决算数</w:t>
      </w:r>
      <w:r>
        <w:rPr>
          <w:rFonts w:hint="eastAsia" w:ascii="宋体" w:hAnsi="宋体" w:eastAsia="宋体" w:cs="Times New Roman"/>
          <w:sz w:val="32"/>
          <w:szCs w:val="32"/>
          <w:lang w:val="en-US" w:eastAsia="zh-CN"/>
        </w:rPr>
        <w:t>与</w:t>
      </w:r>
      <w:r>
        <w:rPr>
          <w:rFonts w:hint="eastAsia" w:asciiTheme="minorEastAsia" w:hAnsiTheme="minorEastAsia" w:eastAsiaTheme="minorEastAsia"/>
          <w:sz w:val="32"/>
          <w:szCs w:val="32"/>
        </w:rPr>
        <w:t>预算数</w:t>
      </w:r>
      <w:r>
        <w:rPr>
          <w:rFonts w:hint="eastAsia" w:asciiTheme="minorEastAsia" w:hAnsiTheme="minorEastAsia" w:eastAsiaTheme="minorEastAsia"/>
          <w:sz w:val="32"/>
          <w:szCs w:val="32"/>
          <w:lang w:val="en-US" w:eastAsia="zh-CN"/>
        </w:rPr>
        <w:t>持平</w:t>
      </w:r>
      <w:r>
        <w:rPr>
          <w:rFonts w:hint="eastAsia" w:asciiTheme="minorEastAsia" w:hAnsiTheme="minorEastAsia" w:eastAsiaTheme="minorEastAsia"/>
          <w:sz w:val="32"/>
          <w:szCs w:val="32"/>
        </w:rPr>
        <w:t>。</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公务用车运行维护费支出预算为0万元，支出决算为0万元，</w:t>
      </w:r>
      <w:r>
        <w:rPr>
          <w:rFonts w:hint="eastAsia" w:ascii="宋体" w:hAnsi="宋体" w:eastAsia="宋体" w:cs="Times New Roman"/>
          <w:sz w:val="32"/>
          <w:szCs w:val="32"/>
        </w:rPr>
        <w:t>由于预算数为0，无法计算百分比，决算数</w:t>
      </w:r>
      <w:r>
        <w:rPr>
          <w:rFonts w:hint="eastAsia" w:ascii="宋体" w:hAnsi="宋体" w:eastAsia="宋体" w:cs="Times New Roman"/>
          <w:sz w:val="32"/>
          <w:szCs w:val="32"/>
          <w:lang w:val="en-US" w:eastAsia="zh-CN"/>
        </w:rPr>
        <w:t>与</w:t>
      </w:r>
      <w:r>
        <w:rPr>
          <w:rFonts w:hint="eastAsia" w:asciiTheme="minorEastAsia" w:hAnsiTheme="minorEastAsia" w:eastAsiaTheme="minorEastAsia"/>
          <w:sz w:val="32"/>
          <w:szCs w:val="32"/>
        </w:rPr>
        <w:t>预算数</w:t>
      </w:r>
      <w:r>
        <w:rPr>
          <w:rFonts w:hint="eastAsia" w:asciiTheme="minorEastAsia" w:hAnsiTheme="minorEastAsia" w:eastAsiaTheme="minorEastAsia"/>
          <w:sz w:val="32"/>
          <w:szCs w:val="32"/>
          <w:lang w:val="en-US" w:eastAsia="zh-CN"/>
        </w:rPr>
        <w:t>持平</w:t>
      </w:r>
      <w:r>
        <w:rPr>
          <w:rFonts w:hint="eastAsia" w:asciiTheme="minorEastAsia" w:hAnsiTheme="minorEastAsia" w:eastAsiaTheme="minorEastAsia"/>
          <w:sz w:val="32"/>
          <w:szCs w:val="32"/>
        </w:rPr>
        <w:t>。</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2021年度“三公”经费财政拨款支出决算中，公务接待费支出决算5.14万元，占100%,因公出国（境）费支出决算0万元，占0%,公务用车购置费及运行维护费支出决算0万元，占0%。其中：</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2、公务接待费支出决算为5.14万元，全年共接待来访团组92个、来宾530人次，主要是乡村振兴</w:t>
      </w:r>
      <w:r>
        <w:rPr>
          <w:rFonts w:hint="eastAsia" w:ascii="宋体" w:hAnsi="宋体" w:eastAsia="宋体"/>
          <w:sz w:val="32"/>
          <w:szCs w:val="32"/>
        </w:rPr>
        <w:t>检查及召开会议工作发生的接待加班餐支出。</w:t>
      </w:r>
    </w:p>
    <w:p>
      <w:pPr>
        <w:rPr>
          <w:rFonts w:hint="eastAsia" w:asciiTheme="minorEastAsia" w:hAnsiTheme="minorEastAsia"/>
          <w:sz w:val="32"/>
          <w:szCs w:val="32"/>
        </w:rPr>
      </w:pPr>
      <w:r>
        <w:rPr>
          <w:rFonts w:hint="eastAsia" w:asciiTheme="minorEastAsia" w:hAnsiTheme="minorEastAsia"/>
          <w:sz w:val="32"/>
          <w:szCs w:val="32"/>
        </w:rPr>
        <w:t>3、公务用车购置费及运行维护费支出决算为0万元，其中：公务用车购置费0万元，公务用车运行维护费0万元</w:t>
      </w:r>
      <w:r>
        <w:rPr>
          <w:rFonts w:hint="eastAsia" w:asciiTheme="minorEastAsia" w:hAnsiTheme="minorEastAsia"/>
          <w:sz w:val="32"/>
          <w:szCs w:val="32"/>
          <w:lang w:eastAsia="zh-CN"/>
        </w:rPr>
        <w:t>，</w:t>
      </w:r>
      <w:r>
        <w:rPr>
          <w:rFonts w:hint="eastAsia" w:asciiTheme="minorEastAsia" w:hAnsiTheme="minorEastAsia"/>
          <w:sz w:val="32"/>
          <w:szCs w:val="32"/>
        </w:rPr>
        <w:t>更新公务用车0辆，主</w:t>
      </w:r>
      <w:r>
        <w:rPr>
          <w:rFonts w:hint="eastAsia" w:ascii="宋体" w:hAnsi="宋体"/>
          <w:sz w:val="32"/>
          <w:szCs w:val="32"/>
        </w:rPr>
        <w:t>要是我单位无公车，</w:t>
      </w:r>
      <w:r>
        <w:rPr>
          <w:rFonts w:hint="eastAsia" w:asciiTheme="minorEastAsia" w:hAnsiTheme="minorEastAsia"/>
          <w:sz w:val="32"/>
          <w:szCs w:val="32"/>
        </w:rPr>
        <w:t>截止2021年12月31日，我单位开支财政拨款的公务用车保有量为0辆。</w:t>
      </w:r>
      <w:bookmarkStart w:id="0" w:name="_GoBack"/>
      <w:bookmarkEnd w:id="0"/>
    </w:p>
    <w:p>
      <w:pPr>
        <w:pStyle w:val="11"/>
        <w:rPr>
          <w:rFonts w:hAnsi="黑体"/>
          <w:b/>
          <w:sz w:val="32"/>
          <w:szCs w:val="32"/>
        </w:rPr>
      </w:pPr>
      <w:r>
        <w:rPr>
          <w:rFonts w:hint="eastAsia" w:hAnsi="黑体"/>
          <w:b/>
          <w:sz w:val="32"/>
          <w:szCs w:val="32"/>
        </w:rPr>
        <w:t>八、政府性基金预算收入支出决算情况</w:t>
      </w:r>
    </w:p>
    <w:p>
      <w:pPr>
        <w:pStyle w:val="11"/>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2021年度政府性基金预算财政拨款收入0万元；年初结转和结余0万元；支出0万元，其中基本支出0万元，项目支出0万元；年末结转和结余0万元。</w:t>
      </w:r>
    </w:p>
    <w:p>
      <w:pPr>
        <w:pStyle w:val="11"/>
        <w:ind w:firstLine="640" w:firstLineChars="200"/>
        <w:rPr>
          <w:rFonts w:asciiTheme="minorEastAsia" w:hAnsiTheme="minorEastAsia" w:eastAsiaTheme="minorEastAsia"/>
          <w:i/>
          <w:color w:val="FF0000"/>
          <w:sz w:val="32"/>
          <w:szCs w:val="32"/>
        </w:rPr>
      </w:pPr>
      <w:r>
        <w:rPr>
          <w:rFonts w:hint="eastAsia" w:ascii="宋体" w:hAnsi="宋体" w:eastAsia="宋体"/>
          <w:sz w:val="32"/>
          <w:szCs w:val="32"/>
        </w:rPr>
        <w:t>本单位无政府性基金收支。</w:t>
      </w:r>
    </w:p>
    <w:p>
      <w:pPr>
        <w:pStyle w:val="11"/>
        <w:rPr>
          <w:rFonts w:hAnsi="黑体"/>
          <w:b/>
          <w:sz w:val="32"/>
          <w:szCs w:val="32"/>
        </w:rPr>
      </w:pPr>
      <w:r>
        <w:rPr>
          <w:rFonts w:hint="eastAsia" w:hAnsi="黑体"/>
          <w:b/>
          <w:sz w:val="32"/>
          <w:szCs w:val="32"/>
        </w:rPr>
        <w:t>九、国有资本经营预算财政拨款支出情况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2021年度国有资本经营预算财政拨款收入0万元；支出0万元，其中基本支出0万元，项目支出0万元。</w:t>
      </w:r>
      <w:r>
        <w:rPr>
          <w:rFonts w:hint="eastAsia" w:ascii="宋体" w:hAnsi="宋体" w:eastAsia="宋体"/>
          <w:sz w:val="32"/>
          <w:szCs w:val="32"/>
        </w:rPr>
        <w:t>本单位无国有资本经营预算财政拨款收支。</w:t>
      </w:r>
    </w:p>
    <w:p>
      <w:pPr>
        <w:pStyle w:val="11"/>
        <w:rPr>
          <w:rFonts w:hAnsi="黑体"/>
          <w:b/>
          <w:sz w:val="32"/>
          <w:szCs w:val="32"/>
        </w:rPr>
      </w:pPr>
      <w:r>
        <w:rPr>
          <w:rFonts w:hint="eastAsia" w:hAnsi="黑体"/>
          <w:b/>
          <w:sz w:val="32"/>
          <w:szCs w:val="32"/>
        </w:rPr>
        <w:t>十、机关运行经费支出说明</w:t>
      </w:r>
    </w:p>
    <w:p>
      <w:pPr>
        <w:pStyle w:val="11"/>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本部门2021年度机关运行经费支出9.57万元，比上年决算数增加1.31万元，增长15%。主要原因是：增加了工作经费。</w:t>
      </w:r>
    </w:p>
    <w:p>
      <w:pPr>
        <w:pStyle w:val="11"/>
        <w:rPr>
          <w:rFonts w:hAnsi="黑体"/>
          <w:b/>
          <w:sz w:val="32"/>
          <w:szCs w:val="32"/>
        </w:rPr>
      </w:pPr>
      <w:r>
        <w:rPr>
          <w:rFonts w:hint="eastAsia" w:hAnsi="黑体"/>
          <w:b/>
          <w:sz w:val="32"/>
          <w:szCs w:val="32"/>
        </w:rPr>
        <w:t>十一、一般性支出情况说明</w:t>
      </w:r>
    </w:p>
    <w:p>
      <w:pPr>
        <w:ind w:firstLine="640" w:firstLineChars="200"/>
        <w:rPr>
          <w:rFonts w:asciiTheme="minorEastAsia" w:hAnsiTheme="minorEastAsia"/>
          <w:color w:val="FF0000"/>
          <w:sz w:val="32"/>
          <w:szCs w:val="32"/>
        </w:rPr>
      </w:pPr>
      <w:r>
        <w:rPr>
          <w:rFonts w:hint="eastAsia" w:asciiTheme="minorEastAsia" w:hAnsiTheme="minorEastAsia"/>
          <w:sz w:val="32"/>
          <w:szCs w:val="32"/>
        </w:rPr>
        <w:t>2021年本部门开支会议费3万元，用于召开24会议，人数5000人，内容乡村振兴</w:t>
      </w:r>
      <w:r>
        <w:rPr>
          <w:rFonts w:hint="eastAsia" w:ascii="宋体" w:hAnsi="宋体" w:eastAsia="宋体" w:cs="宋体"/>
          <w:color w:val="000000"/>
          <w:kern w:val="0"/>
          <w:sz w:val="32"/>
          <w:szCs w:val="32"/>
        </w:rPr>
        <w:t>督查问题反馈会、复核验收部署会、乡村振兴工作电视电话会、全区迎国检工作会、全省驻村帮扶工作电视电话会及区脱贫攻坚巩固提升工作推进会议脱贫攻业务培训会等；</w:t>
      </w:r>
      <w:r>
        <w:rPr>
          <w:rFonts w:hint="eastAsia" w:ascii="宋体" w:hAnsi="宋体" w:eastAsia="宋体" w:cs="宋体"/>
          <w:sz w:val="32"/>
          <w:szCs w:val="32"/>
        </w:rPr>
        <w:t>；开支培训费15万元，</w:t>
      </w:r>
      <w:r>
        <w:rPr>
          <w:rFonts w:hint="eastAsia" w:ascii="宋体" w:hAnsi="宋体" w:cs="黑体"/>
          <w:color w:val="000000"/>
          <w:kern w:val="0"/>
          <w:sz w:val="32"/>
          <w:szCs w:val="32"/>
        </w:rPr>
        <w:t>开展</w:t>
      </w:r>
      <w:r>
        <w:rPr>
          <w:rFonts w:hint="eastAsia" w:ascii="宋体" w:cs="黑体"/>
          <w:color w:val="000000"/>
          <w:kern w:val="0"/>
          <w:sz w:val="32"/>
          <w:szCs w:val="32"/>
        </w:rPr>
        <w:t>全区创业致富带头人</w:t>
      </w:r>
      <w:r>
        <w:rPr>
          <w:rFonts w:hint="eastAsia" w:ascii="宋体" w:hAnsi="宋体" w:cs="黑体"/>
          <w:color w:val="000000"/>
          <w:kern w:val="0"/>
          <w:sz w:val="32"/>
          <w:szCs w:val="32"/>
        </w:rPr>
        <w:t>培训，人数20人，内容是20人参加省乡村振兴局在湖南农业大学大学举办发展带动性创业致富带头人培训，标准是440元</w:t>
      </w:r>
      <w:r>
        <w:rPr>
          <w:rFonts w:ascii="宋体" w:hAnsi="宋体" w:cs="黑体"/>
          <w:color w:val="000000"/>
          <w:kern w:val="0"/>
          <w:sz w:val="32"/>
          <w:szCs w:val="32"/>
        </w:rPr>
        <w:t>/</w:t>
      </w:r>
      <w:r>
        <w:rPr>
          <w:rFonts w:hint="eastAsia" w:ascii="宋体" w:hAnsi="宋体" w:cs="黑体"/>
          <w:color w:val="000000"/>
          <w:kern w:val="0"/>
          <w:sz w:val="32"/>
          <w:szCs w:val="32"/>
        </w:rPr>
        <w:t>人</w:t>
      </w:r>
      <w:r>
        <w:rPr>
          <w:rFonts w:ascii="宋体" w:hAnsi="宋体" w:cs="黑体"/>
          <w:color w:val="000000"/>
          <w:kern w:val="0"/>
          <w:sz w:val="32"/>
          <w:szCs w:val="32"/>
        </w:rPr>
        <w:t>/</w:t>
      </w:r>
      <w:r>
        <w:rPr>
          <w:rFonts w:hint="eastAsia" w:ascii="宋体" w:hAnsi="宋体" w:cs="黑体"/>
          <w:color w:val="000000"/>
          <w:kern w:val="0"/>
          <w:sz w:val="32"/>
          <w:szCs w:val="32"/>
        </w:rPr>
        <w:t>天，共计8.8万元.剩余6.2万元退回财政。无举办节庆、晚会、论坛、赛事活动，开支</w:t>
      </w:r>
      <w:r>
        <w:rPr>
          <w:rFonts w:ascii="宋体" w:cs="黑体"/>
          <w:color w:val="000000"/>
          <w:kern w:val="0"/>
          <w:sz w:val="32"/>
          <w:szCs w:val="32"/>
        </w:rPr>
        <w:t>0</w:t>
      </w:r>
      <w:r>
        <w:rPr>
          <w:rFonts w:hint="eastAsia" w:ascii="宋体" w:hAnsi="宋体" w:cs="黑体"/>
          <w:color w:val="000000"/>
          <w:kern w:val="0"/>
          <w:sz w:val="32"/>
          <w:szCs w:val="32"/>
        </w:rPr>
        <w:t>万元。</w:t>
      </w:r>
    </w:p>
    <w:p>
      <w:pPr>
        <w:pStyle w:val="11"/>
        <w:rPr>
          <w:rFonts w:hAnsi="黑体"/>
          <w:b/>
          <w:sz w:val="32"/>
          <w:szCs w:val="32"/>
        </w:rPr>
      </w:pPr>
      <w:r>
        <w:rPr>
          <w:rFonts w:hint="eastAsia" w:hAnsi="黑体"/>
          <w:b/>
          <w:sz w:val="32"/>
          <w:szCs w:val="32"/>
        </w:rPr>
        <w:t>十二、政府采购支出说明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本部门2021年度政府采购支出总额13万元，其中：政府采购货物支出万元、政府采购工程支出 0万元、政府采购服务支出13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1"/>
        <w:rPr>
          <w:rFonts w:hAnsi="黑体"/>
          <w:b/>
          <w:sz w:val="32"/>
          <w:szCs w:val="32"/>
        </w:rPr>
      </w:pPr>
      <w:r>
        <w:rPr>
          <w:rFonts w:hint="eastAsia" w:hAnsi="黑体"/>
          <w:b/>
          <w:sz w:val="32"/>
          <w:szCs w:val="32"/>
        </w:rPr>
        <w:t>十三、国有资产占用情况说明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0辆，其中，主要领导干部用车0辆，机要通信用车0辆、应急保障用车0辆、执法执勤用车0辆、特种专业技术用车0辆、其他用车0辆；单位价值50万元以上通用设备0台（套）；单位价值100万元以上专用设备0台（套）。</w:t>
      </w:r>
    </w:p>
    <w:p>
      <w:pPr>
        <w:pStyle w:val="11"/>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根据预算绩效管理要求，我部门组织对2021 年度一般公共预算项目支出全面开展绩效自评，其中，一级项目7个，二级项目0 个，共涉及资金572万元，占一般公共预算项目支出总额的100%。组织对2021年度0 个政府性基金预算项目支出开展绩效自评，共涉及资金0万元，占政府性基金预算项目支出总额的0%。组织对2021 年度0 个国有资本经营预算项目支出开展绩效自评，共涉及资金0万元，占国有资本经营预算项目支出总额的0%。</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color w:val="000000"/>
          <w:kern w:val="0"/>
          <w:sz w:val="32"/>
          <w:szCs w:val="32"/>
        </w:rPr>
        <w:t>组织对</w:t>
      </w:r>
      <w:r>
        <w:rPr>
          <w:rFonts w:hint="eastAsia" w:asciiTheme="minorEastAsia" w:hAnsiTheme="minorEastAsia" w:cstheme="minorEastAsia"/>
          <w:sz w:val="32"/>
          <w:szCs w:val="32"/>
        </w:rPr>
        <w:t>“雨露计划职业教育扶贫补助”、“金融扶贫小额扶贫贷款贴息”、“创业致富带头培训”、“</w:t>
      </w:r>
      <w:r>
        <w:rPr>
          <w:rFonts w:hint="eastAsia" w:asciiTheme="minorEastAsia" w:hAnsiTheme="minorEastAsia" w:cstheme="minorEastAsia"/>
          <w:color w:val="000000"/>
          <w:kern w:val="0"/>
          <w:sz w:val="32"/>
          <w:szCs w:val="32"/>
        </w:rPr>
        <w:t>防贫保险</w:t>
      </w:r>
      <w:r>
        <w:rPr>
          <w:rFonts w:hint="eastAsia" w:asciiTheme="minorEastAsia" w:hAnsiTheme="minorEastAsia" w:cstheme="minorEastAsia"/>
          <w:sz w:val="32"/>
          <w:szCs w:val="32"/>
        </w:rPr>
        <w:t>人身意外伤害保险”、“</w:t>
      </w:r>
      <w:r>
        <w:rPr>
          <w:rFonts w:hint="eastAsia" w:asciiTheme="minorEastAsia" w:hAnsiTheme="minorEastAsia" w:cstheme="minorEastAsia"/>
          <w:color w:val="000000"/>
          <w:kern w:val="0"/>
          <w:sz w:val="32"/>
          <w:szCs w:val="32"/>
        </w:rPr>
        <w:t>光伏项目质保金”等7个项目开展了部门评价，涉及一般公共预算支出572 万元，政府性基金预算支出0 万元，国有资本经营预算支出0 万元。从评价情况来看，</w:t>
      </w:r>
      <w:r>
        <w:rPr>
          <w:rFonts w:hint="eastAsia" w:asciiTheme="minorEastAsia" w:hAnsiTheme="minorEastAsia" w:cstheme="minorEastAsia"/>
          <w:sz w:val="32"/>
          <w:szCs w:val="32"/>
        </w:rPr>
        <w:t>所有项目资金按时到位，到位率100%。并</w:t>
      </w:r>
      <w:r>
        <w:rPr>
          <w:rFonts w:hint="eastAsia" w:asciiTheme="minorEastAsia" w:hAnsiTheme="minorEastAsia" w:cstheme="minorEastAsia"/>
          <w:color w:val="3D3D3D"/>
          <w:sz w:val="32"/>
          <w:szCs w:val="32"/>
          <w:shd w:val="clear" w:color="auto" w:fill="FFFFFF"/>
        </w:rPr>
        <w:t>且已经支付，</w:t>
      </w:r>
      <w:r>
        <w:rPr>
          <w:rFonts w:hint="eastAsia" w:asciiTheme="minorEastAsia" w:hAnsiTheme="minorEastAsia" w:cstheme="minorEastAsia"/>
          <w:sz w:val="32"/>
          <w:szCs w:val="32"/>
        </w:rPr>
        <w:t>专款专用。资金支出合理，没有违规、闲置等情况。支付率100%。项目资金严格按照资金管理制度正常使用。加强我单位财务管理，完善财务制度，强化财务监督，严肃财经纪律，提高资金使用效益，确保工作正常有序开展，根据《党政机关厉行节约反对浪费条例》以及有关财务规定，结合我单位实际，制定了相应的财务管理办法。项目资金管理严格按照财政扶贫资金的管理办法管理，始终坚持资金随着项目走，所有专项资金一律实行扶贫资金国库集中支付制,对资金实行专款专用、专帐设置、专人管理，严格审批验收报账程序。同时建立相应的项目档案制度，分项分类存档。所有扶贫项目资金资金拨付情况都分别在村务公开栏、鹤城新闻网挂网公示进行公示。资金支出合理，没有违规、闲置等情况。</w:t>
      </w:r>
    </w:p>
    <w:p>
      <w:pPr>
        <w:pStyle w:val="15"/>
        <w:spacing w:line="360" w:lineRule="auto"/>
        <w:ind w:firstLine="640" w:firstLineChars="200"/>
        <w:rPr>
          <w:rFonts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3D3D3D"/>
          <w:sz w:val="32"/>
          <w:szCs w:val="32"/>
          <w:shd w:val="clear" w:color="auto" w:fill="FFFFFF"/>
        </w:rPr>
        <w:t>各个项目从投入指标、产出指标、效益指标和满意度指标分析均获得了较满意的评价结果，指标值与实际情况值基本上保持一致，完成了该项目表现的预期效果，专项资金使用的效率也比较明显。</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color w:val="000000"/>
          <w:kern w:val="0"/>
          <w:sz w:val="32"/>
          <w:szCs w:val="32"/>
        </w:rPr>
        <w:t>组织对“乡村振兴局”1个单位开展整体支出绩效评价，涉及一般公共预算支出769.17 万元，政府性基金预算支出0 万元。从评价情况来看，</w:t>
      </w:r>
      <w:r>
        <w:rPr>
          <w:rFonts w:hint="eastAsia" w:asciiTheme="minorEastAsia" w:hAnsiTheme="minorEastAsia" w:cstheme="minorEastAsia"/>
          <w:sz w:val="32"/>
          <w:szCs w:val="32"/>
        </w:rPr>
        <w:t>2021年我局预算管理各项指标控制较好，年初我局财政拨款支出年初预算数为769.07万元，支出决算数为769.17万元，完成年初预算的100%，年初预算安排公用经费总额9.57万元，实际支付公用经费总额9.57万元完成年初预算的100.01%，“三公”经费预算数为7.95万元，支出决算为5.14万元，完成预算的65%。</w:t>
      </w:r>
    </w:p>
    <w:p>
      <w:pPr>
        <w:spacing w:line="600" w:lineRule="exact"/>
        <w:ind w:firstLine="640" w:firstLineChars="200"/>
        <w:rPr>
          <w:rFonts w:cs="黑体" w:asciiTheme="minorEastAsia" w:hAnsiTheme="minorEastAsia"/>
          <w:color w:val="000000"/>
          <w:kern w:val="0"/>
          <w:sz w:val="32"/>
          <w:szCs w:val="32"/>
        </w:rPr>
      </w:pPr>
      <w:r>
        <w:rPr>
          <w:rFonts w:hint="eastAsia" w:asciiTheme="minorEastAsia" w:hAnsiTheme="minorEastAsia" w:cstheme="minorEastAsia"/>
          <w:color w:val="000000"/>
          <w:sz w:val="32"/>
          <w:szCs w:val="32"/>
        </w:rPr>
        <w:t>2021年，在区委、区政府的正确领导下，乡村振兴局</w:t>
      </w:r>
      <w:r>
        <w:rPr>
          <w:rStyle w:val="14"/>
          <w:rFonts w:hint="eastAsia" w:asciiTheme="minorEastAsia" w:hAnsiTheme="minorEastAsia" w:eastAsiaTheme="minorEastAsia" w:cstheme="minorEastAsia"/>
          <w:sz w:val="32"/>
          <w:szCs w:val="32"/>
        </w:rPr>
        <w:t>深入学习贯彻习近平总书记关于实施乡村振兴战略的重要讲话精神，</w:t>
      </w:r>
      <w:r>
        <w:rPr>
          <w:rFonts w:hint="eastAsia" w:asciiTheme="minorEastAsia" w:hAnsiTheme="minorEastAsia" w:cstheme="minorEastAsia"/>
          <w:sz w:val="32"/>
          <w:szCs w:val="32"/>
        </w:rPr>
        <w:t>坚决贯彻落实习近平总书记对湖南的重要指示批示精神，坚定不移贯彻</w:t>
      </w:r>
      <w:r>
        <w:rPr>
          <w:rStyle w:val="14"/>
          <w:rFonts w:hint="eastAsia" w:asciiTheme="minorEastAsia" w:hAnsiTheme="minorEastAsia" w:eastAsiaTheme="minorEastAsia" w:cstheme="minorEastAsia"/>
          <w:sz w:val="32"/>
          <w:szCs w:val="32"/>
        </w:rPr>
        <w:t>区委、区政府</w:t>
      </w:r>
      <w:r>
        <w:rPr>
          <w:rFonts w:hint="eastAsia" w:asciiTheme="minorEastAsia" w:hAnsiTheme="minorEastAsia" w:cstheme="minorEastAsia"/>
          <w:sz w:val="32"/>
          <w:szCs w:val="32"/>
        </w:rPr>
        <w:t>决策部署，始终把实施乡村振兴战略作为重大政治任务、摆在重要位置，</w:t>
      </w:r>
      <w:r>
        <w:rPr>
          <w:rStyle w:val="14"/>
          <w:rFonts w:hint="eastAsia" w:asciiTheme="minorEastAsia" w:hAnsiTheme="minorEastAsia" w:eastAsiaTheme="minorEastAsia" w:cstheme="minorEastAsia"/>
          <w:sz w:val="32"/>
          <w:szCs w:val="32"/>
        </w:rPr>
        <w:t>推动脱贫攻坚成果不断巩固、持续拓展，实现同全面实施乡村振兴有效衔接、平稳过渡，</w:t>
      </w:r>
      <w:r>
        <w:rPr>
          <w:rFonts w:hint="eastAsia" w:asciiTheme="minorEastAsia" w:hAnsiTheme="minorEastAsia" w:cstheme="minorEastAsia"/>
          <w:color w:val="000000"/>
          <w:sz w:val="32"/>
          <w:szCs w:val="32"/>
        </w:rPr>
        <w:t>并取得了一定的成效，</w:t>
      </w:r>
      <w:r>
        <w:rPr>
          <w:rStyle w:val="14"/>
          <w:rFonts w:hint="eastAsia" w:asciiTheme="minorEastAsia" w:hAnsiTheme="minorEastAsia" w:eastAsiaTheme="minorEastAsia" w:cstheme="minorEastAsia"/>
          <w:bCs/>
          <w:sz w:val="32"/>
          <w:szCs w:val="32"/>
        </w:rPr>
        <w:t>坚守防贫底线。健全防止返贫</w:t>
      </w:r>
      <w:r>
        <w:rPr>
          <w:rStyle w:val="14"/>
          <w:rFonts w:hint="eastAsia" w:asciiTheme="minorEastAsia" w:hAnsiTheme="minorEastAsia" w:eastAsiaTheme="minorEastAsia" w:cstheme="minorEastAsia"/>
          <w:sz w:val="32"/>
          <w:szCs w:val="32"/>
        </w:rPr>
        <w:t>动态监测和帮扶机制，对易返贫致贫人口实行常态化监测，建立健全快速发现和响应机制，对于因病、因疫情、因灾害可能引起致贫或返贫的重点对象，严格按照入户核实、民主评议、村级公示、个人申请、识别审批等程序纳入，做到应纳尽纳、应扶尽扶。全区21户33人监测对象已落实帮扶联系人和具体的帮扶措施。</w:t>
      </w:r>
      <w:r>
        <w:rPr>
          <w:rFonts w:hint="eastAsia" w:asciiTheme="minorEastAsia" w:hAnsiTheme="minorEastAsia" w:cstheme="minorEastAsia"/>
          <w:color w:val="000000"/>
          <w:sz w:val="32"/>
          <w:szCs w:val="32"/>
        </w:rPr>
        <w:t>构筑防返贫安全保障，区财政安排136万元为全区所有农村人口购买“精准防贫综合保险”，做到“应保尽保”“应防尽防”，“应救尽救”“应帮尽帮”。</w:t>
      </w:r>
      <w:r>
        <w:rPr>
          <w:rStyle w:val="14"/>
          <w:rFonts w:hint="eastAsia" w:asciiTheme="minorEastAsia" w:hAnsiTheme="minorEastAsia" w:eastAsiaTheme="minorEastAsia" w:cstheme="minorEastAsia"/>
          <w:b/>
          <w:bCs/>
          <w:sz w:val="32"/>
          <w:szCs w:val="32"/>
        </w:rPr>
        <w:t>二</w:t>
      </w:r>
      <w:r>
        <w:rPr>
          <w:rStyle w:val="14"/>
          <w:rFonts w:hint="eastAsia" w:asciiTheme="minorEastAsia" w:hAnsiTheme="minorEastAsia" w:eastAsiaTheme="minorEastAsia" w:cstheme="minorEastAsia"/>
          <w:bCs/>
          <w:sz w:val="32"/>
          <w:szCs w:val="32"/>
        </w:rPr>
        <w:t>是巩固脱贫成果。严格落实“四个不摘”要求，确保过渡期内政策基本稳定，继续落实教育助学和“雨露计划”政策，继续落实医疗政策，对特困人员、重度残疾人、孤儿、事实无人抚</w:t>
      </w:r>
      <w:r>
        <w:rPr>
          <w:rStyle w:val="14"/>
          <w:rFonts w:hint="eastAsia" w:asciiTheme="minorEastAsia" w:hAnsiTheme="minorEastAsia" w:eastAsiaTheme="minorEastAsia" w:cstheme="minorEastAsia"/>
          <w:bCs/>
          <w:color w:val="000000"/>
          <w:sz w:val="32"/>
          <w:szCs w:val="32"/>
        </w:rPr>
        <w:t>养</w:t>
      </w:r>
      <w:r>
        <w:rPr>
          <w:rStyle w:val="14"/>
          <w:rFonts w:hint="eastAsia" w:asciiTheme="minorEastAsia" w:hAnsiTheme="minorEastAsia" w:eastAsiaTheme="minorEastAsia" w:cstheme="minorEastAsia"/>
          <w:color w:val="000000"/>
          <w:sz w:val="32"/>
          <w:szCs w:val="32"/>
        </w:rPr>
        <w:t>进行全额资助</w:t>
      </w:r>
      <w:r>
        <w:rPr>
          <w:rStyle w:val="14"/>
          <w:rFonts w:hint="eastAsia" w:asciiTheme="minorEastAsia" w:hAnsiTheme="minorEastAsia" w:eastAsiaTheme="minorEastAsia" w:cstheme="minorEastAsia"/>
          <w:bCs/>
          <w:sz w:val="32"/>
          <w:szCs w:val="32"/>
        </w:rPr>
        <w:t>，对监测对象</w:t>
      </w:r>
      <w:r>
        <w:rPr>
          <w:rStyle w:val="14"/>
          <w:rFonts w:hint="eastAsia" w:asciiTheme="minorEastAsia" w:hAnsiTheme="minorEastAsia" w:eastAsiaTheme="minorEastAsia" w:cstheme="minorEastAsia"/>
          <w:bCs/>
          <w:color w:val="FF0000"/>
          <w:sz w:val="32"/>
          <w:szCs w:val="32"/>
        </w:rPr>
        <w:t>、</w:t>
      </w:r>
      <w:r>
        <w:rPr>
          <w:rStyle w:val="14"/>
          <w:rFonts w:hint="eastAsia" w:asciiTheme="minorEastAsia" w:hAnsiTheme="minorEastAsia" w:eastAsiaTheme="minorEastAsia" w:cstheme="minorEastAsia"/>
          <w:color w:val="000000"/>
          <w:sz w:val="32"/>
          <w:szCs w:val="32"/>
        </w:rPr>
        <w:t>低保户</w:t>
      </w:r>
      <w:r>
        <w:rPr>
          <w:rStyle w:val="14"/>
          <w:rFonts w:hint="eastAsia" w:asciiTheme="minorEastAsia" w:hAnsiTheme="minorEastAsia" w:eastAsiaTheme="minorEastAsia" w:cstheme="minorEastAsia"/>
          <w:bCs/>
          <w:color w:val="000000"/>
          <w:sz w:val="32"/>
          <w:szCs w:val="32"/>
        </w:rPr>
        <w:t>给予50%的资助，实现脱贫人口参保率达100%；继续落</w:t>
      </w:r>
      <w:r>
        <w:rPr>
          <w:rStyle w:val="14"/>
          <w:rFonts w:hint="eastAsia" w:asciiTheme="minorEastAsia" w:hAnsiTheme="minorEastAsia" w:eastAsiaTheme="minorEastAsia" w:cstheme="minorEastAsia"/>
          <w:bCs/>
          <w:sz w:val="32"/>
          <w:szCs w:val="32"/>
        </w:rPr>
        <w:t>实产业奖补政策，制订了鹤城区产业奖补政策，对监测对象进行产业奖补；</w:t>
      </w:r>
      <w:r>
        <w:rPr>
          <w:rFonts w:hint="eastAsia" w:asciiTheme="minorEastAsia" w:hAnsiTheme="minorEastAsia" w:cstheme="minorEastAsia"/>
          <w:color w:val="000000"/>
          <w:sz w:val="32"/>
          <w:szCs w:val="32"/>
        </w:rPr>
        <w:t>继续落实农村社会保障和救助制度，健全农村低收入人口常态化帮扶机制，发放低保金和临时救助通过实施残疾人精准康复服务行动，根据脱贫对象自主发展产业情况，发放小额贴息贷款。</w:t>
      </w:r>
      <w:r>
        <w:rPr>
          <w:rStyle w:val="14"/>
          <w:rFonts w:hint="eastAsia" w:asciiTheme="minorEastAsia" w:hAnsiTheme="minorEastAsia" w:eastAsiaTheme="minorEastAsia" w:cstheme="minorEastAsia"/>
          <w:bCs/>
          <w:sz w:val="32"/>
          <w:szCs w:val="32"/>
        </w:rPr>
        <w:t>同时，</w:t>
      </w:r>
      <w:r>
        <w:rPr>
          <w:rStyle w:val="14"/>
          <w:rFonts w:hint="eastAsia" w:asciiTheme="minorEastAsia" w:hAnsiTheme="minorEastAsia" w:eastAsiaTheme="minorEastAsia" w:cstheme="minorEastAsia"/>
          <w:sz w:val="32"/>
          <w:szCs w:val="32"/>
        </w:rPr>
        <w:t>在全区开展</w:t>
      </w:r>
      <w:r>
        <w:rPr>
          <w:rStyle w:val="14"/>
          <w:rFonts w:hint="eastAsia" w:asciiTheme="minorEastAsia" w:hAnsiTheme="minorEastAsia" w:eastAsiaTheme="minorEastAsia" w:cstheme="minorEastAsia"/>
          <w:color w:val="000000"/>
          <w:sz w:val="32"/>
          <w:szCs w:val="32"/>
        </w:rPr>
        <w:t>了脱贫</w:t>
      </w:r>
      <w:r>
        <w:rPr>
          <w:rStyle w:val="14"/>
          <w:rFonts w:hint="eastAsia" w:ascii="宋体" w:hAnsi="宋体" w:cs="宋体"/>
          <w:sz w:val="32"/>
          <w:szCs w:val="32"/>
        </w:rPr>
        <w:t>攻坚领域“十看十排查”专项行动，全面排查和整改“两不愁三保障”和饮水安全方面存在的问题，做到问题动态排查、动态整改、动态清零。</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ind w:firstLine="640" w:firstLineChars="200"/>
        <w:rPr>
          <w:rFonts w:ascii="仿宋" w:hAnsi="仿宋" w:eastAsia="仿宋" w:cs="宋体"/>
          <w:color w:val="000000"/>
          <w:kern w:val="0"/>
          <w:sz w:val="32"/>
          <w:szCs w:val="32"/>
        </w:rPr>
      </w:pPr>
      <w:r>
        <w:rPr>
          <w:rFonts w:hint="eastAsia" w:cs="黑体" w:asciiTheme="minorEastAsia" w:hAnsiTheme="minorEastAsia"/>
          <w:color w:val="000000"/>
          <w:kern w:val="0"/>
          <w:sz w:val="32"/>
          <w:szCs w:val="32"/>
        </w:rPr>
        <w:t>乡村振兴项目绩效自评综述：根据年初设定的绩效目标，项目绩效自评得分为98分。项目全年预算数为571.9万元，执行数为571.9万元，完成预算的100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w:t>
      </w:r>
      <w:r>
        <w:rPr>
          <w:rFonts w:hint="eastAsia" w:asciiTheme="minorEastAsia" w:hAnsiTheme="minorEastAsia" w:cstheme="minorEastAsia"/>
          <w:color w:val="000000"/>
          <w:kern w:val="0"/>
          <w:sz w:val="32"/>
          <w:szCs w:val="32"/>
        </w:rPr>
        <w:t>一是</w:t>
      </w:r>
      <w:r>
        <w:rPr>
          <w:rFonts w:hint="eastAsia" w:asciiTheme="minorEastAsia" w:hAnsiTheme="minorEastAsia" w:cstheme="minorEastAsia"/>
          <w:sz w:val="32"/>
          <w:szCs w:val="32"/>
        </w:rPr>
        <w:t>雨露计划职业教育扶贫补助，2021年实施雨露计划职业教育扶贫补助1070人次。</w:t>
      </w:r>
      <w:r>
        <w:rPr>
          <w:rFonts w:hint="eastAsia" w:asciiTheme="minorEastAsia" w:hAnsiTheme="minorEastAsia" w:cstheme="minorEastAsia"/>
          <w:sz w:val="32"/>
          <w:szCs w:val="30"/>
        </w:rPr>
        <w:t>打卡到户资金160.5万元。</w:t>
      </w:r>
      <w:r>
        <w:rPr>
          <w:rFonts w:hint="eastAsia" w:asciiTheme="minorEastAsia" w:hAnsiTheme="minorEastAsia" w:cstheme="minorEastAsia"/>
          <w:sz w:val="32"/>
          <w:szCs w:val="32"/>
        </w:rPr>
        <w:t>剩余资金2.5万元，退回财政。</w:t>
      </w:r>
      <w:r>
        <w:rPr>
          <w:rFonts w:hint="eastAsia" w:asciiTheme="minorEastAsia" w:hAnsiTheme="minorEastAsia" w:cstheme="minorEastAsia"/>
          <w:sz w:val="32"/>
          <w:szCs w:val="30"/>
        </w:rPr>
        <w:t>资金使用率100%.</w:t>
      </w:r>
      <w:r>
        <w:rPr>
          <w:rFonts w:hint="eastAsia" w:asciiTheme="minorEastAsia" w:hAnsiTheme="minorEastAsia" w:cstheme="minorEastAsia"/>
          <w:sz w:val="32"/>
          <w:szCs w:val="32"/>
        </w:rPr>
        <w:t>使我区在读中职、高职高专、技师学院的建档立卡贫困户子女顺利完成学业</w:t>
      </w:r>
      <w:r>
        <w:rPr>
          <w:rFonts w:hint="eastAsia" w:asciiTheme="minorEastAsia" w:hAnsiTheme="minorEastAsia" w:cstheme="minorEastAsia"/>
          <w:color w:val="000000"/>
          <w:kern w:val="0"/>
          <w:sz w:val="32"/>
          <w:szCs w:val="32"/>
        </w:rPr>
        <w:t>；二是</w:t>
      </w:r>
      <w:r>
        <w:rPr>
          <w:rFonts w:hint="eastAsia" w:asciiTheme="minorEastAsia" w:hAnsiTheme="minorEastAsia" w:cstheme="minorEastAsia"/>
          <w:sz w:val="32"/>
          <w:szCs w:val="32"/>
        </w:rPr>
        <w:t>金融扶贫小额扶贫贷款贴息：2021年年度全区扶贫小额贷款贴息进行应贴尽贴，凡是各乡镇上报的符合要求的系统内的贫困户，必须贴足贴付，不漏一人；三是创业致富带头培训</w:t>
      </w:r>
      <w:r>
        <w:rPr>
          <w:rFonts w:hint="eastAsia" w:asciiTheme="minorEastAsia" w:hAnsiTheme="minorEastAsia" w:cstheme="minorEastAsia"/>
          <w:color w:val="000000"/>
          <w:kern w:val="0"/>
          <w:sz w:val="32"/>
          <w:szCs w:val="32"/>
        </w:rPr>
        <w:t>全年完成乡村振兴致富带头人培训20人，</w:t>
      </w:r>
      <w:r>
        <w:rPr>
          <w:rFonts w:hint="eastAsia" w:asciiTheme="minorEastAsia" w:hAnsiTheme="minorEastAsia" w:cstheme="minorEastAsia"/>
          <w:sz w:val="32"/>
          <w:szCs w:val="32"/>
        </w:rPr>
        <w:t>2021年，财政专项扶贫资金安排创业致富带头人培训资金15万元，于5月到位，安排培训20人，在湖南农业大学培训，用资金8.8万元拨付给学校。结余6.2万元及时退回财政；四是</w:t>
      </w:r>
      <w:r>
        <w:rPr>
          <w:rFonts w:hint="eastAsia" w:asciiTheme="minorEastAsia" w:hAnsiTheme="minorEastAsia" w:cstheme="minorEastAsia"/>
          <w:color w:val="000000"/>
          <w:kern w:val="0"/>
          <w:sz w:val="32"/>
          <w:szCs w:val="32"/>
        </w:rPr>
        <w:t>防贫保险是为全区13.62万农业人口购买</w:t>
      </w:r>
      <w:r>
        <w:rPr>
          <w:rFonts w:hint="eastAsia" w:asciiTheme="minorEastAsia" w:hAnsiTheme="minorEastAsia" w:cstheme="minorEastAsia"/>
          <w:sz w:val="32"/>
          <w:szCs w:val="32"/>
        </w:rPr>
        <w:t>精准防贫综合</w:t>
      </w:r>
      <w:r>
        <w:rPr>
          <w:rFonts w:hint="eastAsia" w:asciiTheme="minorEastAsia" w:hAnsiTheme="minorEastAsia" w:cstheme="minorEastAsia"/>
          <w:color w:val="000000"/>
          <w:kern w:val="0"/>
          <w:sz w:val="32"/>
          <w:szCs w:val="32"/>
        </w:rPr>
        <w:t>保险。保险费以每人每年100元为标准，按照农村人口的10%作为投保基数进行投保，年保险费为136.2万元；五是</w:t>
      </w:r>
      <w:r>
        <w:rPr>
          <w:rFonts w:hint="eastAsia" w:asciiTheme="minorEastAsia" w:hAnsiTheme="minorEastAsia" w:cstheme="minorEastAsia"/>
          <w:sz w:val="32"/>
          <w:szCs w:val="32"/>
        </w:rPr>
        <w:t>人身意外伤害保险：为全区92人驻村帮扶工作人员购买人身意外伤害保险。</w:t>
      </w:r>
      <w:r>
        <w:rPr>
          <w:rFonts w:hint="eastAsia" w:asciiTheme="minorEastAsia" w:hAnsiTheme="minorEastAsia" w:cstheme="minorEastAsia"/>
          <w:color w:val="000000"/>
          <w:kern w:val="0"/>
          <w:sz w:val="32"/>
          <w:szCs w:val="32"/>
        </w:rPr>
        <w:t>保费标准954元/人/年；六是光伏项目质保金：</w:t>
      </w:r>
      <w:r>
        <w:rPr>
          <w:rFonts w:hint="eastAsia" w:asciiTheme="minorEastAsia" w:hAnsiTheme="minorEastAsia" w:cstheme="minorEastAsia"/>
          <w:color w:val="3D3D3D"/>
          <w:sz w:val="32"/>
          <w:szCs w:val="32"/>
          <w:shd w:val="clear" w:color="auto" w:fill="FFFFFF"/>
        </w:rPr>
        <w:t>我局会同相关部门符合验收合格后，拨付由怀化市鹤城区现代农业投资有限公司2017年建设的光伏项目质保金；</w:t>
      </w:r>
      <w:r>
        <w:rPr>
          <w:rFonts w:hint="eastAsia" w:asciiTheme="minorEastAsia" w:hAnsiTheme="minorEastAsia" w:cstheme="minorEastAsia"/>
          <w:sz w:val="32"/>
          <w:szCs w:val="32"/>
        </w:rPr>
        <w:t>七是专项扶贫工作经费：用于支付扶贫车间奖补、乡村振兴宣传、培训会议、下乡催收金融扶贫贷款、乡村振兴督查考核检查、以及贫困数据动态监测调整等各项工作的正常运转。</w:t>
      </w:r>
    </w:p>
    <w:p>
      <w:pPr>
        <w:spacing w:line="600" w:lineRule="exact"/>
        <w:ind w:firstLine="640" w:firstLineChars="200"/>
        <w:rPr>
          <w:rFonts w:asciiTheme="minorEastAsia" w:hAnsiTheme="minorEastAsia" w:cstheme="minorEastAsia"/>
          <w:color w:val="000000"/>
          <w:kern w:val="0"/>
          <w:sz w:val="32"/>
          <w:szCs w:val="32"/>
        </w:rPr>
      </w:pPr>
      <w:r>
        <w:rPr>
          <w:rFonts w:hint="eastAsia" w:cs="黑体" w:asciiTheme="minorEastAsia" w:hAnsiTheme="minorEastAsia"/>
          <w:color w:val="000000"/>
          <w:kern w:val="0"/>
          <w:sz w:val="32"/>
          <w:szCs w:val="32"/>
        </w:rPr>
        <w:t>发现的主要问题及原因：</w:t>
      </w:r>
      <w:r>
        <w:rPr>
          <w:rFonts w:hint="eastAsia" w:asciiTheme="minorEastAsia" w:hAnsiTheme="minorEastAsia" w:cstheme="minorEastAsia"/>
          <w:color w:val="000000"/>
          <w:kern w:val="0"/>
          <w:sz w:val="32"/>
          <w:szCs w:val="32"/>
        </w:rPr>
        <w:t>一是</w:t>
      </w:r>
      <w:r>
        <w:rPr>
          <w:rFonts w:hint="eastAsia" w:asciiTheme="minorEastAsia" w:hAnsiTheme="minorEastAsia" w:cstheme="minorEastAsia"/>
          <w:sz w:val="32"/>
          <w:szCs w:val="32"/>
        </w:rPr>
        <w:t>预算执行进度相对较慢。</w:t>
      </w:r>
      <w:r>
        <w:rPr>
          <w:rFonts w:hint="eastAsia" w:asciiTheme="minorEastAsia" w:hAnsiTheme="minorEastAsia" w:cstheme="minorEastAsia"/>
          <w:color w:val="000000"/>
          <w:kern w:val="0"/>
          <w:sz w:val="32"/>
          <w:szCs w:val="32"/>
        </w:rPr>
        <w:t>；二是</w:t>
      </w:r>
      <w:r>
        <w:rPr>
          <w:rFonts w:hint="eastAsia" w:asciiTheme="minorEastAsia" w:hAnsiTheme="minorEastAsia" w:cstheme="minorEastAsia"/>
          <w:sz w:val="32"/>
          <w:szCs w:val="32"/>
        </w:rPr>
        <w:t>部分项目实施较晚，结算支出时间滞后</w:t>
      </w:r>
      <w:r>
        <w:rPr>
          <w:rFonts w:hint="eastAsia" w:asciiTheme="minorEastAsia" w:hAnsiTheme="minorEastAsia" w:cstheme="minorEastAsia"/>
          <w:color w:val="000000"/>
          <w:kern w:val="0"/>
          <w:sz w:val="32"/>
          <w:szCs w:val="32"/>
        </w:rPr>
        <w:t>。下一步改进措施：一是</w:t>
      </w:r>
      <w:r>
        <w:rPr>
          <w:rFonts w:hint="eastAsia" w:asciiTheme="minorEastAsia" w:hAnsiTheme="minorEastAsia" w:cstheme="minorEastAsia"/>
          <w:sz w:val="32"/>
          <w:szCs w:val="32"/>
        </w:rPr>
        <w:t>科学编制预算。一是加强支出分析，增强对各项经济活动的预判能力，提高预算编制的科学性</w:t>
      </w:r>
      <w:r>
        <w:rPr>
          <w:rFonts w:hint="eastAsia" w:asciiTheme="minorEastAsia" w:hAnsiTheme="minorEastAsia" w:cstheme="minorEastAsia"/>
          <w:color w:val="000000"/>
          <w:kern w:val="0"/>
          <w:sz w:val="32"/>
          <w:szCs w:val="32"/>
        </w:rPr>
        <w:t>；二是</w:t>
      </w:r>
      <w:r>
        <w:rPr>
          <w:rFonts w:hint="eastAsia" w:asciiTheme="minorEastAsia" w:hAnsiTheme="minorEastAsia" w:cstheme="minorEastAsia"/>
          <w:sz w:val="32"/>
          <w:szCs w:val="32"/>
        </w:rPr>
        <w:t>是跨年项目资金尽量按项目进度分次申报资金。需当年追加预算的，当年形成支出，当年不能完全支出的，调整支出安排调剂用于其他符合政策规定的支出。</w:t>
      </w:r>
    </w:p>
    <w:p>
      <w:pPr>
        <w:pStyle w:val="15"/>
        <w:spacing w:line="360" w:lineRule="auto"/>
        <w:ind w:firstLine="640" w:firstLineChars="200"/>
        <w:rPr>
          <w:rFonts w:asciiTheme="minorEastAsia" w:hAnsiTheme="minorEastAsia" w:eastAsiaTheme="minorEastAsia" w:cstheme="minorEastAsia"/>
          <w:sz w:val="32"/>
          <w:szCs w:val="32"/>
        </w:rPr>
      </w:pPr>
      <w:r>
        <w:rPr>
          <w:rFonts w:hint="eastAsia" w:cs="黑体" w:asciiTheme="minorEastAsia" w:hAnsiTheme="minorEastAsia"/>
          <w:color w:val="000000"/>
          <w:kern w:val="0"/>
          <w:sz w:val="32"/>
          <w:szCs w:val="32"/>
        </w:rPr>
        <w:t>乡村振兴项目绩效自评综述：</w:t>
      </w:r>
      <w:r>
        <w:rPr>
          <w:rFonts w:hint="eastAsia" w:asciiTheme="minorEastAsia" w:hAnsiTheme="minorEastAsia" w:eastAsiaTheme="minorEastAsia" w:cstheme="minorEastAsia"/>
          <w:sz w:val="32"/>
          <w:szCs w:val="32"/>
        </w:rPr>
        <w:t>所有项目资金按时到位，到位率100%。</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color w:val="3D3D3D"/>
          <w:sz w:val="32"/>
          <w:szCs w:val="32"/>
          <w:shd w:val="clear" w:color="auto" w:fill="FFFFFF"/>
        </w:rPr>
        <w:t>并且已经支付，</w:t>
      </w:r>
      <w:r>
        <w:rPr>
          <w:rFonts w:hint="eastAsia" w:asciiTheme="minorEastAsia" w:hAnsiTheme="minorEastAsia" w:cstheme="minorEastAsia"/>
          <w:sz w:val="32"/>
          <w:szCs w:val="32"/>
        </w:rPr>
        <w:t>专款专用。资金支出合理，没有违规、闲置等情况。支付率100%。严格按照资金管理制度正常使用。加强我单位财务管理，完善财务制度，强化财务监督，严肃财经纪律，提高资金使用效益，确保工作正常有序开展，根据《党政机关厉行节约反对浪费条例》以及有关财务规定，结合我单位实际，制定了相应的财务管理办法。项目资金管理严格按照财政扶贫资金的管理办法管理，始终坚持资金随着项目走，所有专项资金一律实行扶贫资金国库集中支付制,对资金实行专款专用、专帐设置、专人管理，严格审批验收报账程序。同时建立相应的项目档案制度，分项分类存档。</w:t>
      </w:r>
    </w:p>
    <w:p>
      <w:pPr>
        <w:pStyle w:val="16"/>
        <w:spacing w:line="360" w:lineRule="auto"/>
        <w:ind w:firstLine="640" w:firstLineChars="200"/>
        <w:rPr>
          <w:rFonts w:cs="黑体" w:asciiTheme="minorEastAsia" w:hAnsiTheme="minorEastAsia" w:eastAsiaTheme="minorEastAsia"/>
          <w:color w:val="000000"/>
          <w:kern w:val="0"/>
          <w:sz w:val="32"/>
          <w:szCs w:val="32"/>
        </w:rPr>
      </w:pPr>
      <w:r>
        <w:rPr>
          <w:rFonts w:hint="eastAsia" w:asciiTheme="minorEastAsia" w:hAnsiTheme="minorEastAsia" w:eastAsiaTheme="minorEastAsia" w:cstheme="minorEastAsia"/>
          <w:sz w:val="32"/>
          <w:szCs w:val="32"/>
        </w:rPr>
        <w:t>资金按照财政拨付的专项资金使用。参考省级乡村振兴部门学籍数据比对名单，以及各帮扶责任人对接上报拟补助名单，各村支两委、工作队召开村级会议对学生资质进行复核，并进行为期7天公示无异议后。确定拟补助学生名单。初核通过的拟补助对象由乡镇人民政府汇总名单，公开公示7天无异议后，报区乡村振兴部门审定，并在区政务平台网公示5-7天无异议后，经财政部门发放补助资金。</w:t>
      </w:r>
    </w:p>
    <w:p>
      <w:pPr>
        <w:numPr>
          <w:ilvl w:val="0"/>
          <w:numId w:val="2"/>
        </w:num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部门评价项目绩效评价结果。</w:t>
      </w:r>
    </w:p>
    <w:p>
      <w:pPr>
        <w:pStyle w:val="6"/>
        <w:widowControl/>
        <w:shd w:val="clear" w:color="auto" w:fill="FFFFFF"/>
        <w:spacing w:before="0" w:beforeAutospacing="0" w:after="0" w:afterAutospacing="0" w:line="375" w:lineRule="atLeast"/>
        <w:ind w:firstLine="640" w:firstLineChars="200"/>
        <w:jc w:val="both"/>
        <w:rPr>
          <w:rFonts w:asciiTheme="minorEastAsia" w:hAnsiTheme="minorEastAsia" w:cstheme="minorEastAsia"/>
          <w:sz w:val="32"/>
          <w:szCs w:val="32"/>
        </w:rPr>
      </w:pPr>
      <w:r>
        <w:rPr>
          <w:rFonts w:hint="eastAsia" w:asciiTheme="minorEastAsia" w:hAnsiTheme="minorEastAsia" w:cstheme="minorEastAsia"/>
          <w:sz w:val="32"/>
          <w:szCs w:val="32"/>
        </w:rPr>
        <w:t>项目资金按照预算拨付金额使用。厉行节约，减少成本、按时完成。并按照项目要求，保证资金使用到位。</w:t>
      </w:r>
      <w:r>
        <w:rPr>
          <w:rFonts w:hint="eastAsia" w:asciiTheme="minorEastAsia" w:hAnsiTheme="minorEastAsia" w:cstheme="minorEastAsia"/>
          <w:color w:val="3D3D3D"/>
          <w:sz w:val="32"/>
          <w:szCs w:val="32"/>
          <w:shd w:val="clear" w:color="auto" w:fill="FFFFFF"/>
        </w:rPr>
        <w:t>除了经济效益显著，增加了建档立卡贫困户的收入；还加强了贫困村的基础设施建设，做到了扶持对象精准、项目安排精准、扶贫资金使用精准、措施到户精准、脱贫成效精准，项目业主积极、贫困百姓拥护，是一举多得、各方共赢的各项效益显著。</w:t>
      </w:r>
    </w:p>
    <w:p>
      <w:pPr>
        <w:autoSpaceDE w:val="0"/>
        <w:autoSpaceDN w:val="0"/>
        <w:adjustRightInd w:val="0"/>
        <w:ind w:firstLine="1280" w:firstLineChars="400"/>
        <w:jc w:val="left"/>
        <w:rPr>
          <w:rFonts w:asciiTheme="minorEastAsia" w:hAnsiTheme="minorEastAsia" w:cstheme="minorEastAsia"/>
          <w:b/>
          <w:color w:val="000000"/>
          <w:kern w:val="0"/>
          <w:sz w:val="32"/>
          <w:szCs w:val="32"/>
        </w:rPr>
      </w:pPr>
    </w:p>
    <w:p>
      <w:pPr>
        <w:pStyle w:val="11"/>
        <w:ind w:firstLine="3600" w:firstLineChars="500"/>
        <w:jc w:val="both"/>
        <w:rPr>
          <w:rFonts w:hint="eastAsia"/>
          <w:sz w:val="72"/>
          <w:szCs w:val="72"/>
        </w:rPr>
      </w:pPr>
    </w:p>
    <w:p>
      <w:pPr>
        <w:pStyle w:val="11"/>
        <w:ind w:firstLine="3600" w:firstLineChars="500"/>
        <w:jc w:val="both"/>
        <w:rPr>
          <w:rFonts w:hint="eastAsia"/>
          <w:sz w:val="72"/>
          <w:szCs w:val="72"/>
        </w:rPr>
      </w:pPr>
    </w:p>
    <w:p>
      <w:pPr>
        <w:pStyle w:val="11"/>
        <w:ind w:firstLine="3600" w:firstLineChars="500"/>
        <w:jc w:val="both"/>
        <w:rPr>
          <w:rFonts w:hint="eastAsia"/>
          <w:sz w:val="72"/>
          <w:szCs w:val="72"/>
        </w:rPr>
      </w:pPr>
    </w:p>
    <w:p>
      <w:pPr>
        <w:pStyle w:val="11"/>
        <w:ind w:firstLine="3600" w:firstLineChars="500"/>
        <w:jc w:val="both"/>
        <w:rPr>
          <w:rFonts w:hint="eastAsia"/>
          <w:sz w:val="72"/>
          <w:szCs w:val="72"/>
        </w:rPr>
      </w:pPr>
    </w:p>
    <w:p>
      <w:pPr>
        <w:pStyle w:val="11"/>
        <w:ind w:firstLine="3600" w:firstLineChars="500"/>
        <w:jc w:val="both"/>
        <w:rPr>
          <w:rFonts w:hint="eastAsia"/>
          <w:sz w:val="72"/>
          <w:szCs w:val="72"/>
        </w:rPr>
      </w:pPr>
    </w:p>
    <w:p>
      <w:pPr>
        <w:pStyle w:val="11"/>
        <w:ind w:firstLine="3600" w:firstLineChars="500"/>
        <w:jc w:val="both"/>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both"/>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Theme="minorEastAsia" w:hAnsiTheme="minorEastAsia" w:cstheme="minorEastAsia"/>
          <w:color w:val="000000"/>
          <w:kern w:val="0"/>
          <w:sz w:val="70"/>
          <w:szCs w:val="70"/>
        </w:rPr>
      </w:pPr>
    </w:p>
    <w:p>
      <w:pPr>
        <w:ind w:firstLine="720" w:firstLineChars="200"/>
        <w:jc w:val="center"/>
        <w:rPr>
          <w:rFonts w:asciiTheme="minorEastAsia" w:hAnsiTheme="minorEastAsia" w:cstheme="minorEastAsia"/>
          <w:b/>
          <w:color w:val="000000"/>
          <w:kern w:val="0"/>
          <w:sz w:val="36"/>
          <w:szCs w:val="36"/>
        </w:rPr>
      </w:pPr>
      <w:r>
        <w:rPr>
          <w:rFonts w:hint="eastAsia" w:asciiTheme="minorEastAsia" w:hAnsiTheme="minorEastAsia" w:cstheme="minorEastAsia"/>
          <w:b/>
          <w:color w:val="000000"/>
          <w:kern w:val="0"/>
          <w:sz w:val="36"/>
          <w:szCs w:val="36"/>
        </w:rPr>
        <w:t>2021年度部门整体支出绩效评价报告</w:t>
      </w:r>
    </w:p>
    <w:p>
      <w:pPr>
        <w:ind w:firstLine="640" w:firstLineChars="200"/>
        <w:jc w:val="left"/>
        <w:rPr>
          <w:rFonts w:asciiTheme="minorEastAsia" w:hAnsiTheme="minorEastAsia" w:cstheme="minorEastAsia"/>
          <w:color w:val="000000"/>
          <w:kern w:val="0"/>
          <w:sz w:val="32"/>
          <w:szCs w:val="32"/>
        </w:rPr>
      </w:pPr>
    </w:p>
    <w:p>
      <w:pPr>
        <w:widowControl/>
        <w:shd w:val="clear" w:color="auto" w:fill="FFFFFF"/>
        <w:spacing w:line="600" w:lineRule="atLeast"/>
        <w:ind w:firstLine="1602" w:firstLineChars="450"/>
        <w:rPr>
          <w:rFonts w:asciiTheme="minorEastAsia" w:hAnsiTheme="minorEastAsia" w:cstheme="minorEastAsia"/>
          <w:b/>
          <w:spacing w:val="-2"/>
          <w:sz w:val="36"/>
          <w:szCs w:val="36"/>
        </w:rPr>
      </w:pPr>
      <w:r>
        <w:rPr>
          <w:rFonts w:hint="eastAsia" w:asciiTheme="minorEastAsia" w:hAnsiTheme="minorEastAsia" w:cstheme="minorEastAsia"/>
          <w:b/>
          <w:spacing w:val="-2"/>
          <w:sz w:val="36"/>
          <w:szCs w:val="36"/>
        </w:rPr>
        <w:t>部门整体支出绩效评价报告参考提纲</w:t>
      </w:r>
    </w:p>
    <w:p>
      <w:pPr>
        <w:widowControl/>
        <w:shd w:val="clear" w:color="auto" w:fill="FFFFFF"/>
        <w:spacing w:line="600" w:lineRule="atLeast"/>
        <w:ind w:firstLine="640"/>
        <w:rPr>
          <w:rFonts w:asciiTheme="minorEastAsia" w:hAnsiTheme="minorEastAsia" w:cstheme="minorEastAsia"/>
          <w:spacing w:val="-2"/>
          <w:sz w:val="36"/>
          <w:szCs w:val="36"/>
        </w:rPr>
      </w:pPr>
      <w:r>
        <w:rPr>
          <w:rFonts w:hint="eastAsia" w:asciiTheme="minorEastAsia" w:hAnsiTheme="minorEastAsia" w:cstheme="minorEastAsia"/>
          <w:b/>
          <w:spacing w:val="-2"/>
          <w:sz w:val="36"/>
          <w:szCs w:val="36"/>
        </w:rPr>
        <w:t>一、部门概况</w:t>
      </w:r>
    </w:p>
    <w:p>
      <w:pPr>
        <w:spacing w:line="600" w:lineRule="exact"/>
        <w:ind w:firstLine="640" w:firstLineChars="200"/>
        <w:rPr>
          <w:rFonts w:asciiTheme="minorEastAsia" w:hAnsiTheme="minorEastAsia" w:cstheme="minorEastAsia"/>
          <w:spacing w:val="-2"/>
          <w:sz w:val="32"/>
          <w:szCs w:val="32"/>
        </w:rPr>
      </w:pPr>
      <w:r>
        <w:rPr>
          <w:rFonts w:hint="eastAsia" w:asciiTheme="minorEastAsia" w:hAnsiTheme="minorEastAsia" w:cstheme="minorEastAsia"/>
          <w:sz w:val="32"/>
          <w:szCs w:val="32"/>
        </w:rPr>
        <w:t>（一）部门职能职责</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1、负责组织、协调、指导全区脱贫攻坚工作，组织实施精准扶贫、精准脱贫。</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2、负责组织开展扶贫信息体系建设，建立扶贫开发统计监测体系，指导扶贫系统统计和信息化建设工作。</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3、负责会同有关部门组织开展全区脱贫攻坚督查、考核工作。</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4、承担协调扶贫开发系统风险防控、涉贫信访和舆情处理工作。</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5、完成区扶贫开发领导小组交办的工作。</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（二）机构编制人员情况</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区乡村振兴局是区人民政府工作部门，为正科级行政单位，内设1.综合股（加挂人事股、驻村指导和督查股、贫困监测股）2、规划财务和项目股3、设立行业协调和社会扶贫股。编制数15个，实有在职在编15人，退休7人，借调3人，临聘1人。</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我办党组高度重视绩效评价工作，成立了由周福长主任任组长的领导小组，结合实际情况制订了自评方案，完善了评价指标体系，明确由财务室牵头，组织机关各股室开展绩效自评。</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评价工作分四阶段进行：第一阶段前期准备，制定自评工作方案和指标评价体系，部署工作，明确要求。第二阶段结合编制部门决算，对办本单位检查，审阅了单位的凭证，查阅了账簿，对预算收支情况进行了核实。第三阶段为终评阶段，认真总结分析自评，综合评议后形成评价结论，出具绩效评价报告。第四阶段整理相关资料并归档。</w:t>
      </w:r>
    </w:p>
    <w:p>
      <w:pPr>
        <w:widowControl/>
        <w:shd w:val="clear" w:color="auto" w:fill="FFFFFF"/>
        <w:spacing w:line="600" w:lineRule="atLeast"/>
        <w:ind w:firstLine="640"/>
        <w:rPr>
          <w:rFonts w:asciiTheme="minorEastAsia" w:hAnsiTheme="minorEastAsia" w:cstheme="minorEastAsia"/>
          <w:spacing w:val="-2"/>
          <w:sz w:val="32"/>
          <w:szCs w:val="32"/>
        </w:rPr>
      </w:pPr>
    </w:p>
    <w:p>
      <w:pPr>
        <w:widowControl/>
        <w:numPr>
          <w:ilvl w:val="0"/>
          <w:numId w:val="3"/>
        </w:numPr>
        <w:shd w:val="clear" w:color="auto" w:fill="FFFFFF"/>
        <w:spacing w:line="600" w:lineRule="atLeast"/>
        <w:ind w:firstLine="640"/>
        <w:rPr>
          <w:rFonts w:asciiTheme="minorEastAsia" w:hAnsiTheme="minorEastAsia" w:cstheme="minorEastAsia"/>
          <w:spacing w:val="-2"/>
          <w:sz w:val="32"/>
          <w:szCs w:val="32"/>
        </w:rPr>
      </w:pPr>
      <w:r>
        <w:rPr>
          <w:rFonts w:hint="eastAsia" w:asciiTheme="minorEastAsia" w:hAnsiTheme="minorEastAsia" w:cstheme="minorEastAsia"/>
          <w:spacing w:val="-2"/>
          <w:sz w:val="32"/>
          <w:szCs w:val="32"/>
        </w:rPr>
        <w:t>部门整体支出规模、使用方向和主要内容、涉及范围等。</w:t>
      </w:r>
    </w:p>
    <w:p>
      <w:pPr>
        <w:spacing w:line="600" w:lineRule="exact"/>
        <w:ind w:firstLine="640" w:firstLineChars="200"/>
        <w:rPr>
          <w:rFonts w:asciiTheme="minorEastAsia" w:hAnsiTheme="minorEastAsia" w:cstheme="minorEastAsia"/>
          <w:spacing w:val="-2"/>
          <w:sz w:val="32"/>
          <w:szCs w:val="32"/>
        </w:rPr>
      </w:pPr>
      <w:r>
        <w:rPr>
          <w:rFonts w:hint="eastAsia" w:asciiTheme="minorEastAsia" w:hAnsiTheme="minorEastAsia" w:cstheme="minorEastAsia"/>
          <w:sz w:val="32"/>
          <w:szCs w:val="32"/>
        </w:rPr>
        <w:t>2021年度部门整体支出为770.2万元，其中：基本支出197.2万元，项目支出573万元。本年基本支出用于人员经费、行政机关运行等工作；项目支出用于全区扶贫金融扶贫小额信贷贴息、雨露计划扶贫助学补助、创业致富带头人培训、全区农业人口返贫保险费、驻村工作队队员保险、扶贫车间奖补资金、2017年光伏项目质保金以及全区扶贫各项工作督导检查工作经费等。本次部门整体支出评价与预决算口径保持一致。</w:t>
      </w:r>
    </w:p>
    <w:p>
      <w:pPr>
        <w:widowControl/>
        <w:shd w:val="clear" w:color="auto" w:fill="FFFFFF"/>
        <w:spacing w:line="600" w:lineRule="atLeast"/>
        <w:ind w:firstLine="640"/>
        <w:rPr>
          <w:rFonts w:asciiTheme="minorEastAsia" w:hAnsiTheme="minorEastAsia" w:cstheme="minorEastAsia"/>
          <w:b/>
          <w:spacing w:val="-2"/>
          <w:sz w:val="32"/>
          <w:szCs w:val="32"/>
        </w:rPr>
      </w:pPr>
      <w:r>
        <w:rPr>
          <w:rFonts w:hint="eastAsia" w:asciiTheme="minorEastAsia" w:hAnsiTheme="minorEastAsia" w:cstheme="minorEastAsia"/>
          <w:b/>
          <w:spacing w:val="-2"/>
          <w:sz w:val="32"/>
          <w:szCs w:val="32"/>
        </w:rPr>
        <w:t>二、部门整体支出管理及使用情况</w:t>
      </w:r>
    </w:p>
    <w:p>
      <w:pPr>
        <w:widowControl/>
        <w:shd w:val="clear" w:color="auto" w:fill="FFFFFF"/>
        <w:spacing w:line="600" w:lineRule="atLeast"/>
        <w:ind w:firstLine="643"/>
        <w:rPr>
          <w:rFonts w:asciiTheme="minorEastAsia" w:hAnsiTheme="minorEastAsia" w:cstheme="minorEastAsia"/>
          <w:b/>
          <w:spacing w:val="-2"/>
          <w:sz w:val="32"/>
          <w:szCs w:val="32"/>
        </w:rPr>
      </w:pPr>
      <w:r>
        <w:rPr>
          <w:rFonts w:hint="eastAsia" w:asciiTheme="minorEastAsia" w:hAnsiTheme="minorEastAsia" w:cstheme="minorEastAsia"/>
          <w:b/>
          <w:spacing w:val="-2"/>
          <w:sz w:val="32"/>
          <w:szCs w:val="32"/>
        </w:rPr>
        <w:t>（一）基本支出</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1、收入预算：2021年预算总收入770.2万元，其中财政拨款收入769.17万元，占99.9%，其他收入1万元，占0.1%年初结转结余0.1万元.</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2、支出预算：2021年预算总支出770.2万元，其中，基本支出197.2万元（人员支出187.7万元，公用经费9.5支出万元）；2、项目支出573万元（基本建设项目支出万元，专项业务费支出 151.9万元，对个人和家庭补助类 420.1万元，其他支出1万元）。</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3、“三公”经费增减情况，我局2020年度“三公”经费标准为8.84万元，2021年核定标准为7.95万元，核减0.89万元，下浮10%，2021年实际三公经费支出5.14万元，较上年度决算数减少了0.2万元。减少原因主要是：认真贯彻中央八项规定和六项禁令规定，厉行节约、严控“三公经费”。明确招待用餐标准及其范围，严格管控公务接待。</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二、一般公共预算支出情况</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（一）基本支出情况</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2021年度财政拨款基本支出197.2万元，其中：人员经费187.7万元，占基本支出的95%,主要包括基本工资55.2万元、津贴补贴48.9万元、奖金47.7万元、机关事业单位基本养老保险缴费16.3万元、职工基本医疗保险缴费8.2万元、住房公积金11.4万元；公用经费9.5万元，占基本支出的5%，主要包括办公费2.1万元、印刷费0.8万元、水费0.1万元、邮电费0.3万元、差旅费0.4万元、工会经费4.4万元、福利费1.1万元、其他商品和服务支出0.3万元。</w:t>
      </w:r>
    </w:p>
    <w:p>
      <w:pPr>
        <w:widowControl/>
        <w:shd w:val="clear" w:color="auto" w:fill="FFFFFF"/>
        <w:spacing w:line="600" w:lineRule="atLeast"/>
        <w:ind w:firstLine="640"/>
        <w:rPr>
          <w:rFonts w:asciiTheme="minorEastAsia" w:hAnsiTheme="minorEastAsia" w:cstheme="minorEastAsia"/>
          <w:spacing w:val="-2"/>
          <w:sz w:val="32"/>
          <w:szCs w:val="32"/>
        </w:rPr>
      </w:pPr>
    </w:p>
    <w:p>
      <w:pPr>
        <w:widowControl/>
        <w:shd w:val="clear" w:color="auto" w:fill="FFFFFF"/>
        <w:spacing w:line="600" w:lineRule="atLeast"/>
        <w:ind w:firstLine="643"/>
        <w:rPr>
          <w:rFonts w:asciiTheme="minorEastAsia" w:hAnsiTheme="minorEastAsia" w:cstheme="minorEastAsia"/>
          <w:b/>
          <w:spacing w:val="-2"/>
          <w:sz w:val="32"/>
          <w:szCs w:val="32"/>
        </w:rPr>
      </w:pPr>
      <w:r>
        <w:rPr>
          <w:rFonts w:hint="eastAsia" w:asciiTheme="minorEastAsia" w:hAnsiTheme="minorEastAsia" w:cstheme="minorEastAsia"/>
          <w:b/>
          <w:spacing w:val="-2"/>
          <w:sz w:val="32"/>
          <w:szCs w:val="32"/>
        </w:rPr>
        <w:t>（二）专项支出</w:t>
      </w:r>
    </w:p>
    <w:p>
      <w:pPr>
        <w:widowControl/>
        <w:shd w:val="clear" w:color="auto" w:fill="FFFFFF"/>
        <w:spacing w:line="600" w:lineRule="atLeast"/>
        <w:ind w:firstLine="640"/>
        <w:rPr>
          <w:rFonts w:asciiTheme="minorEastAsia" w:hAnsiTheme="minorEastAsia" w:cstheme="minorEastAsia"/>
          <w:spacing w:val="-2"/>
          <w:sz w:val="32"/>
          <w:szCs w:val="32"/>
        </w:rPr>
      </w:pPr>
      <w:r>
        <w:rPr>
          <w:rFonts w:hint="eastAsia" w:asciiTheme="minorEastAsia" w:hAnsiTheme="minorEastAsia" w:cstheme="minorEastAsia"/>
          <w:spacing w:val="-2"/>
          <w:sz w:val="32"/>
          <w:szCs w:val="32"/>
        </w:rPr>
        <w:t>1、专项资金（包括财政资金、自筹资金等）安排落实、总投入等情况分析。</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2021年项目总支出573万元，其中：中央扶贫专项资金223万元、统筹整合扶贫专项资金15万元，区本级财政资金 334万元。其他资金1万元。具体如下:</w:t>
      </w:r>
    </w:p>
    <w:p>
      <w:pPr>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1）.中央资金扶贫资金223万元。其中鹤乡振组【2021】4号文件，2021年共下达雨露计划专项扶贫资金150万、扶贫小额贷款贴息预算资45万元、创业致富带头人培训15万元，鹤乡振组【2021】8号文件下达雨露计划专项扶贫资金13万元。</w:t>
      </w:r>
    </w:p>
    <w:p>
      <w:pPr>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（2）.涉农整合扶贫资金15万.（鹤乡振组【2021】8号文件从涉农整合扶贫资金下达扶贫小额贷款贴息资金15万元.）</w:t>
      </w:r>
    </w:p>
    <w:p>
      <w:pPr>
        <w:ind w:firstLine="640" w:firstLineChars="200"/>
        <w:rPr>
          <w:rFonts w:asciiTheme="minorEastAsia" w:hAnsiTheme="minorEastAsia" w:cstheme="minorEastAsia"/>
          <w:spacing w:val="-2"/>
          <w:sz w:val="32"/>
          <w:szCs w:val="32"/>
        </w:rPr>
      </w:pPr>
      <w:r>
        <w:rPr>
          <w:rFonts w:hint="eastAsia" w:asciiTheme="minorEastAsia" w:hAnsiTheme="minorEastAsia" w:cstheme="minorEastAsia"/>
          <w:sz w:val="32"/>
          <w:szCs w:val="32"/>
        </w:rPr>
        <w:t>（3）.区本级财政预算安排334万元，防贫保险136.2万元、驻村工作队队员意外险8.7万元、2017年光伏项目质保金37.2万元、扶贫工作经费151.9万。</w:t>
      </w:r>
    </w:p>
    <w:p>
      <w:pPr>
        <w:ind w:firstLine="632" w:firstLineChars="200"/>
        <w:rPr>
          <w:rFonts w:asciiTheme="minorEastAsia" w:hAnsiTheme="minorEastAsia" w:cstheme="minorEastAsia"/>
          <w:spacing w:val="-2"/>
          <w:sz w:val="32"/>
          <w:szCs w:val="32"/>
        </w:rPr>
      </w:pPr>
      <w:r>
        <w:rPr>
          <w:rFonts w:hint="eastAsia" w:asciiTheme="minorEastAsia" w:hAnsiTheme="minorEastAsia" w:cstheme="minorEastAsia"/>
          <w:spacing w:val="-2"/>
          <w:sz w:val="32"/>
          <w:szCs w:val="32"/>
        </w:rPr>
        <w:t>2、专项资金（主要指财政资金）实际使用情况分析。</w:t>
      </w:r>
      <w:r>
        <w:rPr>
          <w:rFonts w:hint="eastAsia" w:asciiTheme="minorEastAsia" w:hAnsiTheme="minorEastAsia" w:cstheme="minorEastAsia"/>
          <w:sz w:val="32"/>
          <w:szCs w:val="32"/>
        </w:rPr>
        <w:t>雨露计划职业教育扶贫补助是163万元。打卡到户资金160.5万元。剩余资金2.5万元，退回财政。资金使用率100%；金融扶贫小额扶贫贷款贴息60万元，已全部贴完，做到应贴尽贴，放方式为财政打卡到贫困户的扶贫补贴存折卡上。贴息率100%；创业致富带头培训资金15万元，安排培训20人，在湖南农业大学培训，用资金8.8万元拨付给学校。结余6.2万元及时退回财政；</w:t>
      </w:r>
      <w:r>
        <w:rPr>
          <w:rFonts w:hint="eastAsia" w:asciiTheme="minorEastAsia" w:hAnsiTheme="minorEastAsia" w:cstheme="minorEastAsia"/>
          <w:color w:val="000000"/>
          <w:kern w:val="0"/>
          <w:sz w:val="32"/>
          <w:szCs w:val="32"/>
        </w:rPr>
        <w:t>防贫保险136.2万元，为全区13.62万农业人口购买</w:t>
      </w:r>
      <w:r>
        <w:rPr>
          <w:rFonts w:hint="eastAsia" w:asciiTheme="minorEastAsia" w:hAnsiTheme="minorEastAsia" w:cstheme="minorEastAsia"/>
          <w:sz w:val="32"/>
          <w:szCs w:val="32"/>
        </w:rPr>
        <w:t>精准防贫综合</w:t>
      </w:r>
      <w:r>
        <w:rPr>
          <w:rFonts w:hint="eastAsia" w:asciiTheme="minorEastAsia" w:hAnsiTheme="minorEastAsia" w:cstheme="minorEastAsia"/>
          <w:color w:val="000000"/>
          <w:kern w:val="0"/>
          <w:sz w:val="32"/>
          <w:szCs w:val="32"/>
        </w:rPr>
        <w:t>保险。紧扣“一超过、两不愁、三保障”标准和要求，将容易导致保障对象致贫返贫风险较大的对象分类保障。保险费以每人每年100元为标准，按照农村人口的10%作为投保基数进行投保，年保险费为136.2万元。已拨付</w:t>
      </w:r>
      <w:r>
        <w:rPr>
          <w:rFonts w:hint="eastAsia" w:asciiTheme="minorEastAsia" w:hAnsiTheme="minorEastAsia" w:cstheme="minorEastAsia"/>
          <w:sz w:val="32"/>
          <w:szCs w:val="32"/>
        </w:rPr>
        <w:t>中国太平洋财产保险股份有限公司鹤城支公司与乡村振兴局银行开设的共管账户；人身意外伤害保险8.7万元，为全区92人驻村帮扶工作人员购买人身意外伤害保险；</w:t>
      </w:r>
      <w:r>
        <w:rPr>
          <w:rFonts w:hint="eastAsia" w:asciiTheme="minorEastAsia" w:hAnsiTheme="minorEastAsia" w:cstheme="minorEastAsia"/>
          <w:color w:val="000000"/>
          <w:kern w:val="0"/>
          <w:sz w:val="32"/>
          <w:szCs w:val="32"/>
        </w:rPr>
        <w:t>光伏项目质保金37.2万元,项目验收合格支付完成；</w:t>
      </w:r>
      <w:r>
        <w:rPr>
          <w:rFonts w:hint="eastAsia" w:asciiTheme="minorEastAsia" w:hAnsiTheme="minorEastAsia" w:cstheme="minorEastAsia"/>
          <w:sz w:val="32"/>
          <w:szCs w:val="32"/>
        </w:rPr>
        <w:t>专项工作经费151.9万元用于支付扶贫车间奖补、乡村振兴宣传、培训会议、下乡催收金融扶贫贷款、乡村振兴督查考核检查、以及贫困数据动态监测调整等各项工作的正常运转。</w:t>
      </w:r>
    </w:p>
    <w:p>
      <w:pPr>
        <w:widowControl/>
        <w:shd w:val="clear" w:color="auto" w:fill="FFFFFF"/>
        <w:spacing w:line="600" w:lineRule="atLeast"/>
        <w:ind w:firstLine="640"/>
        <w:rPr>
          <w:rFonts w:asciiTheme="minorEastAsia" w:hAnsiTheme="minorEastAsia" w:cstheme="minorEastAsia"/>
          <w:spacing w:val="-2"/>
          <w:sz w:val="32"/>
          <w:szCs w:val="32"/>
        </w:rPr>
      </w:pPr>
      <w:r>
        <w:rPr>
          <w:rFonts w:hint="eastAsia" w:asciiTheme="minorEastAsia" w:hAnsiTheme="minorEastAsia" w:cstheme="minorEastAsia"/>
          <w:spacing w:val="-2"/>
          <w:sz w:val="32"/>
          <w:szCs w:val="32"/>
        </w:rPr>
        <w:t>3、专项资金管理情况分析，主要包括管理制度、办法的制订及执行情况。</w:t>
      </w:r>
    </w:p>
    <w:p>
      <w:pPr>
        <w:spacing w:line="600" w:lineRule="exact"/>
        <w:ind w:firstLine="632" w:firstLineChars="200"/>
        <w:rPr>
          <w:rFonts w:asciiTheme="minorEastAsia" w:hAnsiTheme="minorEastAsia" w:cstheme="minorEastAsia"/>
          <w:sz w:val="32"/>
          <w:szCs w:val="32"/>
        </w:rPr>
      </w:pPr>
      <w:r>
        <w:rPr>
          <w:rFonts w:hint="eastAsia" w:asciiTheme="minorEastAsia" w:hAnsiTheme="minorEastAsia" w:cstheme="minorEastAsia"/>
          <w:spacing w:val="-2"/>
          <w:sz w:val="32"/>
          <w:szCs w:val="32"/>
        </w:rPr>
        <w:t>专项资金能做到专款专用，本着统筹安排，量入为出的原则，进行统一核算管理。</w:t>
      </w:r>
      <w:r>
        <w:rPr>
          <w:rFonts w:hint="eastAsia" w:asciiTheme="minorEastAsia" w:hAnsiTheme="minorEastAsia" w:cstheme="minorEastAsia"/>
          <w:sz w:val="32"/>
          <w:szCs w:val="32"/>
        </w:rPr>
        <w:t>所有扶贫项目资金资金拨付情况都分别在村务公开栏、怀化新闻网挂网公示进行公示。资金支出合理，没有违规、闲置等情况。</w:t>
      </w:r>
    </w:p>
    <w:p>
      <w:pPr>
        <w:widowControl/>
        <w:shd w:val="clear" w:color="auto" w:fill="FFFFFF"/>
        <w:tabs>
          <w:tab w:val="left" w:pos="312"/>
        </w:tabs>
        <w:spacing w:line="600" w:lineRule="atLeast"/>
        <w:ind w:firstLine="632" w:firstLineChars="200"/>
        <w:rPr>
          <w:rFonts w:asciiTheme="minorEastAsia" w:hAnsiTheme="minorEastAsia" w:cstheme="minorEastAsia"/>
          <w:spacing w:val="-2"/>
          <w:sz w:val="32"/>
          <w:szCs w:val="32"/>
        </w:rPr>
      </w:pPr>
    </w:p>
    <w:p>
      <w:pPr>
        <w:widowControl/>
        <w:shd w:val="clear" w:color="auto" w:fill="FFFFFF"/>
        <w:spacing w:line="600" w:lineRule="atLeast"/>
        <w:ind w:firstLine="640"/>
        <w:rPr>
          <w:rFonts w:asciiTheme="minorEastAsia" w:hAnsiTheme="minorEastAsia" w:cstheme="minorEastAsia"/>
          <w:b/>
          <w:spacing w:val="-2"/>
          <w:sz w:val="32"/>
          <w:szCs w:val="32"/>
        </w:rPr>
      </w:pPr>
      <w:r>
        <w:rPr>
          <w:rFonts w:hint="eastAsia" w:asciiTheme="minorEastAsia" w:hAnsiTheme="minorEastAsia" w:cstheme="minorEastAsia"/>
          <w:b/>
          <w:spacing w:val="-2"/>
          <w:sz w:val="32"/>
          <w:szCs w:val="32"/>
        </w:rPr>
        <w:t>三、部门专项组织实施情况</w:t>
      </w:r>
    </w:p>
    <w:p>
      <w:pPr>
        <w:widowControl/>
        <w:shd w:val="clear" w:color="auto" w:fill="FFFFFF"/>
        <w:spacing w:line="600" w:lineRule="atLeast"/>
        <w:ind w:firstLine="640"/>
        <w:rPr>
          <w:rFonts w:asciiTheme="minorEastAsia" w:hAnsiTheme="minorEastAsia" w:cstheme="minorEastAsia"/>
          <w:spacing w:val="-2"/>
          <w:sz w:val="32"/>
          <w:szCs w:val="32"/>
        </w:rPr>
      </w:pPr>
      <w:r>
        <w:rPr>
          <w:rFonts w:hint="eastAsia" w:asciiTheme="minorEastAsia" w:hAnsiTheme="minorEastAsia" w:cstheme="minorEastAsia"/>
          <w:spacing w:val="-2"/>
          <w:sz w:val="32"/>
          <w:szCs w:val="32"/>
        </w:rPr>
        <w:t>（一）专项组织情况分析，主要包括项目招投标、调整、竣工验收等情况。</w:t>
      </w:r>
    </w:p>
    <w:p>
      <w:pPr>
        <w:widowControl/>
        <w:shd w:val="clear" w:color="auto" w:fill="FFFFFF"/>
        <w:spacing w:line="600" w:lineRule="atLeast"/>
        <w:ind w:firstLine="960" w:firstLineChars="300"/>
        <w:rPr>
          <w:rFonts w:asciiTheme="minorEastAsia" w:hAnsiTheme="minorEastAsia" w:cstheme="minorEastAsia"/>
          <w:spacing w:val="-2"/>
          <w:sz w:val="32"/>
          <w:szCs w:val="32"/>
        </w:rPr>
      </w:pPr>
      <w:r>
        <w:rPr>
          <w:rFonts w:hint="eastAsia" w:asciiTheme="minorEastAsia" w:hAnsiTheme="minorEastAsia" w:cstheme="minorEastAsia"/>
          <w:sz w:val="32"/>
          <w:szCs w:val="32"/>
        </w:rPr>
        <w:t>所有有扶贫项目专款专用，严格按照统筹资金管理办法实施、验收、拨付，项目拨付情况都分别在村务公开栏、怀化新闻网挂网公示进行公示。资金支出合理，没有违规、闲置等情况。</w:t>
      </w:r>
    </w:p>
    <w:p>
      <w:pPr>
        <w:widowControl/>
        <w:shd w:val="clear" w:color="auto" w:fill="FFFFFF"/>
        <w:spacing w:line="600" w:lineRule="atLeast"/>
        <w:ind w:firstLine="632" w:firstLineChars="200"/>
        <w:rPr>
          <w:rFonts w:asciiTheme="minorEastAsia" w:hAnsiTheme="minorEastAsia" w:cstheme="minorEastAsia"/>
          <w:spacing w:val="-2"/>
          <w:sz w:val="32"/>
          <w:szCs w:val="32"/>
        </w:rPr>
      </w:pPr>
      <w:r>
        <w:rPr>
          <w:rFonts w:hint="eastAsia" w:asciiTheme="minorEastAsia" w:hAnsiTheme="minorEastAsia" w:cstheme="minorEastAsia"/>
          <w:spacing w:val="-2"/>
          <w:sz w:val="32"/>
          <w:szCs w:val="32"/>
        </w:rPr>
        <w:t>（二）专项管理情况分析，主要包括项目管理制度建设、日常检查监督管理等情况。</w:t>
      </w:r>
    </w:p>
    <w:p>
      <w:pPr>
        <w:widowControl/>
        <w:shd w:val="clear" w:color="auto" w:fill="FFFFFF"/>
        <w:spacing w:line="600" w:lineRule="atLeast"/>
        <w:ind w:firstLine="960" w:firstLineChars="300"/>
        <w:rPr>
          <w:rFonts w:asciiTheme="minorEastAsia" w:hAnsiTheme="minorEastAsia" w:cstheme="minorEastAsia"/>
          <w:spacing w:val="-2"/>
          <w:sz w:val="32"/>
          <w:szCs w:val="32"/>
        </w:rPr>
      </w:pPr>
      <w:r>
        <w:rPr>
          <w:rFonts w:hint="eastAsia" w:asciiTheme="minorEastAsia" w:hAnsiTheme="minorEastAsia" w:cstheme="minorEastAsia"/>
          <w:sz w:val="32"/>
          <w:szCs w:val="32"/>
        </w:rPr>
        <w:t>严格按照资金管理制度正常使用。加强我单位财务管理，完善财务制度，强化财务监督，严肃财经纪律，提高资金使用效益，确保工作正常有序开展，根据《党政机关厉行节约反对浪费条例》以及有关财务规定，结合我单位实际，制定了相应的财务管理办法。项目资金管理严格按照财政扶贫资金的管理办法管理，始终坚持资金随着项目走，所有专项资金一律实行扶贫资金国库集中支付制,对资金实行专款专用、专帐设置、专人管理，严格审批验收报账程序。同时建立相应的项目档案制度，分项分类存档。</w:t>
      </w:r>
    </w:p>
    <w:p>
      <w:pPr>
        <w:widowControl/>
        <w:shd w:val="clear" w:color="auto" w:fill="FFFFFF"/>
        <w:spacing w:line="600" w:lineRule="atLeast"/>
        <w:ind w:firstLine="640"/>
        <w:rPr>
          <w:rFonts w:asciiTheme="minorEastAsia" w:hAnsiTheme="minorEastAsia" w:cstheme="minorEastAsia"/>
          <w:b/>
          <w:spacing w:val="-2"/>
          <w:sz w:val="32"/>
          <w:szCs w:val="32"/>
        </w:rPr>
      </w:pPr>
      <w:r>
        <w:rPr>
          <w:rFonts w:hint="eastAsia" w:asciiTheme="minorEastAsia" w:hAnsiTheme="minorEastAsia" w:cstheme="minorEastAsia"/>
          <w:b/>
          <w:spacing w:val="-2"/>
          <w:sz w:val="32"/>
          <w:szCs w:val="32"/>
        </w:rPr>
        <w:t>四、资产管理情况</w:t>
      </w:r>
    </w:p>
    <w:p>
      <w:pPr>
        <w:widowControl/>
        <w:shd w:val="clear" w:color="auto" w:fill="FFFFFF"/>
        <w:spacing w:line="600" w:lineRule="atLeast"/>
        <w:ind w:firstLine="640"/>
        <w:rPr>
          <w:rFonts w:asciiTheme="minorEastAsia" w:hAnsiTheme="minorEastAsia" w:cstheme="minorEastAsia"/>
          <w:spacing w:val="-2"/>
          <w:sz w:val="32"/>
          <w:szCs w:val="32"/>
        </w:rPr>
      </w:pPr>
      <w:r>
        <w:rPr>
          <w:rFonts w:hint="eastAsia" w:asciiTheme="minorEastAsia" w:hAnsiTheme="minorEastAsia" w:cstheme="minorEastAsia"/>
          <w:spacing w:val="-2"/>
          <w:sz w:val="32"/>
          <w:szCs w:val="32"/>
        </w:rPr>
        <w:t>反映部门资产的配置、管理、处置等综合情况。包括制度建设、管理措施、配置处置的程序等。</w:t>
      </w:r>
    </w:p>
    <w:p>
      <w:pPr>
        <w:widowControl/>
        <w:shd w:val="clear" w:color="auto" w:fill="FFFFFF"/>
        <w:spacing w:line="600" w:lineRule="atLeast"/>
        <w:ind w:firstLine="640"/>
        <w:rPr>
          <w:rFonts w:asciiTheme="minorEastAsia" w:hAnsiTheme="minorEastAsia" w:cstheme="minorEastAsia"/>
          <w:spacing w:val="-2"/>
          <w:sz w:val="32"/>
          <w:szCs w:val="32"/>
        </w:rPr>
      </w:pPr>
      <w:r>
        <w:rPr>
          <w:rFonts w:hint="eastAsia" w:asciiTheme="minorEastAsia" w:hAnsiTheme="minorEastAsia" w:cstheme="minorEastAsia"/>
          <w:spacing w:val="-2"/>
          <w:sz w:val="32"/>
          <w:szCs w:val="32"/>
        </w:rPr>
        <w:t>1.认真贯彻执行有关国有资产管理的法律、法规制度；</w:t>
      </w:r>
    </w:p>
    <w:p>
      <w:pPr>
        <w:widowControl/>
        <w:shd w:val="clear" w:color="auto" w:fill="FFFFFF"/>
        <w:spacing w:line="600" w:lineRule="atLeast"/>
        <w:ind w:firstLine="640"/>
        <w:rPr>
          <w:rFonts w:asciiTheme="minorEastAsia" w:hAnsiTheme="minorEastAsia" w:cstheme="minorEastAsia"/>
          <w:spacing w:val="-2"/>
          <w:sz w:val="32"/>
          <w:szCs w:val="32"/>
        </w:rPr>
      </w:pPr>
      <w:r>
        <w:rPr>
          <w:rFonts w:hint="eastAsia" w:asciiTheme="minorEastAsia" w:hAnsiTheme="minorEastAsia" w:cstheme="minorEastAsia"/>
          <w:spacing w:val="-2"/>
          <w:sz w:val="32"/>
          <w:szCs w:val="32"/>
        </w:rPr>
        <w:t>2.制定本部门的资产管理办法并组织实施和监督检查；</w:t>
      </w:r>
    </w:p>
    <w:p>
      <w:pPr>
        <w:widowControl/>
        <w:shd w:val="clear" w:color="auto" w:fill="FFFFFF"/>
        <w:spacing w:line="600" w:lineRule="atLeast"/>
        <w:ind w:firstLine="632" w:firstLineChars="200"/>
        <w:rPr>
          <w:rFonts w:asciiTheme="minorEastAsia" w:hAnsiTheme="minorEastAsia" w:cstheme="minorEastAsia"/>
          <w:spacing w:val="-2"/>
          <w:sz w:val="32"/>
          <w:szCs w:val="32"/>
        </w:rPr>
      </w:pPr>
      <w:r>
        <w:rPr>
          <w:rFonts w:hint="eastAsia" w:asciiTheme="minorEastAsia" w:hAnsiTheme="minorEastAsia" w:cstheme="minorEastAsia"/>
          <w:spacing w:val="-2"/>
          <w:sz w:val="32"/>
          <w:szCs w:val="32"/>
        </w:rPr>
        <w:t>3.制定本部门资产清查、登记及日常监督检查工作;</w:t>
      </w:r>
    </w:p>
    <w:p>
      <w:pPr>
        <w:widowControl/>
        <w:shd w:val="clear" w:color="auto" w:fill="FFFFFF"/>
        <w:spacing w:line="600" w:lineRule="atLeast"/>
        <w:ind w:left="630"/>
        <w:rPr>
          <w:rFonts w:asciiTheme="minorEastAsia" w:hAnsiTheme="minorEastAsia" w:cstheme="minorEastAsia"/>
          <w:spacing w:val="-2"/>
          <w:sz w:val="32"/>
          <w:szCs w:val="32"/>
        </w:rPr>
      </w:pPr>
      <w:r>
        <w:rPr>
          <w:rFonts w:hint="eastAsia" w:asciiTheme="minorEastAsia" w:hAnsiTheme="minorEastAsia" w:cstheme="minorEastAsia"/>
          <w:spacing w:val="-2"/>
          <w:sz w:val="32"/>
          <w:szCs w:val="32"/>
        </w:rPr>
        <w:t>4.规定权限范围内资产调拨、转让、报损、报废的审批程序；</w:t>
      </w:r>
    </w:p>
    <w:p>
      <w:pPr>
        <w:widowControl/>
        <w:shd w:val="clear" w:color="auto" w:fill="FFFFFF"/>
        <w:spacing w:line="600" w:lineRule="atLeast"/>
        <w:ind w:left="630"/>
        <w:rPr>
          <w:rFonts w:asciiTheme="minorEastAsia" w:hAnsiTheme="minorEastAsia" w:cstheme="minorEastAsia"/>
          <w:spacing w:val="-2"/>
          <w:sz w:val="32"/>
          <w:szCs w:val="32"/>
        </w:rPr>
      </w:pPr>
      <w:r>
        <w:rPr>
          <w:rFonts w:hint="eastAsia" w:asciiTheme="minorEastAsia" w:hAnsiTheme="minorEastAsia" w:cstheme="minorEastAsia"/>
          <w:spacing w:val="-2"/>
          <w:sz w:val="32"/>
          <w:szCs w:val="32"/>
        </w:rPr>
        <w:t>5.向同级国有资产管理部门和财政部门负责，并报告工作。合理合规配置资产。</w:t>
      </w:r>
    </w:p>
    <w:p>
      <w:pPr>
        <w:widowControl/>
        <w:shd w:val="clear" w:color="auto" w:fill="FFFFFF"/>
        <w:spacing w:line="600" w:lineRule="atLeast"/>
        <w:ind w:firstLine="640"/>
        <w:rPr>
          <w:rFonts w:asciiTheme="minorEastAsia" w:hAnsiTheme="minorEastAsia" w:cstheme="minorEastAsia"/>
          <w:spacing w:val="-2"/>
          <w:sz w:val="32"/>
          <w:szCs w:val="32"/>
        </w:rPr>
      </w:pPr>
      <w:r>
        <w:rPr>
          <w:rFonts w:hint="eastAsia" w:asciiTheme="minorEastAsia" w:hAnsiTheme="minorEastAsia" w:cstheme="minorEastAsia"/>
          <w:b/>
          <w:spacing w:val="-2"/>
          <w:sz w:val="32"/>
          <w:szCs w:val="32"/>
        </w:rPr>
        <w:t>五、部门整体支出绩效情况</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（一）预算管理指标</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2021年我局预算管理各项指标控制较好，年初我局财政拨款支出年初预算数为769.1万元，支出决算数为769.1万元，完成年初预算的100%，年初预算安排公用经费总额9.5万元，实际支付公用经费总额9.5万元完成年初预算的100%，“三公”经费预算数为7.95万元，支出决算为5.14万元，完成预算的65%。</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我局为加强部门整体支出管理，提高资金和资产的使用效益，提高财务的精细化管理水平，建立了内控制度，并不断进行完善和修订，主要从以下几个方面加强预算管理：</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1、日常财务管理规范有序。一是严格预算管理。坚持财务收支两条线的科学化管理方法，所有收入全部纳入部门预算、单位财务账目统一管理核算。所有支出遵循先有预算、后有支出的原则，有效杜绝了超预算或无预算安排支出。二是加强支出管理。严格控制“三公”经费。较好地控制在预算范围之内。三是严格遵守报账程序。加强资金的使用管理，经费报销严格执行审批报销程序和报账手续，注重经费支出的必要性和有效性审核，没有必要的事项和成效不大事项尽量不开支，超预算、超标准、超范围、无政策依据的经费不予支出，有效保证了单位预算执行规范有序。</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2、促进经费支出节支增效。遵守量入为出，先预算后开支，厉行节约的原则。贯彻落实中央和省关于压缩一般性支出的要求，合理确定一般性支出的范围和标准，提高资金效益，减少浪费。</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3、建立健全内控管理工作机制。一是健全制度体系。制定和完善了《怀化市鹤城区扶贫开发办公室机关财务管理办法》等管理制度，在预算管理、政府采购事项、会议费等支出管理、报账手续等方面作出明确要求，弥补单位政府采购等事项的制度空白。二是强化内部控制监督。开展内控评价和风险评估。制定了2021年度内部控制评价和风险评估工作方案。强化对权力运行的制约和监督，加大从源头防患内控风险，强化纪检监督。并参加办党组“三重一大”工作研究。</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4、加强资产管理，减少闲置浪费。加强资产的购置管理。严格按照国有资产配置限额和标准，有计划有部署地做好资产预算编制和政府采购工作。 加强固定资产日常使用管理。规范资产验收入库、账卡登记、内部转移、保管维护、清查处置等工作。加强固定资产的动态管理。通过资产信息管理系统，做好资产的统计、报告、分析工作，实现对资产的动态管理。</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5、认真落实部门预决算公开制度。按照统一要求和部署，我办在政府门户网站公开了2021年部门预算、“三公”经费预算和2020年部门整体支出绩效目标以及2020年部门决算和“三公”经费决算；对2021年度部门整体支出进行了绩效评价，各项指标控制较好，按要求上报2021年绩效评价报告公开。各项应向社会公开的信息及时、完整、真实，信息透明度提高，社会反响良好。</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（二）职责履行和履职效益指标评价情况</w:t>
      </w:r>
    </w:p>
    <w:p>
      <w:pPr>
        <w:spacing w:line="600" w:lineRule="exact"/>
        <w:ind w:firstLine="640" w:firstLineChars="200"/>
        <w:rPr>
          <w:rFonts w:asciiTheme="minorEastAsia" w:hAnsiTheme="minorEastAsia" w:cstheme="minorEastAsia"/>
          <w:spacing w:val="-2"/>
          <w:sz w:val="32"/>
          <w:szCs w:val="32"/>
        </w:rPr>
      </w:pPr>
      <w:r>
        <w:rPr>
          <w:rFonts w:hint="eastAsia" w:asciiTheme="minorEastAsia" w:hAnsiTheme="minorEastAsia" w:cstheme="minorEastAsia"/>
          <w:color w:val="000000"/>
          <w:sz w:val="32"/>
          <w:szCs w:val="32"/>
        </w:rPr>
        <w:t>2021年，在区委、区政府的正确领导下，乡村振兴局</w:t>
      </w:r>
      <w:r>
        <w:rPr>
          <w:rStyle w:val="14"/>
          <w:rFonts w:hint="eastAsia" w:asciiTheme="minorEastAsia" w:hAnsiTheme="minorEastAsia" w:eastAsiaTheme="minorEastAsia" w:cstheme="minorEastAsia"/>
          <w:sz w:val="32"/>
          <w:szCs w:val="32"/>
        </w:rPr>
        <w:t>深入学习贯彻习近平总书记关于实施乡村振兴战略的重要讲话精神，</w:t>
      </w:r>
      <w:r>
        <w:rPr>
          <w:rFonts w:hint="eastAsia" w:asciiTheme="minorEastAsia" w:hAnsiTheme="minorEastAsia" w:cstheme="minorEastAsia"/>
          <w:sz w:val="32"/>
          <w:szCs w:val="32"/>
        </w:rPr>
        <w:t>坚决贯彻落实习近平总书记对湖南的重要指示批示精神，坚定不移贯彻</w:t>
      </w:r>
      <w:r>
        <w:rPr>
          <w:rStyle w:val="14"/>
          <w:rFonts w:hint="eastAsia" w:asciiTheme="minorEastAsia" w:hAnsiTheme="minorEastAsia" w:eastAsiaTheme="minorEastAsia" w:cstheme="minorEastAsia"/>
          <w:sz w:val="32"/>
          <w:szCs w:val="32"/>
        </w:rPr>
        <w:t>区委、区政府</w:t>
      </w:r>
      <w:r>
        <w:rPr>
          <w:rFonts w:hint="eastAsia" w:asciiTheme="minorEastAsia" w:hAnsiTheme="minorEastAsia" w:cstheme="minorEastAsia"/>
          <w:sz w:val="32"/>
          <w:szCs w:val="32"/>
        </w:rPr>
        <w:t>决策部署，始终把实施乡村振兴战略作为重大政治任务、摆在重要位置，</w:t>
      </w:r>
      <w:r>
        <w:rPr>
          <w:rStyle w:val="14"/>
          <w:rFonts w:hint="eastAsia" w:asciiTheme="minorEastAsia" w:hAnsiTheme="minorEastAsia" w:eastAsiaTheme="minorEastAsia" w:cstheme="minorEastAsia"/>
          <w:sz w:val="32"/>
          <w:szCs w:val="32"/>
        </w:rPr>
        <w:t>推动脱贫攻坚成果不断巩固、持续拓展，实现同全面实施乡村振兴有效衔接、平稳过渡，</w:t>
      </w:r>
      <w:r>
        <w:rPr>
          <w:rFonts w:hint="eastAsia" w:asciiTheme="minorEastAsia" w:hAnsiTheme="minorEastAsia" w:cstheme="minorEastAsia"/>
          <w:color w:val="000000"/>
          <w:sz w:val="32"/>
          <w:szCs w:val="32"/>
        </w:rPr>
        <w:t>并取得了一定的成效，</w:t>
      </w:r>
      <w:r>
        <w:rPr>
          <w:rStyle w:val="14"/>
          <w:rFonts w:hint="eastAsia" w:asciiTheme="minorEastAsia" w:hAnsiTheme="minorEastAsia" w:eastAsiaTheme="minorEastAsia" w:cstheme="minorEastAsia"/>
          <w:bCs/>
          <w:sz w:val="32"/>
          <w:szCs w:val="32"/>
        </w:rPr>
        <w:t>坚守防贫底线。健全防止返贫</w:t>
      </w:r>
      <w:r>
        <w:rPr>
          <w:rStyle w:val="14"/>
          <w:rFonts w:hint="eastAsia" w:asciiTheme="minorEastAsia" w:hAnsiTheme="minorEastAsia" w:eastAsiaTheme="minorEastAsia" w:cstheme="minorEastAsia"/>
          <w:sz w:val="32"/>
          <w:szCs w:val="32"/>
        </w:rPr>
        <w:t>动态监测和帮扶机制，对易返贫致贫人口实行常态化监测，建立健全快速发现和响应机制，对于因病、因疫情、因灾害可能引起致贫或返贫的重点对象，严格按照入户核实、民主评议、村级公示、个人申请、识别审批等程序纳入，做到应纳尽纳、应扶尽扶。全区21户33人监测对象已落实帮扶联系人和具体的帮扶措施。</w:t>
      </w:r>
      <w:r>
        <w:rPr>
          <w:rFonts w:hint="eastAsia" w:asciiTheme="minorEastAsia" w:hAnsiTheme="minorEastAsia" w:cstheme="minorEastAsia"/>
          <w:color w:val="000000"/>
          <w:sz w:val="32"/>
          <w:szCs w:val="32"/>
        </w:rPr>
        <w:t>构筑防返贫安全保障，区财政安排136万元为全区所有农村人口购买“精准防贫综合保险”，做到“应保尽保”“应防尽防”，“应救尽救”“应帮尽帮”。</w:t>
      </w:r>
      <w:r>
        <w:rPr>
          <w:rStyle w:val="14"/>
          <w:rFonts w:hint="eastAsia" w:asciiTheme="minorEastAsia" w:hAnsiTheme="minorEastAsia" w:eastAsiaTheme="minorEastAsia" w:cstheme="minorEastAsia"/>
          <w:b/>
          <w:bCs/>
          <w:sz w:val="32"/>
          <w:szCs w:val="32"/>
        </w:rPr>
        <w:t>二是</w:t>
      </w:r>
      <w:r>
        <w:rPr>
          <w:rStyle w:val="14"/>
          <w:rFonts w:hint="eastAsia" w:asciiTheme="minorEastAsia" w:hAnsiTheme="minorEastAsia" w:eastAsiaTheme="minorEastAsia" w:cstheme="minorEastAsia"/>
          <w:bCs/>
          <w:sz w:val="32"/>
          <w:szCs w:val="32"/>
        </w:rPr>
        <w:t>巩固脱贫成果。严格落实“四个不摘”要求，确保过渡期内政策基本稳定，继续落实教育助学和“雨露计划”政策，继续落实医疗政策，对特困人员、重度残疾人、孤儿、事实无人抚</w:t>
      </w:r>
      <w:r>
        <w:rPr>
          <w:rStyle w:val="14"/>
          <w:rFonts w:hint="eastAsia" w:asciiTheme="minorEastAsia" w:hAnsiTheme="minorEastAsia" w:eastAsiaTheme="minorEastAsia" w:cstheme="minorEastAsia"/>
          <w:bCs/>
          <w:color w:val="000000"/>
          <w:sz w:val="32"/>
          <w:szCs w:val="32"/>
        </w:rPr>
        <w:t>养</w:t>
      </w:r>
      <w:r>
        <w:rPr>
          <w:rStyle w:val="14"/>
          <w:rFonts w:hint="eastAsia" w:asciiTheme="minorEastAsia" w:hAnsiTheme="minorEastAsia" w:eastAsiaTheme="minorEastAsia" w:cstheme="minorEastAsia"/>
          <w:color w:val="000000"/>
          <w:sz w:val="32"/>
          <w:szCs w:val="32"/>
        </w:rPr>
        <w:t>进行全额资助</w:t>
      </w:r>
      <w:r>
        <w:rPr>
          <w:rStyle w:val="14"/>
          <w:rFonts w:hint="eastAsia" w:asciiTheme="minorEastAsia" w:hAnsiTheme="minorEastAsia" w:eastAsiaTheme="minorEastAsia" w:cstheme="minorEastAsia"/>
          <w:bCs/>
          <w:sz w:val="32"/>
          <w:szCs w:val="32"/>
        </w:rPr>
        <w:t>，对监测对象</w:t>
      </w:r>
      <w:r>
        <w:rPr>
          <w:rStyle w:val="14"/>
          <w:rFonts w:hint="eastAsia" w:asciiTheme="minorEastAsia" w:hAnsiTheme="minorEastAsia" w:eastAsiaTheme="minorEastAsia" w:cstheme="minorEastAsia"/>
          <w:bCs/>
          <w:color w:val="FF0000"/>
          <w:sz w:val="32"/>
          <w:szCs w:val="32"/>
        </w:rPr>
        <w:t>、</w:t>
      </w:r>
      <w:r>
        <w:rPr>
          <w:rStyle w:val="14"/>
          <w:rFonts w:hint="eastAsia" w:asciiTheme="minorEastAsia" w:hAnsiTheme="minorEastAsia" w:eastAsiaTheme="minorEastAsia" w:cstheme="minorEastAsia"/>
          <w:color w:val="000000"/>
          <w:sz w:val="32"/>
          <w:szCs w:val="32"/>
        </w:rPr>
        <w:t>低保户</w:t>
      </w:r>
      <w:r>
        <w:rPr>
          <w:rStyle w:val="14"/>
          <w:rFonts w:hint="eastAsia" w:asciiTheme="minorEastAsia" w:hAnsiTheme="minorEastAsia" w:eastAsiaTheme="minorEastAsia" w:cstheme="minorEastAsia"/>
          <w:bCs/>
          <w:color w:val="000000"/>
          <w:sz w:val="32"/>
          <w:szCs w:val="32"/>
        </w:rPr>
        <w:t>给予50%的资助，实现脱贫人口参保率达100%；继续落</w:t>
      </w:r>
      <w:r>
        <w:rPr>
          <w:rStyle w:val="14"/>
          <w:rFonts w:hint="eastAsia" w:asciiTheme="minorEastAsia" w:hAnsiTheme="minorEastAsia" w:eastAsiaTheme="minorEastAsia" w:cstheme="minorEastAsia"/>
          <w:bCs/>
          <w:sz w:val="32"/>
          <w:szCs w:val="32"/>
        </w:rPr>
        <w:t>实产业奖补政策，制订了鹤城区产业奖补政策，对监测对象进行产业奖补；</w:t>
      </w:r>
      <w:r>
        <w:rPr>
          <w:rFonts w:hint="eastAsia" w:asciiTheme="minorEastAsia" w:hAnsiTheme="minorEastAsia" w:cstheme="minorEastAsia"/>
          <w:color w:val="000000"/>
          <w:sz w:val="32"/>
          <w:szCs w:val="32"/>
        </w:rPr>
        <w:t>继续落实农村社会保障和救助制度，健全农村低收入人口常态化帮扶机制，发放低保金和临时救助通过实施残疾人精准康复服务行动，根据脱贫对象自主发展产业情况，发放小额贴息贷款。</w:t>
      </w:r>
      <w:r>
        <w:rPr>
          <w:rStyle w:val="14"/>
          <w:rFonts w:hint="eastAsia" w:asciiTheme="minorEastAsia" w:hAnsiTheme="minorEastAsia" w:eastAsiaTheme="minorEastAsia" w:cstheme="minorEastAsia"/>
          <w:bCs/>
          <w:sz w:val="32"/>
          <w:szCs w:val="32"/>
        </w:rPr>
        <w:t>同时，</w:t>
      </w:r>
      <w:r>
        <w:rPr>
          <w:rStyle w:val="14"/>
          <w:rFonts w:hint="eastAsia" w:asciiTheme="minorEastAsia" w:hAnsiTheme="minorEastAsia" w:eastAsiaTheme="minorEastAsia" w:cstheme="minorEastAsia"/>
          <w:sz w:val="32"/>
          <w:szCs w:val="32"/>
        </w:rPr>
        <w:t>在全区开展</w:t>
      </w:r>
      <w:r>
        <w:rPr>
          <w:rStyle w:val="14"/>
          <w:rFonts w:hint="eastAsia" w:asciiTheme="minorEastAsia" w:hAnsiTheme="minorEastAsia" w:eastAsiaTheme="minorEastAsia" w:cstheme="minorEastAsia"/>
          <w:color w:val="000000"/>
          <w:sz w:val="32"/>
          <w:szCs w:val="32"/>
        </w:rPr>
        <w:t>了脱贫</w:t>
      </w:r>
      <w:r>
        <w:rPr>
          <w:rStyle w:val="14"/>
          <w:rFonts w:hint="eastAsia" w:asciiTheme="minorEastAsia" w:hAnsiTheme="minorEastAsia" w:eastAsiaTheme="minorEastAsia" w:cstheme="minorEastAsia"/>
          <w:sz w:val="32"/>
          <w:szCs w:val="32"/>
        </w:rPr>
        <w:t>攻坚领域“十看十排查”专项行动，全面排查和整改“两不愁三保障”和饮水安全方面存在的问题，做到问题动态排查、动态整改、动态清零。</w:t>
      </w:r>
    </w:p>
    <w:p>
      <w:pPr>
        <w:widowControl/>
        <w:shd w:val="clear" w:color="auto" w:fill="FFFFFF"/>
        <w:spacing w:line="600" w:lineRule="atLeast"/>
        <w:ind w:firstLine="640"/>
        <w:rPr>
          <w:rFonts w:asciiTheme="minorEastAsia" w:hAnsiTheme="minorEastAsia" w:cstheme="minorEastAsia"/>
          <w:b/>
          <w:spacing w:val="-2"/>
          <w:sz w:val="32"/>
          <w:szCs w:val="32"/>
        </w:rPr>
      </w:pPr>
      <w:r>
        <w:rPr>
          <w:rFonts w:hint="eastAsia" w:asciiTheme="minorEastAsia" w:hAnsiTheme="minorEastAsia" w:cstheme="minorEastAsia"/>
          <w:b/>
          <w:spacing w:val="-2"/>
          <w:sz w:val="32"/>
          <w:szCs w:val="32"/>
        </w:rPr>
        <w:t>六、存在的主要问题</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可以从预算和预算绩效管理，部门履职效能，资金分配、使用和管理，资产和财务管理、政府采购等方面归纳存在的问题；反映各种</w:t>
      </w:r>
      <w:r>
        <w:rPr>
          <w:rFonts w:hint="eastAsia" w:asciiTheme="minorEastAsia" w:hAnsiTheme="minorEastAsia" w:cstheme="minorEastAsia"/>
          <w:color w:val="000000"/>
          <w:sz w:val="32"/>
          <w:szCs w:val="32"/>
        </w:rPr>
        <w:t>预算支出执行偏离绩效目标的情况，</w:t>
      </w:r>
      <w:r>
        <w:rPr>
          <w:rFonts w:hint="eastAsia" w:asciiTheme="minorEastAsia" w:hAnsiTheme="minorEastAsia" w:cstheme="minorEastAsia"/>
          <w:sz w:val="32"/>
          <w:szCs w:val="32"/>
        </w:rPr>
        <w:t xml:space="preserve">并分析其原因。 </w:t>
      </w:r>
    </w:p>
    <w:p>
      <w:pPr>
        <w:widowControl/>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color w:val="000000"/>
          <w:sz w:val="32"/>
          <w:szCs w:val="32"/>
          <w:shd w:val="clear" w:color="auto" w:fill="FFFFFF"/>
        </w:rPr>
        <w:t>2021年工作，尽管取得了一定的成绩，但与上级党委政府的要求相比，与人民群众的要求相比，还存在一定差距和不足，比如</w:t>
      </w:r>
      <w:r>
        <w:rPr>
          <w:rFonts w:hint="eastAsia" w:asciiTheme="minorEastAsia" w:hAnsiTheme="minorEastAsia" w:cstheme="minorEastAsia"/>
          <w:sz w:val="32"/>
          <w:szCs w:val="32"/>
        </w:rPr>
        <w:t>预算执行进度相对较慢。部分项目实施较晚，结算支出时间滞后</w:t>
      </w:r>
      <w:r>
        <w:rPr>
          <w:rFonts w:hint="eastAsia" w:asciiTheme="minorEastAsia" w:hAnsiTheme="minorEastAsia" w:cstheme="minorEastAsia"/>
          <w:color w:val="000000"/>
          <w:sz w:val="32"/>
          <w:szCs w:val="32"/>
          <w:shd w:val="clear" w:color="auto" w:fill="FFFFFF"/>
        </w:rPr>
        <w:t>今后，我单位将不断改进提高，把各项工作做好做细，让组织放心、让人民满意。</w:t>
      </w:r>
    </w:p>
    <w:p>
      <w:pPr>
        <w:widowControl/>
        <w:numPr>
          <w:ilvl w:val="0"/>
          <w:numId w:val="4"/>
        </w:numPr>
        <w:shd w:val="clear" w:color="auto" w:fill="FFFFFF"/>
        <w:spacing w:line="600" w:lineRule="atLeast"/>
        <w:ind w:firstLine="640"/>
        <w:rPr>
          <w:rFonts w:asciiTheme="minorEastAsia" w:hAnsiTheme="minorEastAsia" w:cstheme="minorEastAsia"/>
          <w:b/>
          <w:spacing w:val="-2"/>
          <w:sz w:val="32"/>
          <w:szCs w:val="32"/>
        </w:rPr>
      </w:pPr>
      <w:r>
        <w:rPr>
          <w:rFonts w:hint="eastAsia" w:asciiTheme="minorEastAsia" w:hAnsiTheme="minorEastAsia" w:cstheme="minorEastAsia"/>
          <w:b/>
          <w:spacing w:val="-2"/>
          <w:sz w:val="32"/>
          <w:szCs w:val="32"/>
        </w:rPr>
        <w:t>改进措施和有关建议</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科学编制预算。一是加强支出分析，增强对各项经济活动的预判能力，提高预算编制的科学性。二是跨年项目资金尽量按项目进度分次申报资金。需当年追加预算的，当年形成支出，当年不能完全支出的，调整支出安排调剂用于其他符合政策规定的支出。</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（二）加快执行进度。加强资金计划衔接，加快项目实施进度，落实项目进度跟踪和项目绩效评价制度，压减年末结余资金规模。</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（三）加强财务管理。按照预算规定的项目和用途进行审核和使用，在预算金额内严格控制超支现象的发生，严格按照实际的费用支出内容进行财务核算，确保财务核算的真实、及时、准确、完整。</w:t>
      </w:r>
    </w:p>
    <w:p>
      <w:pPr>
        <w:widowControl/>
        <w:shd w:val="clear" w:color="auto" w:fill="FFFFFF"/>
        <w:spacing w:line="600" w:lineRule="atLeast"/>
        <w:rPr>
          <w:rFonts w:asciiTheme="minorEastAsia" w:hAnsiTheme="minorEastAsia" w:cstheme="minorEastAsia"/>
          <w:b/>
          <w:spacing w:val="-2"/>
          <w:sz w:val="32"/>
          <w:szCs w:val="32"/>
        </w:rPr>
      </w:pPr>
    </w:p>
    <w:p>
      <w:pPr>
        <w:widowControl/>
        <w:shd w:val="clear" w:color="auto" w:fill="FFFFFF"/>
        <w:spacing w:line="600" w:lineRule="atLeast"/>
        <w:rPr>
          <w:rFonts w:asciiTheme="minorEastAsia" w:hAnsiTheme="minorEastAsia" w:cstheme="minorEastAsia"/>
          <w:spacing w:val="-2"/>
          <w:sz w:val="32"/>
          <w:szCs w:val="32"/>
        </w:rPr>
      </w:pPr>
    </w:p>
    <w:p>
      <w:pPr>
        <w:rPr>
          <w:rFonts w:asciiTheme="minorEastAsia" w:hAnsiTheme="minorEastAsia" w:cstheme="minorEastAsia"/>
          <w:sz w:val="32"/>
          <w:szCs w:val="32"/>
        </w:rPr>
      </w:pPr>
    </w:p>
    <w:p>
      <w:pPr>
        <w:ind w:firstLine="640" w:firstLineChars="200"/>
        <w:jc w:val="left"/>
        <w:rPr>
          <w:rFonts w:asciiTheme="minorEastAsia" w:hAnsiTheme="minorEastAsia" w:cs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8D3705"/>
    <w:multiLevelType w:val="singleLevel"/>
    <w:tmpl w:val="9F8D3705"/>
    <w:lvl w:ilvl="0" w:tentative="0">
      <w:start w:val="2"/>
      <w:numFmt w:val="chineseCounting"/>
      <w:suff w:val="nothing"/>
      <w:lvlText w:val="（%1）"/>
      <w:lvlJc w:val="left"/>
      <w:pPr>
        <w:ind w:left="620"/>
      </w:pPr>
      <w:rPr>
        <w:rFonts w:hint="eastAsia"/>
      </w:rPr>
    </w:lvl>
  </w:abstractNum>
  <w:abstractNum w:abstractNumId="1">
    <w:nsid w:val="E6E159E1"/>
    <w:multiLevelType w:val="singleLevel"/>
    <w:tmpl w:val="E6E159E1"/>
    <w:lvl w:ilvl="0" w:tentative="0">
      <w:start w:val="7"/>
      <w:numFmt w:val="chineseCounting"/>
      <w:suff w:val="nothing"/>
      <w:lvlText w:val="%1、"/>
      <w:lvlJc w:val="left"/>
      <w:rPr>
        <w:rFonts w:hint="eastAsia"/>
      </w:rPr>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E9FC85D"/>
    <w:multiLevelType w:val="singleLevel"/>
    <w:tmpl w:val="3E9FC85D"/>
    <w:lvl w:ilvl="0" w:tentative="0">
      <w:start w:val="3"/>
      <w:numFmt w:val="decimal"/>
      <w:suff w:val="nothing"/>
      <w:lvlText w:val="（%1）"/>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I2NGRiYmQwOWZkOTg4MzMxMDkzZDc2NzhhOTYzNjMifQ=="/>
  </w:docVars>
  <w:rsids>
    <w:rsidRoot w:val="004506F9"/>
    <w:rsid w:val="0002229B"/>
    <w:rsid w:val="000273BD"/>
    <w:rsid w:val="000415B7"/>
    <w:rsid w:val="00041E3F"/>
    <w:rsid w:val="00055DAA"/>
    <w:rsid w:val="00061F7B"/>
    <w:rsid w:val="000658A3"/>
    <w:rsid w:val="00074155"/>
    <w:rsid w:val="00081AF1"/>
    <w:rsid w:val="000873EF"/>
    <w:rsid w:val="000A3F69"/>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F53BB"/>
    <w:rsid w:val="003130C4"/>
    <w:rsid w:val="00316C4B"/>
    <w:rsid w:val="0032192B"/>
    <w:rsid w:val="00327FFA"/>
    <w:rsid w:val="003479BD"/>
    <w:rsid w:val="0037197D"/>
    <w:rsid w:val="003768D5"/>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C2B41"/>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37C4"/>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B13678"/>
    <w:rsid w:val="00B33BEA"/>
    <w:rsid w:val="00B42C25"/>
    <w:rsid w:val="00B43F86"/>
    <w:rsid w:val="00B55B26"/>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F74360"/>
    <w:rsid w:val="00FB462F"/>
    <w:rsid w:val="00FE16FA"/>
    <w:rsid w:val="00FE328A"/>
    <w:rsid w:val="00FE6269"/>
    <w:rsid w:val="00FF5CD6"/>
    <w:rsid w:val="0E490EA3"/>
    <w:rsid w:val="0F0547E3"/>
    <w:rsid w:val="18CD253A"/>
    <w:rsid w:val="224E5D93"/>
    <w:rsid w:val="236D1701"/>
    <w:rsid w:val="27744FF9"/>
    <w:rsid w:val="2CCA0463"/>
    <w:rsid w:val="349515FF"/>
    <w:rsid w:val="38D70B57"/>
    <w:rsid w:val="3ADE3FB6"/>
    <w:rsid w:val="3D2C725B"/>
    <w:rsid w:val="3DCB4869"/>
    <w:rsid w:val="4AE16EF4"/>
    <w:rsid w:val="53C13AB9"/>
    <w:rsid w:val="544341B4"/>
    <w:rsid w:val="55041B35"/>
    <w:rsid w:val="5BAE15C7"/>
    <w:rsid w:val="5CBE54C5"/>
    <w:rsid w:val="63D525B4"/>
    <w:rsid w:val="64970BAF"/>
    <w:rsid w:val="68E313C9"/>
    <w:rsid w:val="781B19D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spacing w:before="100" w:beforeAutospacing="1" w:after="100" w:afterAutospacing="1"/>
      <w:jc w:val="left"/>
    </w:pPr>
    <w:rPr>
      <w:rFonts w:cs="Times New Roman"/>
      <w:kern w:val="0"/>
      <w:sz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3"/>
    <w:semiHidden/>
    <w:qFormat/>
    <w:uiPriority w:val="99"/>
    <w:rPr>
      <w:sz w:val="18"/>
      <w:szCs w:val="18"/>
    </w:rPr>
  </w:style>
  <w:style w:type="character" w:customStyle="1" w:styleId="14">
    <w:name w:val="NormalCharacter"/>
    <w:semiHidden/>
    <w:qFormat/>
    <w:uiPriority w:val="99"/>
    <w:rPr>
      <w:rFonts w:ascii="Calibri" w:hAnsi="Calibri" w:eastAsia="宋体" w:cs="Calibri"/>
      <w:kern w:val="2"/>
      <w:sz w:val="24"/>
      <w:szCs w:val="24"/>
      <w:lang w:val="en-US" w:eastAsia="zh-CN"/>
    </w:rPr>
  </w:style>
  <w:style w:type="paragraph" w:customStyle="1" w:styleId="15">
    <w:name w:val="无间隔1"/>
    <w:qFormat/>
    <w:uiPriority w:val="0"/>
    <w:pPr>
      <w:widowControl w:val="0"/>
      <w:jc w:val="both"/>
    </w:pPr>
    <w:rPr>
      <w:rFonts w:ascii="Calibri" w:hAnsi="Calibri" w:eastAsia="宋体" w:cs="Times New Roman"/>
      <w:kern w:val="2"/>
      <w:sz w:val="21"/>
      <w:szCs w:val="22"/>
      <w:lang w:val="en-US" w:eastAsia="zh-CN" w:bidi="ar-SA"/>
    </w:rPr>
  </w:style>
  <w:style w:type="paragraph" w:styleId="16">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28</Pages>
  <Words>12679</Words>
  <Characters>13583</Characters>
  <Lines>98</Lines>
  <Paragraphs>27</Paragraphs>
  <TotalTime>2</TotalTime>
  <ScaleCrop>false</ScaleCrop>
  <LinksUpToDate>false</LinksUpToDate>
  <CharactersWithSpaces>13619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2022-09-19T05:02:00Z</dcterms:created>
  <dc:creator>李航 null</dc:creator>
  <cp:lastModifiedBy>yanyan小朋友 </cp:lastModifiedBy>
  <cp:lastPrinted>2022-07-27T12:55:00Z</cp:lastPrinted>
  <dcterms:modified xsi:type="dcterms:W3CDTF">2023-09-27T19:08:03Z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FD9C085250674CA985823A7725AD1909</vt:lpwstr>
  </property>
</Properties>
</file>