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jc w:val="center"/>
        <w:rPr>
          <w:color w:val="auto"/>
          <w:sz w:val="56"/>
          <w:szCs w:val="56"/>
        </w:rPr>
      </w:pPr>
    </w:p>
    <w:p>
      <w:pPr>
        <w:pStyle w:val="13"/>
        <w:jc w:val="center"/>
        <w:rPr>
          <w:color w:val="auto"/>
          <w:sz w:val="56"/>
          <w:szCs w:val="56"/>
        </w:rPr>
      </w:pPr>
    </w:p>
    <w:p>
      <w:pPr>
        <w:pStyle w:val="13"/>
        <w:jc w:val="center"/>
        <w:rPr>
          <w:color w:val="auto"/>
          <w:sz w:val="84"/>
          <w:szCs w:val="84"/>
        </w:rPr>
      </w:pPr>
    </w:p>
    <w:p>
      <w:pPr>
        <w:pStyle w:val="13"/>
        <w:jc w:val="center"/>
        <w:rPr>
          <w:color w:val="auto"/>
          <w:sz w:val="84"/>
          <w:szCs w:val="84"/>
        </w:rPr>
      </w:pPr>
    </w:p>
    <w:p>
      <w:pPr>
        <w:pStyle w:val="13"/>
        <w:jc w:val="center"/>
        <w:rPr>
          <w:color w:val="auto"/>
          <w:sz w:val="84"/>
          <w:szCs w:val="84"/>
        </w:rPr>
      </w:pPr>
      <w:r>
        <w:rPr>
          <w:rFonts w:hint="eastAsia"/>
          <w:color w:val="auto"/>
          <w:sz w:val="72"/>
          <w:szCs w:val="72"/>
        </w:rPr>
        <w:t>2021年度</w:t>
      </w:r>
    </w:p>
    <w:p>
      <w:pPr>
        <w:pStyle w:val="13"/>
        <w:jc w:val="center"/>
        <w:rPr>
          <w:rFonts w:hint="eastAsia"/>
          <w:color w:val="auto"/>
          <w:sz w:val="84"/>
          <w:szCs w:val="84"/>
        </w:rPr>
      </w:pPr>
      <w:r>
        <w:rPr>
          <w:rFonts w:hint="eastAsia"/>
          <w:color w:val="auto"/>
          <w:sz w:val="72"/>
          <w:szCs w:val="72"/>
        </w:rPr>
        <w:t>怀化市鹤城区市场监督管理局</w:t>
      </w:r>
    </w:p>
    <w:p>
      <w:pPr>
        <w:pStyle w:val="13"/>
        <w:jc w:val="center"/>
        <w:rPr>
          <w:color w:val="auto"/>
          <w:sz w:val="72"/>
          <w:szCs w:val="72"/>
        </w:rPr>
      </w:pPr>
      <w:r>
        <w:rPr>
          <w:rFonts w:hint="eastAsia"/>
          <w:color w:val="auto"/>
          <w:sz w:val="72"/>
          <w:szCs w:val="72"/>
        </w:rPr>
        <w:t>部门决算</w:t>
      </w:r>
    </w:p>
    <w:p>
      <w:pPr>
        <w:pStyle w:val="13"/>
        <w:jc w:val="center"/>
        <w:rPr>
          <w:color w:val="auto"/>
          <w:sz w:val="56"/>
          <w:szCs w:val="56"/>
        </w:rPr>
      </w:pPr>
    </w:p>
    <w:p>
      <w:pPr>
        <w:pStyle w:val="13"/>
        <w:jc w:val="center"/>
        <w:rPr>
          <w:color w:val="auto"/>
          <w:sz w:val="56"/>
          <w:szCs w:val="56"/>
        </w:rPr>
      </w:pPr>
    </w:p>
    <w:p>
      <w:pPr>
        <w:pStyle w:val="13"/>
        <w:jc w:val="center"/>
        <w:rPr>
          <w:color w:val="auto"/>
          <w:sz w:val="56"/>
          <w:szCs w:val="56"/>
        </w:rPr>
      </w:pPr>
    </w:p>
    <w:p>
      <w:pPr>
        <w:pStyle w:val="13"/>
        <w:jc w:val="center"/>
        <w:rPr>
          <w:color w:val="auto"/>
          <w:sz w:val="56"/>
          <w:szCs w:val="56"/>
        </w:rPr>
      </w:pPr>
    </w:p>
    <w:p>
      <w:pPr>
        <w:pStyle w:val="13"/>
        <w:jc w:val="center"/>
        <w:rPr>
          <w:color w:val="auto"/>
          <w:sz w:val="32"/>
          <w:szCs w:val="32"/>
        </w:rPr>
      </w:pPr>
    </w:p>
    <w:p>
      <w:pPr>
        <w:pStyle w:val="13"/>
        <w:jc w:val="center"/>
        <w:rPr>
          <w:color w:val="auto"/>
          <w:sz w:val="32"/>
          <w:szCs w:val="32"/>
        </w:rPr>
      </w:pPr>
    </w:p>
    <w:p>
      <w:pPr>
        <w:pStyle w:val="13"/>
        <w:jc w:val="center"/>
        <w:rPr>
          <w:color w:val="auto"/>
          <w:sz w:val="32"/>
          <w:szCs w:val="32"/>
        </w:rPr>
      </w:pPr>
    </w:p>
    <w:p>
      <w:pPr>
        <w:pStyle w:val="13"/>
        <w:jc w:val="center"/>
        <w:rPr>
          <w:color w:val="auto"/>
          <w:sz w:val="32"/>
          <w:szCs w:val="32"/>
        </w:rPr>
      </w:pPr>
    </w:p>
    <w:p>
      <w:pPr>
        <w:pStyle w:val="13"/>
        <w:jc w:val="center"/>
        <w:rPr>
          <w:color w:val="auto"/>
          <w:sz w:val="32"/>
          <w:szCs w:val="32"/>
        </w:rPr>
      </w:pPr>
    </w:p>
    <w:p>
      <w:pPr>
        <w:pStyle w:val="13"/>
        <w:jc w:val="center"/>
        <w:rPr>
          <w:color w:val="auto"/>
          <w:sz w:val="32"/>
          <w:szCs w:val="32"/>
        </w:rPr>
      </w:pPr>
    </w:p>
    <w:p>
      <w:pPr>
        <w:pStyle w:val="13"/>
        <w:jc w:val="center"/>
        <w:rPr>
          <w:color w:val="auto"/>
          <w:sz w:val="32"/>
          <w:szCs w:val="32"/>
        </w:rPr>
      </w:pPr>
    </w:p>
    <w:p>
      <w:pPr>
        <w:pStyle w:val="13"/>
        <w:spacing w:line="500" w:lineRule="exact"/>
        <w:jc w:val="center"/>
        <w:rPr>
          <w:b/>
          <w:color w:val="auto"/>
          <w:sz w:val="36"/>
          <w:szCs w:val="28"/>
        </w:rPr>
      </w:pPr>
      <w:r>
        <w:rPr>
          <w:rFonts w:hint="eastAsia"/>
          <w:b/>
          <w:color w:val="auto"/>
          <w:sz w:val="36"/>
          <w:szCs w:val="28"/>
        </w:rPr>
        <w:t>目录</w:t>
      </w:r>
    </w:p>
    <w:p>
      <w:pPr>
        <w:pStyle w:val="13"/>
        <w:spacing w:line="500" w:lineRule="exact"/>
        <w:rPr>
          <w:rFonts w:ascii="仿宋_GB2312" w:hAnsi="仿宋_GB2312" w:cs="仿宋_GB2312"/>
          <w:b/>
          <w:color w:val="auto"/>
          <w:sz w:val="28"/>
          <w:szCs w:val="28"/>
        </w:rPr>
      </w:pPr>
      <w:r>
        <w:rPr>
          <w:rFonts w:hint="eastAsia"/>
          <w:b/>
          <w:color w:val="auto"/>
          <w:sz w:val="28"/>
          <w:szCs w:val="28"/>
        </w:rPr>
        <w:t>第一部分怀化市鹤城区市场监督管理局</w:t>
      </w:r>
      <w:r>
        <w:rPr>
          <w:rFonts w:hint="eastAsia"/>
          <w:b/>
          <w:color w:val="auto"/>
          <w:sz w:val="28"/>
          <w:szCs w:val="28"/>
          <w:lang w:val="en-US" w:eastAsia="zh-CN"/>
        </w:rPr>
        <w:t>单位</w:t>
      </w:r>
      <w:r>
        <w:rPr>
          <w:rFonts w:hint="eastAsia"/>
          <w:b/>
          <w:color w:val="auto"/>
          <w:sz w:val="28"/>
          <w:szCs w:val="28"/>
        </w:rPr>
        <w:t>概况</w:t>
      </w:r>
    </w:p>
    <w:p>
      <w:pPr>
        <w:pStyle w:val="13"/>
        <w:spacing w:line="50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一、部门职责</w:t>
      </w:r>
    </w:p>
    <w:p>
      <w:pPr>
        <w:pStyle w:val="13"/>
        <w:spacing w:line="50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二、机构设置</w:t>
      </w:r>
    </w:p>
    <w:p>
      <w:pPr>
        <w:pStyle w:val="13"/>
        <w:spacing w:line="500" w:lineRule="exact"/>
        <w:rPr>
          <w:rFonts w:ascii="仿宋_GB2312" w:hAnsi="仿宋_GB2312" w:cs="仿宋_GB2312"/>
          <w:b/>
          <w:color w:val="auto"/>
          <w:sz w:val="28"/>
          <w:szCs w:val="28"/>
        </w:rPr>
      </w:pPr>
      <w:r>
        <w:rPr>
          <w:rFonts w:hint="eastAsia" w:hAnsi="仿宋_GB2312"/>
          <w:b/>
          <w:color w:val="auto"/>
          <w:sz w:val="28"/>
          <w:szCs w:val="28"/>
        </w:rPr>
        <w:t>第二部分</w:t>
      </w:r>
      <w:r>
        <w:rPr>
          <w:rFonts w:hAnsi="仿宋_GB2312"/>
          <w:b/>
          <w:color w:val="auto"/>
          <w:sz w:val="28"/>
          <w:szCs w:val="28"/>
        </w:rPr>
        <w:t>20</w:t>
      </w:r>
      <w:r>
        <w:rPr>
          <w:rFonts w:hint="eastAsia" w:hAnsi="仿宋_GB2312"/>
          <w:b/>
          <w:color w:val="auto"/>
          <w:sz w:val="28"/>
          <w:szCs w:val="28"/>
        </w:rPr>
        <w:t>21年度部门决算表</w:t>
      </w:r>
    </w:p>
    <w:p>
      <w:pPr>
        <w:pStyle w:val="13"/>
        <w:spacing w:line="50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一、收入支出决算总表</w:t>
      </w:r>
    </w:p>
    <w:p>
      <w:pPr>
        <w:pStyle w:val="13"/>
        <w:spacing w:line="50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二、收入决算表</w:t>
      </w:r>
    </w:p>
    <w:p>
      <w:pPr>
        <w:pStyle w:val="13"/>
        <w:spacing w:line="50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三、支出决算表</w:t>
      </w:r>
    </w:p>
    <w:p>
      <w:pPr>
        <w:pStyle w:val="13"/>
        <w:spacing w:line="50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四、财政拨款收入支出决算总表</w:t>
      </w:r>
    </w:p>
    <w:p>
      <w:pPr>
        <w:pStyle w:val="13"/>
        <w:spacing w:line="50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五、一般公共预算财政拨款支出决算表</w:t>
      </w:r>
    </w:p>
    <w:p>
      <w:pPr>
        <w:pStyle w:val="13"/>
        <w:spacing w:line="50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六、一般公共预算财政拨款基本支出决算</w:t>
      </w:r>
      <w:r>
        <w:rPr>
          <w:rFonts w:hint="eastAsia" w:cs="仿宋_GB2312" w:asciiTheme="minorEastAsia" w:hAnsiTheme="minorEastAsia" w:eastAsiaTheme="minorEastAsia"/>
          <w:color w:val="auto"/>
          <w:sz w:val="28"/>
          <w:szCs w:val="28"/>
        </w:rPr>
        <w:t>明细</w:t>
      </w:r>
      <w:r>
        <w:rPr>
          <w:rFonts w:cs="仿宋_GB2312" w:asciiTheme="minorEastAsia" w:hAnsiTheme="minorEastAsia" w:eastAsiaTheme="minorEastAsia"/>
          <w:color w:val="auto"/>
          <w:sz w:val="28"/>
          <w:szCs w:val="28"/>
        </w:rPr>
        <w:t>表</w:t>
      </w:r>
    </w:p>
    <w:p>
      <w:pPr>
        <w:pStyle w:val="13"/>
        <w:spacing w:line="50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七、一般公共预算财政拨款“三公”经费支出决算表</w:t>
      </w:r>
    </w:p>
    <w:p>
      <w:pPr>
        <w:pStyle w:val="13"/>
        <w:spacing w:line="50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八、政府性基金预算财政拨款收入支出决算表</w:t>
      </w:r>
    </w:p>
    <w:p>
      <w:pPr>
        <w:pStyle w:val="13"/>
        <w:spacing w:line="500" w:lineRule="exact"/>
        <w:ind w:firstLine="700" w:firstLineChars="250"/>
        <w:rPr>
          <w:rFonts w:cs="仿宋_GB2312" w:asciiTheme="minorEastAsia" w:hAnsiTheme="minorEastAsia" w:eastAsiaTheme="minorEastAsia"/>
          <w:color w:val="auto"/>
          <w:sz w:val="28"/>
          <w:szCs w:val="28"/>
        </w:rPr>
      </w:pPr>
      <w:r>
        <w:rPr>
          <w:rFonts w:hint="eastAsia" w:cs="仿宋_GB2312" w:asciiTheme="minorEastAsia" w:hAnsiTheme="minorEastAsia" w:eastAsiaTheme="minorEastAsia"/>
          <w:color w:val="auto"/>
          <w:sz w:val="28"/>
          <w:szCs w:val="28"/>
        </w:rPr>
        <w:t>九、国有资本经营预算财政拨款支出决算表</w:t>
      </w:r>
    </w:p>
    <w:p>
      <w:pPr>
        <w:pStyle w:val="13"/>
        <w:spacing w:line="500" w:lineRule="exact"/>
        <w:rPr>
          <w:rFonts w:ascii="仿宋_GB2312" w:hAnsi="仿宋_GB2312" w:cs="仿宋_GB2312"/>
          <w:b/>
          <w:color w:val="auto"/>
          <w:sz w:val="28"/>
          <w:szCs w:val="28"/>
        </w:rPr>
      </w:pPr>
      <w:r>
        <w:rPr>
          <w:rFonts w:hint="eastAsia" w:hAnsi="仿宋_GB2312"/>
          <w:b/>
          <w:color w:val="auto"/>
          <w:sz w:val="28"/>
          <w:szCs w:val="28"/>
        </w:rPr>
        <w:t>第三部分</w:t>
      </w:r>
      <w:r>
        <w:rPr>
          <w:rFonts w:hAnsi="仿宋_GB2312"/>
          <w:b/>
          <w:color w:val="auto"/>
          <w:sz w:val="28"/>
          <w:szCs w:val="28"/>
        </w:rPr>
        <w:t>20</w:t>
      </w:r>
      <w:r>
        <w:rPr>
          <w:rFonts w:hint="eastAsia" w:hAnsi="仿宋_GB2312"/>
          <w:b/>
          <w:color w:val="auto"/>
          <w:sz w:val="28"/>
          <w:szCs w:val="28"/>
        </w:rPr>
        <w:t>21年度部门决算情况说明</w:t>
      </w:r>
    </w:p>
    <w:p>
      <w:pPr>
        <w:pStyle w:val="13"/>
        <w:spacing w:line="50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七、一般公共预算财政拨款</w:t>
      </w:r>
      <w:r>
        <w:rPr>
          <w:rFonts w:hint="eastAsia" w:ascii="仿宋_GB2312" w:hAnsi="仿宋_GB2312" w:cs="仿宋_GB2312"/>
          <w:kern w:val="0"/>
          <w:sz w:val="28"/>
          <w:szCs w:val="28"/>
        </w:rPr>
        <w:t>“</w:t>
      </w:r>
      <w:r>
        <w:rPr>
          <w:rFonts w:ascii="仿宋_GB2312" w:hAnsi="仿宋_GB2312" w:cs="仿宋_GB2312"/>
          <w:kern w:val="0"/>
          <w:sz w:val="28"/>
          <w:szCs w:val="28"/>
        </w:rPr>
        <w:t>三公</w:t>
      </w:r>
      <w:r>
        <w:rPr>
          <w:rFonts w:hint="eastAsia" w:ascii="仿宋_GB2312" w:hAnsi="仿宋_GB2312" w:cs="仿宋_GB2312"/>
          <w:kern w:val="0"/>
          <w:sz w:val="28"/>
          <w:szCs w:val="28"/>
        </w:rPr>
        <w:t>”</w:t>
      </w:r>
      <w:r>
        <w:rPr>
          <w:rFonts w:ascii="仿宋_GB2312" w:hAnsi="仿宋_GB2312" w:cs="仿宋_GB2312"/>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八</w:t>
      </w:r>
      <w:r>
        <w:rPr>
          <w:rFonts w:ascii="仿宋_GB2312" w:hAnsi="仿宋_GB2312" w:cs="仿宋_GB2312"/>
          <w:kern w:val="0"/>
          <w:sz w:val="28"/>
          <w:szCs w:val="28"/>
        </w:rPr>
        <w:t>、</w:t>
      </w:r>
      <w:r>
        <w:rPr>
          <w:rFonts w:hint="eastAsia" w:ascii="仿宋_GB2312" w:hAnsi="仿宋_GB2312" w:cs="仿宋_GB2312"/>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十</w:t>
      </w:r>
      <w:r>
        <w:rPr>
          <w:rFonts w:ascii="仿宋_GB2312" w:hAnsi="仿宋_GB2312" w:cs="仿宋_GB2312"/>
          <w:kern w:val="0"/>
          <w:sz w:val="28"/>
          <w:szCs w:val="28"/>
        </w:rPr>
        <w:t>、</w:t>
      </w:r>
      <w:r>
        <w:rPr>
          <w:rFonts w:hint="eastAsia" w:ascii="仿宋_GB2312" w:hAnsi="仿宋_GB2312" w:cs="仿宋_GB2312"/>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十二、政府采购支出说明</w:t>
      </w:r>
    </w:p>
    <w:p>
      <w:pPr>
        <w:pStyle w:val="13"/>
        <w:spacing w:line="500" w:lineRule="exact"/>
        <w:ind w:firstLine="700" w:firstLineChars="250"/>
        <w:rPr>
          <w:rFonts w:ascii="仿宋_GB2312" w:hAnsi="仿宋_GB2312" w:cs="仿宋_GB2312" w:eastAsiaTheme="minorEastAsia"/>
          <w:color w:val="auto"/>
          <w:sz w:val="28"/>
          <w:szCs w:val="28"/>
        </w:rPr>
      </w:pPr>
      <w:r>
        <w:rPr>
          <w:rFonts w:hint="eastAsia" w:ascii="仿宋_GB2312" w:hAnsi="仿宋_GB2312" w:cs="仿宋_GB2312" w:eastAsiaTheme="minorEastAsia"/>
          <w:color w:val="auto"/>
          <w:sz w:val="28"/>
          <w:szCs w:val="28"/>
        </w:rPr>
        <w:t>十三、国有资产占用情况说明</w:t>
      </w:r>
    </w:p>
    <w:p>
      <w:pPr>
        <w:pStyle w:val="13"/>
        <w:spacing w:line="500" w:lineRule="exact"/>
        <w:ind w:firstLine="700" w:firstLineChars="250"/>
        <w:rPr>
          <w:rFonts w:ascii="仿宋_GB2312" w:hAnsi="仿宋_GB2312" w:cs="仿宋_GB2312" w:eastAsiaTheme="minorEastAsia"/>
          <w:color w:val="auto"/>
          <w:sz w:val="28"/>
          <w:szCs w:val="28"/>
        </w:rPr>
      </w:pPr>
      <w:r>
        <w:rPr>
          <w:rFonts w:hint="eastAsia" w:ascii="仿宋_GB2312" w:hAnsi="仿宋_GB2312" w:cs="仿宋_GB2312" w:eastAsiaTheme="minorEastAsia"/>
          <w:color w:val="auto"/>
          <w:sz w:val="28"/>
          <w:szCs w:val="28"/>
        </w:rPr>
        <w:t>十四、</w:t>
      </w:r>
      <w:r>
        <w:rPr>
          <w:rFonts w:hint="eastAsia" w:cs="仿宋_GB2312" w:asciiTheme="minorEastAsia" w:hAnsiTheme="minorEastAsia" w:eastAsiaTheme="minorEastAsia"/>
          <w:color w:val="auto"/>
          <w:sz w:val="28"/>
          <w:szCs w:val="28"/>
        </w:rPr>
        <w:t>2021年</w:t>
      </w:r>
      <w:r>
        <w:rPr>
          <w:rFonts w:hint="eastAsia" w:ascii="仿宋_GB2312" w:hAnsi="仿宋_GB2312" w:cs="仿宋_GB2312" w:eastAsiaTheme="minorEastAsia"/>
          <w:color w:val="auto"/>
          <w:sz w:val="28"/>
          <w:szCs w:val="28"/>
        </w:rPr>
        <w:t>度预算绩效情况说明</w:t>
      </w:r>
    </w:p>
    <w:p>
      <w:pPr>
        <w:autoSpaceDE w:val="0"/>
        <w:autoSpaceDN w:val="0"/>
        <w:adjustRightInd w:val="0"/>
        <w:spacing w:line="500" w:lineRule="exact"/>
        <w:ind w:firstLine="134" w:firstLineChars="48"/>
        <w:jc w:val="left"/>
        <w:rPr>
          <w:rFonts w:ascii="黑体" w:hAnsi="黑体" w:eastAsia="黑体" w:cs="仿宋_GB2312"/>
          <w:b/>
          <w:kern w:val="0"/>
          <w:sz w:val="28"/>
          <w:szCs w:val="28"/>
        </w:rPr>
      </w:pPr>
      <w:r>
        <w:rPr>
          <w:rFonts w:ascii="黑体" w:hAnsi="黑体" w:eastAsia="黑体" w:cs="黑体"/>
          <w:b/>
          <w:kern w:val="0"/>
          <w:sz w:val="28"/>
          <w:szCs w:val="28"/>
        </w:rPr>
        <w:t>第四部分名词解释</w:t>
      </w:r>
      <w:r>
        <w:rPr>
          <w:rFonts w:hint="eastAsia" w:ascii="黑体" w:hAnsi="黑体" w:eastAsia="黑体" w:cs="黑体"/>
          <w:b/>
          <w:kern w:val="0"/>
          <w:sz w:val="28"/>
          <w:szCs w:val="28"/>
        </w:rPr>
        <w:t xml:space="preserve">    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3"/>
        <w:jc w:val="center"/>
        <w:rPr>
          <w:color w:val="auto"/>
          <w:sz w:val="72"/>
          <w:szCs w:val="72"/>
        </w:rPr>
      </w:pPr>
      <w:r>
        <w:rPr>
          <w:rFonts w:hint="eastAsia"/>
          <w:color w:val="auto"/>
          <w:sz w:val="72"/>
          <w:szCs w:val="72"/>
        </w:rPr>
        <w:t>第一部分</w:t>
      </w:r>
    </w:p>
    <w:p>
      <w:pPr>
        <w:pStyle w:val="13"/>
        <w:jc w:val="center"/>
        <w:rPr>
          <w:color w:val="auto"/>
          <w:sz w:val="72"/>
          <w:szCs w:val="72"/>
        </w:rPr>
      </w:pPr>
    </w:p>
    <w:p>
      <w:pPr>
        <w:pStyle w:val="13"/>
        <w:jc w:val="center"/>
        <w:rPr>
          <w:rFonts w:hint="eastAsia"/>
          <w:color w:val="auto"/>
          <w:sz w:val="72"/>
          <w:szCs w:val="72"/>
        </w:rPr>
      </w:pPr>
      <w:r>
        <w:rPr>
          <w:rFonts w:hint="eastAsia"/>
          <w:color w:val="auto"/>
          <w:sz w:val="72"/>
          <w:szCs w:val="72"/>
        </w:rPr>
        <w:t>怀化市鹤城区市场监督管理局</w:t>
      </w:r>
    </w:p>
    <w:p>
      <w:pPr>
        <w:pStyle w:val="13"/>
        <w:jc w:val="center"/>
        <w:rPr>
          <w:color w:val="auto"/>
          <w:sz w:val="72"/>
          <w:szCs w:val="72"/>
        </w:rPr>
      </w:pPr>
      <w:r>
        <w:rPr>
          <w:rFonts w:hint="eastAsia"/>
          <w:color w:val="auto"/>
          <w:sz w:val="72"/>
          <w:szCs w:val="72"/>
          <w:lang w:val="en-US" w:eastAsia="zh-CN"/>
        </w:rPr>
        <w:t>单位</w:t>
      </w:r>
      <w:r>
        <w:rPr>
          <w:rFonts w:hint="eastAsia"/>
          <w:color w:val="auto"/>
          <w:sz w:val="72"/>
          <w:szCs w:val="72"/>
        </w:rPr>
        <w:t>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4"/>
        <w:ind w:left="720" w:firstLine="0" w:firstLineChars="0"/>
        <w:jc w:val="left"/>
        <w:rPr>
          <w:rFonts w:ascii="黑体" w:hAnsi="黑体" w:eastAsia="黑体"/>
          <w:sz w:val="32"/>
          <w:szCs w:val="32"/>
        </w:rPr>
      </w:pPr>
    </w:p>
    <w:p>
      <w:pPr>
        <w:pStyle w:val="14"/>
        <w:ind w:left="720" w:firstLine="0" w:firstLineChars="0"/>
        <w:jc w:val="left"/>
        <w:rPr>
          <w:rFonts w:ascii="黑体" w:hAnsi="黑体" w:eastAsia="黑体"/>
          <w:sz w:val="32"/>
          <w:szCs w:val="32"/>
        </w:rPr>
      </w:pPr>
    </w:p>
    <w:p>
      <w:pPr>
        <w:pStyle w:val="14"/>
        <w:ind w:left="720" w:firstLine="0" w:firstLineChars="0"/>
        <w:jc w:val="left"/>
        <w:rPr>
          <w:rFonts w:ascii="黑体" w:hAnsi="黑体" w:eastAsia="黑体"/>
          <w:sz w:val="32"/>
          <w:szCs w:val="32"/>
        </w:rPr>
      </w:pPr>
    </w:p>
    <w:p>
      <w:pPr>
        <w:pStyle w:val="14"/>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Theme="minorEastAsia" w:hAnsiTheme="minorEastAsia"/>
          <w:bCs/>
          <w:kern w:val="0"/>
          <w:sz w:val="32"/>
          <w:szCs w:val="32"/>
        </w:rPr>
      </w:pPr>
      <w:r>
        <w:rPr>
          <w:rFonts w:hint="eastAsia" w:asciiTheme="minorEastAsia" w:hAnsiTheme="minorEastAsia"/>
          <w:bCs/>
          <w:kern w:val="0"/>
          <w:sz w:val="32"/>
          <w:szCs w:val="32"/>
        </w:rPr>
        <w:t>怀化市鹤城区市场监督管理局是区政府直属机构，加挂区知识产权局牌子。</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Theme="minorEastAsia" w:hAnsiTheme="minorEastAsia"/>
          <w:bCs/>
          <w:kern w:val="0"/>
          <w:sz w:val="32"/>
          <w:szCs w:val="32"/>
        </w:rPr>
      </w:pPr>
      <w:r>
        <w:rPr>
          <w:rFonts w:hint="eastAsia" w:asciiTheme="minorEastAsia" w:hAnsiTheme="minorEastAsia"/>
          <w:bCs/>
          <w:kern w:val="0"/>
          <w:sz w:val="32"/>
          <w:szCs w:val="32"/>
        </w:rPr>
        <w:t>主要职责是：</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（一）负责市场综合监督管理</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（二）负责市场主体统一登记注册和行政许可。建立市场主体信息公示和共享机制</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（三）负责组织和指导市场监管综合执法工作</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（四）负责反垄断工作，统筹推进竞争政策实施，组织实施公平竞争审查制度</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（五）负责监督管理市场秩序</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（六）负责宏观质量管理</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（七）负责产品质量安全监督管理</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（八）负责特种设备安全监督管理。综合管理特种设备安全监察、监督工作</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（九）负责食品安全监督管理综合协调</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（十）负责食品安全监督管理</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（十一）负责统一管理计量工作</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（十二）负责统一管理标准化工作</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（十三）负责统一管理检验检测工作</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（十四）负责统一管理、监督和综合协调全区认证认可工作</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（十五）负责市场监督管理、知识产权领域科技和信息化建设、新闻宣传、对外交流与合作</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（十六）负责实施知识产权战略，配合推进知识产权强省建设</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（十七）负责保护知识产权</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（十八）负责知识产权创造运用</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十九）负责组织开展有关服务领域消费维权工作，查处制售假冒伪劣等违法行为，指导消费者咨询、申诉、举报受理处理和网络体系建设等工作，保护经营者、消费者合法权益。拟定全区商品质量监测和抽检计划并组织实施</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（二十）负责药品(含中药、民族药，下同)、医疗器械和化妆品安全监督管理</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（二十一）监督实施药品、医疗器械、化妆品分类管理制度，配合有关部门实施国家基本药物制度</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（二十二）负责药品、医疗器械和化妆品质量管理</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（二十三）负责药品、医疗器械和化妆品上市后风险管理</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（二十四）负责组织实施药品、医疗器械和化妆品监督检查</w:t>
      </w:r>
      <w:r>
        <w:rPr>
          <w:rFonts w:hint="eastAsia" w:asciiTheme="minorEastAsia" w:hAnsiTheme="minorEastAsia"/>
          <w:bCs/>
          <w:kern w:val="0"/>
          <w:sz w:val="32"/>
          <w:szCs w:val="32"/>
          <w:lang w:eastAsia="zh-CN"/>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（二十五）负责职责范围内食品药品行业安全生产工作</w:t>
      </w:r>
      <w:r>
        <w:rPr>
          <w:rFonts w:hint="eastAsia" w:asciiTheme="minorEastAsia" w:hAnsiTheme="minorEastAsia"/>
          <w:bCs/>
          <w:kern w:val="0"/>
          <w:sz w:val="32"/>
          <w:szCs w:val="32"/>
          <w:lang w:eastAsia="zh-CN"/>
        </w:rPr>
        <w:t>；</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（二十六）完成区委、区政府交办的其他任务。</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Theme="minorEastAsia" w:hAnsiTheme="minorEastAsia"/>
          <w:bCs/>
          <w:kern w:val="0"/>
          <w:sz w:val="32"/>
          <w:szCs w:val="32"/>
        </w:rPr>
      </w:pPr>
      <w:r>
        <w:rPr>
          <w:rFonts w:hint="eastAsia" w:asciiTheme="minorEastAsia" w:hAnsiTheme="minorEastAsia"/>
          <w:bCs/>
          <w:kern w:val="0"/>
          <w:sz w:val="32"/>
          <w:szCs w:val="32"/>
        </w:rPr>
        <w:t>（一）内设机构设置。怀化市鹤城区市场监督管理局内设机构包括：办公室、政策法规股、信用监督管理股、价格监督检查和反不正当竞争股、网络交易监督管理股（市场专项治理办公室）、知识产权广告监督管理股、产品质量安全发展监督管理股、食品安全协调股、食品安全监督管理股、餐饮食品安全监督管理股、特种设备安全监察股、标准计量监督管理股、消费者权益保护股（投诉举报办公室）、药品医疗器械监督管理股、化妆品监督管理股、登记注册股（小微企业个体工商户专业市场党建工作办公室）、科技和财务股、人事股（离退休人员管理服务股）。</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Theme="minorEastAsia" w:hAnsiTheme="minorEastAsia"/>
          <w:bCs/>
          <w:kern w:val="0"/>
          <w:sz w:val="32"/>
          <w:szCs w:val="32"/>
        </w:rPr>
      </w:pPr>
      <w:r>
        <w:rPr>
          <w:rFonts w:hint="eastAsia" w:asciiTheme="minorEastAsia" w:hAnsiTheme="minorEastAsia"/>
          <w:bCs/>
          <w:kern w:val="0"/>
          <w:sz w:val="32"/>
          <w:szCs w:val="32"/>
        </w:rPr>
        <w:t>（二）决算单位构成。怀化市鹤城区市场监督管理局</w:t>
      </w:r>
      <w:r>
        <w:rPr>
          <w:rFonts w:asciiTheme="minorEastAsia" w:hAnsiTheme="minorEastAsia"/>
          <w:bCs/>
          <w:kern w:val="0"/>
          <w:sz w:val="32"/>
          <w:szCs w:val="32"/>
        </w:rPr>
        <w:t>20</w:t>
      </w:r>
      <w:r>
        <w:rPr>
          <w:rFonts w:hint="eastAsia" w:asciiTheme="minorEastAsia" w:hAnsiTheme="minorEastAsia"/>
          <w:bCs/>
          <w:kern w:val="0"/>
          <w:sz w:val="32"/>
          <w:szCs w:val="32"/>
        </w:rPr>
        <w:t>21年部门决算汇总公开单位构成包括：怀化市鹤城区市场监督管理局本级。</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pStyle w:val="13"/>
        <w:jc w:val="center"/>
        <w:rPr>
          <w:rFonts w:hint="eastAsia"/>
          <w:color w:val="auto"/>
          <w:sz w:val="72"/>
          <w:szCs w:val="72"/>
        </w:rPr>
      </w:pPr>
      <w:r>
        <w:rPr>
          <w:rFonts w:hint="eastAsia"/>
          <w:color w:val="auto"/>
          <w:sz w:val="72"/>
          <w:szCs w:val="72"/>
        </w:rPr>
        <w:t>第二部分</w:t>
      </w:r>
    </w:p>
    <w:p>
      <w:pPr>
        <w:pStyle w:val="13"/>
        <w:jc w:val="center"/>
        <w:rPr>
          <w:rFonts w:hint="eastAsia"/>
          <w:color w:val="auto"/>
          <w:sz w:val="72"/>
          <w:szCs w:val="72"/>
        </w:rPr>
      </w:pPr>
    </w:p>
    <w:p>
      <w:pPr>
        <w:pStyle w:val="13"/>
        <w:jc w:val="center"/>
        <w:rPr>
          <w:rFonts w:hint="eastAsia" w:eastAsia="黑体"/>
          <w:color w:val="auto"/>
          <w:sz w:val="72"/>
          <w:szCs w:val="72"/>
          <w:lang w:eastAsia="zh-CN"/>
        </w:rPr>
      </w:pPr>
      <w:r>
        <w:rPr>
          <w:rFonts w:hint="eastAsia"/>
          <w:color w:val="auto"/>
          <w:sz w:val="72"/>
          <w:szCs w:val="72"/>
        </w:rPr>
        <w:t>部门决算表</w:t>
      </w:r>
    </w:p>
    <w:p>
      <w:pPr>
        <w:pStyle w:val="13"/>
        <w:jc w:val="center"/>
        <w:rPr>
          <w:sz w:val="72"/>
          <w:szCs w:val="72"/>
        </w:rPr>
      </w:pPr>
      <w:r>
        <w:rPr>
          <w:rFonts w:hint="eastAsia"/>
          <w:color w:val="auto"/>
          <w:sz w:val="72"/>
          <w:szCs w:val="72"/>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pStyle w:val="13"/>
        <w:rPr>
          <w:color w:val="auto"/>
          <w:sz w:val="72"/>
          <w:szCs w:val="72"/>
        </w:rPr>
      </w:pPr>
    </w:p>
    <w:p>
      <w:pPr>
        <w:pStyle w:val="13"/>
        <w:rPr>
          <w:color w:val="auto"/>
          <w:sz w:val="72"/>
          <w:szCs w:val="72"/>
        </w:rPr>
      </w:pPr>
    </w:p>
    <w:p>
      <w:pPr>
        <w:pStyle w:val="13"/>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r>
        <w:rPr>
          <w:rFonts w:hint="eastAsia"/>
          <w:color w:val="auto"/>
          <w:sz w:val="72"/>
          <w:szCs w:val="72"/>
        </w:rPr>
        <w:t>第三部分</w:t>
      </w:r>
    </w:p>
    <w:p>
      <w:pPr>
        <w:pStyle w:val="13"/>
        <w:jc w:val="center"/>
        <w:rPr>
          <w:color w:val="auto"/>
          <w:sz w:val="70"/>
          <w:szCs w:val="70"/>
        </w:rPr>
      </w:pPr>
    </w:p>
    <w:p>
      <w:pPr>
        <w:pStyle w:val="13"/>
        <w:jc w:val="center"/>
        <w:rPr>
          <w:color w:val="auto"/>
          <w:sz w:val="70"/>
          <w:szCs w:val="70"/>
        </w:rPr>
      </w:pPr>
      <w:r>
        <w:rPr>
          <w:color w:val="auto"/>
          <w:sz w:val="70"/>
          <w:szCs w:val="70"/>
        </w:rPr>
        <w:t>20</w:t>
      </w:r>
      <w:r>
        <w:rPr>
          <w:rFonts w:hint="eastAsia"/>
          <w:color w:val="auto"/>
          <w:sz w:val="70"/>
          <w:szCs w:val="70"/>
        </w:rPr>
        <w:t>21年度部门决算情况说明</w:t>
      </w:r>
    </w:p>
    <w:p>
      <w:pPr>
        <w:widowControl/>
        <w:jc w:val="left"/>
        <w:rPr>
          <w:rFonts w:asciiTheme="minorEastAsia" w:hAnsiTheme="minorEastAsia" w:eastAsiaTheme="minorEastAsia"/>
          <w:color w:val="auto"/>
          <w:sz w:val="32"/>
          <w:szCs w:val="32"/>
        </w:rPr>
      </w:pPr>
      <w:r>
        <w:rPr>
          <w:sz w:val="70"/>
          <w:szCs w:val="70"/>
        </w:rPr>
        <w:br w:type="page"/>
      </w:r>
    </w:p>
    <w:p>
      <w:pPr>
        <w:pStyle w:val="13"/>
        <w:rPr>
          <w:rFonts w:hAnsi="黑体"/>
          <w:b/>
          <w:color w:val="auto"/>
          <w:sz w:val="32"/>
          <w:szCs w:val="32"/>
        </w:rPr>
      </w:pPr>
      <w:r>
        <w:rPr>
          <w:rFonts w:hint="eastAsia" w:hAnsi="黑体"/>
          <w:b/>
          <w:color w:val="auto"/>
          <w:sz w:val="32"/>
          <w:szCs w:val="32"/>
        </w:rPr>
        <w:t>一、收入支出决算总体情况说明</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2021年度收入合计2474.01万元。与上年相比，减少135.81万元，减少5.2%，主要是因为机构合并下放至鹤城区财政后，公用经费标准减少。</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2021年度支出合计2474.01万元。与上年相比，减少135.81万元，减少5.2%，主要是因为公用经费减少导致基本支出减少。</w:t>
      </w:r>
    </w:p>
    <w:p>
      <w:pPr>
        <w:pStyle w:val="13"/>
        <w:rPr>
          <w:rFonts w:hAnsi="黑体"/>
          <w:b/>
          <w:color w:val="auto"/>
          <w:sz w:val="32"/>
          <w:szCs w:val="32"/>
        </w:rPr>
      </w:pPr>
      <w:r>
        <w:rPr>
          <w:rFonts w:hint="eastAsia" w:hAnsi="黑体"/>
          <w:b/>
          <w:color w:val="auto"/>
          <w:sz w:val="32"/>
          <w:szCs w:val="32"/>
        </w:rPr>
        <w:t>二、收入决算情况说明</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2021年度收入合计2474.01万元，其中：财政拨款收入2405.8万元，占97.24%；上级补助收入0万元，占0%；事业收入0万元，占0%；经营收入0万元，占0%；附属单位上缴收入0万元，占0%；其他收入68.21万元，占2.76%。</w:t>
      </w:r>
    </w:p>
    <w:p>
      <w:pPr>
        <w:pStyle w:val="13"/>
        <w:rPr>
          <w:rFonts w:hAnsi="黑体"/>
          <w:b/>
          <w:color w:val="auto"/>
          <w:sz w:val="32"/>
          <w:szCs w:val="32"/>
        </w:rPr>
      </w:pPr>
      <w:r>
        <w:rPr>
          <w:rFonts w:hint="eastAsia" w:hAnsi="黑体"/>
          <w:b/>
          <w:color w:val="auto"/>
          <w:sz w:val="32"/>
          <w:szCs w:val="32"/>
        </w:rPr>
        <w:t>三、支出决算情况说明</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2021年度支出合计2474.01万元，其中：基本支出1784.93万元，占72.15%；项目支出689.08万元，占27.85%；上缴上级支出0万元，占0%；经营支出0万元，占0%；对附属单位补助支出0万元，占0%。</w:t>
      </w:r>
    </w:p>
    <w:p>
      <w:pPr>
        <w:pStyle w:val="13"/>
        <w:rPr>
          <w:rFonts w:hAnsi="黑体"/>
          <w:b/>
          <w:color w:val="auto"/>
          <w:sz w:val="32"/>
          <w:szCs w:val="32"/>
        </w:rPr>
      </w:pPr>
      <w:r>
        <w:rPr>
          <w:rFonts w:hint="eastAsia" w:hAnsi="黑体"/>
          <w:b/>
          <w:color w:val="auto"/>
          <w:sz w:val="32"/>
          <w:szCs w:val="32"/>
        </w:rPr>
        <w:t>四、财政拨款收入支出决算总体情况说明</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财政拨款收入合计2405.8万元。与上年相比，增加1085.63万元，增长82.23%，主要是因为2020年机构改革下放前由同级财政怀化市财政承担的财政拨款收入不含非税执收成本、2020年2-12月工资及省区专项经费，上述收入计入2020年其他收入（非本级财政拨款）中，而2021年上述项目均为由同级鹤城区财政承担的财政拨款收入，导致2021年财政拨款收入增加。</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2021年度财政拨款支出合计2405.8万元。与上年相比，</w:t>
      </w:r>
      <w:r>
        <w:rPr>
          <w:rFonts w:hint="eastAsia" w:asciiTheme="minorEastAsia" w:hAnsiTheme="minorEastAsia" w:eastAsiaTheme="minorEastAsia"/>
          <w:color w:val="auto"/>
          <w:sz w:val="32"/>
          <w:szCs w:val="32"/>
          <w:highlight w:val="none"/>
        </w:rPr>
        <w:t>增加1085.63万</w:t>
      </w:r>
      <w:r>
        <w:rPr>
          <w:rFonts w:hint="eastAsia" w:asciiTheme="minorEastAsia" w:hAnsiTheme="minorEastAsia" w:eastAsiaTheme="minorEastAsia"/>
          <w:color w:val="auto"/>
          <w:sz w:val="32"/>
          <w:szCs w:val="32"/>
        </w:rPr>
        <w:t>元，增长82.23%，主要是因为2020年机构改革下放前由同级财政怀化市财政承担的财政拨款收入不含非税执收成本、2020年2-12月工资及省区专项经费，上述收入计入2020年其他收入（非本级财政拨款）中，而2021年上述项目均为由同级鹤城区财政承担的财政拨款收入，2021年财政拨款收入增加导致财政拨款支出增加。</w:t>
      </w:r>
    </w:p>
    <w:p>
      <w:pPr>
        <w:pStyle w:val="13"/>
        <w:rPr>
          <w:rFonts w:hAnsi="黑体"/>
          <w:b/>
          <w:color w:val="auto"/>
          <w:sz w:val="32"/>
          <w:szCs w:val="32"/>
        </w:rPr>
      </w:pPr>
      <w:r>
        <w:rPr>
          <w:rFonts w:hint="eastAsia" w:hAnsi="黑体"/>
          <w:b/>
          <w:color w:val="auto"/>
          <w:sz w:val="32"/>
          <w:szCs w:val="32"/>
        </w:rPr>
        <w:t>五、一般公共预算财政拨款支出决算情况说明</w:t>
      </w:r>
    </w:p>
    <w:p>
      <w:pPr>
        <w:pStyle w:val="13"/>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（一）财政拨款支出决算总体情况</w:t>
      </w:r>
    </w:p>
    <w:p>
      <w:pPr>
        <w:pStyle w:val="13"/>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2021年度财政拨款支出2405.8万元，占本年支出合计的97.24%，与上年相比，财政拨款支出增</w:t>
      </w:r>
      <w:r>
        <w:rPr>
          <w:rFonts w:hint="eastAsia" w:asciiTheme="minorEastAsia" w:hAnsiTheme="minorEastAsia" w:eastAsiaTheme="minorEastAsia"/>
          <w:color w:val="auto"/>
          <w:sz w:val="32"/>
          <w:szCs w:val="32"/>
          <w:highlight w:val="none"/>
        </w:rPr>
        <w:t>加1085.63万元</w:t>
      </w:r>
      <w:r>
        <w:rPr>
          <w:rFonts w:hint="eastAsia" w:asciiTheme="minorEastAsia" w:hAnsiTheme="minorEastAsia" w:eastAsiaTheme="minorEastAsia"/>
          <w:color w:val="auto"/>
          <w:sz w:val="32"/>
          <w:szCs w:val="32"/>
        </w:rPr>
        <w:t>，增长84.33%，主要是因为2020年机构改革下放前由同级财政怀化市财政承担的财政拨款收入不含非税执收成本、2020年2-12月工资及省区专项经费，上述收入计入2020年其他收入（非本级财政拨款）中，而2021年上述项目均为由同级鹤城区财政承担的财政拨款收入，2021年财政拨款收入增加导致财政拨款支出增加。</w:t>
      </w:r>
    </w:p>
    <w:p>
      <w:pPr>
        <w:pStyle w:val="13"/>
        <w:ind w:firstLine="480" w:firstLineChars="15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（二）财政拨款支出决算结构情况</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财政拨款支出2405.8万元，主要用于以下方面：一般公共服务（类）支出2162.03万元，占89.87%；社会保障和就业（类）支出164.32万元，占6.83%；卫生健康（类）支出77.45万元，占3.22%；灾害防治及应急管理（类）支出2万元，占0.08%。</w:t>
      </w:r>
    </w:p>
    <w:p>
      <w:pPr>
        <w:pStyle w:val="13"/>
        <w:ind w:firstLine="800" w:firstLineChars="25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（三）财政拨款支出决算具体情况</w:t>
      </w:r>
    </w:p>
    <w:p>
      <w:pPr>
        <w:pStyle w:val="13"/>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2021年度财政拨款支出年初预算数为2294.57万元，支出决算数为2405.8万元，完成年初预算的104.85%，其中：</w:t>
      </w:r>
    </w:p>
    <w:p>
      <w:pPr>
        <w:pStyle w:val="13"/>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1、一般公共服务支出（类）政府办公厅（室）及相关机构事务（款）其他政府办公厅（室）及相关机构事务支出（项）。</w:t>
      </w:r>
    </w:p>
    <w:p>
      <w:pPr>
        <w:pStyle w:val="13"/>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年初预算为0万元，支出决算为25万元，无法计算完成比率，决算数大于年初预算数的主要原因是：追加了2019年商事制度改革奖励资金。</w:t>
      </w:r>
    </w:p>
    <w:p>
      <w:pPr>
        <w:pStyle w:val="13"/>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2、一般公共服务支出（类）市场监督管理事务（款）行政运行（项）。</w:t>
      </w:r>
    </w:p>
    <w:p>
      <w:pPr>
        <w:pStyle w:val="13"/>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1773.14万元，支出决算为1539.23万元，完成年初预算的86.81%，决算数小于年初预算数的主要原因是：年初预算纳入公共预算管理的非税执收成本在预算执行过程中下达的功能科目调整为一般行政管理事务（项）。</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3、一般公共服务支出（类）市场监督管理事务（款）一般行政管理事务（项）。</w:t>
      </w:r>
    </w:p>
    <w:p>
      <w:pPr>
        <w:pStyle w:val="13"/>
        <w:ind w:firstLine="64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0万元，支出决算为448.8万元，无法计算完成比率，决算数大于年初预算数的主要原因是：一方面年初预算中的非税执收成本、专项资金功能科目调整为本科目，另一方面财政追加了市场监督管理局食品抽检专项资金及区疫苗国家监管体系评估工作专项经费。</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4、一般公共服务支出（类）市场监督管理事务（款）药品事务（项）。</w:t>
      </w:r>
    </w:p>
    <w:p>
      <w:pPr>
        <w:pStyle w:val="13"/>
        <w:ind w:firstLine="64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年初预算为0万元，支出决算为2万元，无法计算完成比率，决算数大于年初预算数的主要原因是：追加了中央药品监管补助资金。</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5、一般公共服务支出（类）市场监督管理事务（款）食品安全监管（项）。</w:t>
      </w:r>
    </w:p>
    <w:p>
      <w:pPr>
        <w:pStyle w:val="13"/>
        <w:ind w:firstLine="64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40万元，支出决算为10万元，完成年初预算的25%，决算数小于年初预算数的主要原因是：年初预算资金在预算执行过程中下达的功能科目调整为一般行政管理事务（项）；追加了中央食品监管补助资金。</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6、一般公共服务支出（类）市场监督管理事务（款）其他市场监督管理事务（项）。</w:t>
      </w:r>
    </w:p>
    <w:p>
      <w:pPr>
        <w:pStyle w:val="13"/>
        <w:ind w:firstLine="64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119万元，支出决算为132万元，完成年初预算的110.92%，决算数大于年初预算数的主要原因是：年初预算资金在预算执行过程中下达的功能科目调整为一般行政管理事务（项）；追加了上级下达的市场监督管理专项资金。</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7、一般公共服务支出（类）其他一般公共服务支出（款）其他一般公共服务支出（项）。</w:t>
      </w:r>
    </w:p>
    <w:p>
      <w:pPr>
        <w:pStyle w:val="13"/>
        <w:ind w:firstLine="64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年初预算为0万元，支出决算为5万元，无法计算完成比率，决算数大于年初预算数的主要原因是：追加了上级下达的专项资金。</w:t>
      </w:r>
    </w:p>
    <w:p>
      <w:pPr>
        <w:pStyle w:val="13"/>
        <w:ind w:firstLine="64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8、社会保障和就业支出（类）行政事业单位养老支出（款）行政单位离退休（项）。</w:t>
      </w:r>
    </w:p>
    <w:p>
      <w:pPr>
        <w:pStyle w:val="13"/>
        <w:ind w:firstLine="64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4.59万元，支出决算为0.07万元，完成年初预算的1.53%，决算数小于年初预算数的主要原因是：财政压减年初预算离退休人员公用经费；年初预算离退休人员春节生活补助在预算执行过程中下达的功能科目调整为2013801。</w:t>
      </w:r>
    </w:p>
    <w:p>
      <w:pPr>
        <w:pStyle w:val="13"/>
        <w:ind w:firstLine="64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9、社会保障和就业支出（类）行政事业单位养老支出（款）机关事业单位基本养老保险缴费支出（项）。</w:t>
      </w:r>
    </w:p>
    <w:p>
      <w:pPr>
        <w:pStyle w:val="13"/>
        <w:ind w:firstLine="64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年初预算为154.9万元，支出决算为158.18万元，完成年初预算的102.12%，决算数大于年初预算数的主要原因是：追加了上年度未缴清的基本养老保险单位缴费金额8.36万元。</w:t>
      </w:r>
    </w:p>
    <w:p>
      <w:pPr>
        <w:pStyle w:val="13"/>
        <w:ind w:firstLine="64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10、社会保障和就业支出（类）行政事业单位养老支出（款）机关事业单位职业年金缴费支出（项）。</w:t>
      </w:r>
    </w:p>
    <w:p>
      <w:pPr>
        <w:pStyle w:val="13"/>
        <w:ind w:firstLine="64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9.3万元，支出决算为6.07万元，完成年初预算的65.26%，决算数小于年初预算数的主要原因是：年初预算职业年金缴费项目为预计的退休人员职业年金，由财政与年金相关部门结算，不经由本局支付；追加了市财政补足的机构改革下放之前本单位在职人员2020年1月职业年金单位部分缴费金额。</w:t>
      </w:r>
    </w:p>
    <w:p>
      <w:pPr>
        <w:pStyle w:val="13"/>
        <w:ind w:firstLine="64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11、卫生健康支出（类）行政事业单位医疗（款）行政单位医疗（项）。</w:t>
      </w:r>
    </w:p>
    <w:p>
      <w:pPr>
        <w:pStyle w:val="13"/>
        <w:ind w:firstLine="64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年初预算为77.45万元，支出决算为77.45万元，完成年初预算的100%，决算数等于年初预算数的主要原因是：预算编制合理。</w:t>
      </w:r>
    </w:p>
    <w:p>
      <w:pPr>
        <w:pStyle w:val="13"/>
        <w:ind w:firstLine="64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12、住房保障支出（类）住房改革支出（款）住房公积金（项）。</w:t>
      </w:r>
    </w:p>
    <w:p>
      <w:pPr>
        <w:pStyle w:val="13"/>
        <w:ind w:firstLine="64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116.18万元，支出决算为0万元，完成年初预算的0%，决算数小于年初预算数的主要原因是：年初预算住房公积金项目为在职人员工资对应的住房公积金单位部分缴费金额，由财政直接与住房公积金部门结算，不经由本局支付。</w:t>
      </w:r>
    </w:p>
    <w:p>
      <w:pPr>
        <w:pStyle w:val="13"/>
        <w:ind w:firstLine="64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13、灾害防治及应急管理支出（类）应急管理事务（款）安全监管（项）。</w:t>
      </w:r>
    </w:p>
    <w:p>
      <w:pPr>
        <w:pStyle w:val="13"/>
        <w:ind w:firstLine="64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年初预算为0万元，支出决算为2万元，无法计算完成比率，决算数大于年初预算数的主要原因是：追加了安全生产专项整治三年行动工作经费。</w:t>
      </w:r>
    </w:p>
    <w:p>
      <w:pPr>
        <w:pStyle w:val="13"/>
        <w:rPr>
          <w:rFonts w:hAnsi="黑体"/>
          <w:b/>
          <w:color w:val="auto"/>
          <w:sz w:val="32"/>
          <w:szCs w:val="32"/>
          <w:highlight w:val="none"/>
        </w:rPr>
      </w:pPr>
      <w:r>
        <w:rPr>
          <w:rFonts w:hint="eastAsia" w:hAnsi="黑体"/>
          <w:b/>
          <w:color w:val="auto"/>
          <w:sz w:val="32"/>
          <w:szCs w:val="32"/>
          <w:highlight w:val="none"/>
        </w:rPr>
        <w:t>六、一般公共预算财政拨款基本支出决算情况说明</w:t>
      </w:r>
    </w:p>
    <w:p>
      <w:pPr>
        <w:pStyle w:val="13"/>
        <w:ind w:firstLine="640" w:firstLineChars="200"/>
        <w:rPr>
          <w:rFonts w:asciiTheme="minorEastAsia" w:hAnsiTheme="minorEastAsia" w:eastAsiaTheme="minorEastAsia"/>
          <w:i/>
          <w:color w:val="auto"/>
          <w:sz w:val="32"/>
          <w:szCs w:val="32"/>
        </w:rPr>
      </w:pPr>
      <w:r>
        <w:rPr>
          <w:rFonts w:hint="eastAsia" w:asciiTheme="minorEastAsia" w:hAnsiTheme="minorEastAsia" w:eastAsiaTheme="minorEastAsia"/>
          <w:color w:val="auto"/>
          <w:sz w:val="32"/>
          <w:szCs w:val="32"/>
        </w:rPr>
        <w:t>2021年度财政拨款基本支出1781万元，其中：人员经费1583.6万元，占基本支出的88.92%,主要包括基本工资、津贴补贴、奖金、机关事业单位基本养老保险缴费、职业年金缴费、职工基本医疗保险缴费、其他社会保障缴费、遗属生活补助、其他对个人和家庭的补助；公用经费197.4万元，占基本支出的11.00%，主要包括办公费、印刷费、水费、电费、邮电费、物业管理费、差旅费、维修（护）费、公务接待费、劳务费、委托业务费、工会经费、福利费、公务用车运行维护费、其他交通费用。</w:t>
      </w:r>
    </w:p>
    <w:p>
      <w:pPr>
        <w:pStyle w:val="13"/>
        <w:rPr>
          <w:rFonts w:hAnsi="黑体"/>
          <w:b/>
          <w:color w:val="auto"/>
          <w:sz w:val="32"/>
          <w:szCs w:val="32"/>
        </w:rPr>
      </w:pPr>
      <w:r>
        <w:rPr>
          <w:rFonts w:hint="eastAsia" w:hAnsi="黑体"/>
          <w:b/>
          <w:color w:val="auto"/>
          <w:sz w:val="32"/>
          <w:szCs w:val="32"/>
        </w:rPr>
        <w:t>七、一般公共预算财政拨款“三公”经费支出决算情况说明</w:t>
      </w:r>
    </w:p>
    <w:p>
      <w:pPr>
        <w:pStyle w:val="13"/>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（一）“三公”经费财政拨款支出决算总体情况说明</w:t>
      </w:r>
    </w:p>
    <w:p>
      <w:pPr>
        <w:pStyle w:val="13"/>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2021年度“三公”经费财政拨款支出预算为50.4万元，支出决算为17.08万元，完成预算的33.89%，其中：</w:t>
      </w:r>
    </w:p>
    <w:p>
      <w:pPr>
        <w:pStyle w:val="13"/>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因公出国（境）费支出预算为0万元，支出决算为0万元，</w:t>
      </w:r>
      <w:r>
        <w:rPr>
          <w:rFonts w:hint="eastAsia" w:asciiTheme="minorEastAsia" w:hAnsiTheme="minorEastAsia" w:eastAsiaTheme="minorEastAsia"/>
          <w:color w:val="auto"/>
          <w:sz w:val="32"/>
          <w:szCs w:val="32"/>
          <w:lang w:val="en-US" w:eastAsia="zh-CN"/>
        </w:rPr>
        <w:t>由于预算数为0，无法计算百分比</w:t>
      </w:r>
      <w:r>
        <w:rPr>
          <w:rFonts w:hint="eastAsia" w:asciiTheme="minorEastAsia" w:hAnsiTheme="minorEastAsia" w:eastAsiaTheme="minorEastAsia"/>
          <w:color w:val="auto"/>
          <w:sz w:val="32"/>
          <w:szCs w:val="32"/>
        </w:rPr>
        <w:t>，决算数等于预算数的主要原因是均无因公出国（境）费支出，与上年相比无变化，主要原因是均无因公出国（境）费支出。</w:t>
      </w:r>
    </w:p>
    <w:p>
      <w:pPr>
        <w:pStyle w:val="13"/>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公务接待费支出预算为14.7万元，支出决算为5.16万元，完成预算的35.1%，决算数小于预算数的主要原因是严格预算执行，厉行节约，与上年相比减少6.74万元，减少56.64%,减少的主要原因是厉行节约，并且受疫情影响公务接待活动及费用减少。</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公务用车购置费支出预算为0万元，支出决算为0万元，</w:t>
      </w:r>
      <w:r>
        <w:rPr>
          <w:rFonts w:hint="eastAsia" w:asciiTheme="minorEastAsia" w:hAnsiTheme="minorEastAsia" w:eastAsiaTheme="minorEastAsia"/>
          <w:color w:val="auto"/>
          <w:sz w:val="32"/>
          <w:szCs w:val="32"/>
          <w:lang w:val="en-US" w:eastAsia="zh-CN"/>
        </w:rPr>
        <w:t>由于预算数为0，无法计算百分比</w:t>
      </w:r>
      <w:r>
        <w:rPr>
          <w:rFonts w:hint="eastAsia" w:asciiTheme="minorEastAsia" w:hAnsiTheme="minorEastAsia" w:eastAsiaTheme="minorEastAsia"/>
          <w:color w:val="auto"/>
          <w:sz w:val="32"/>
          <w:szCs w:val="32"/>
        </w:rPr>
        <w:t>，决算数等于预算数的主要原因是均无公务用车购置费支出，</w:t>
      </w:r>
      <w:r>
        <w:rPr>
          <w:rFonts w:hint="eastAsia" w:asciiTheme="minorEastAsia" w:hAnsiTheme="minorEastAsia" w:eastAsiaTheme="minorEastAsia"/>
          <w:color w:val="auto"/>
          <w:sz w:val="32"/>
          <w:szCs w:val="32"/>
          <w:lang w:eastAsia="zh-CN"/>
        </w:rPr>
        <w:t>与上年相比</w:t>
      </w:r>
      <w:r>
        <w:rPr>
          <w:rFonts w:hint="eastAsia" w:asciiTheme="minorEastAsia" w:hAnsiTheme="minorEastAsia" w:eastAsiaTheme="minorEastAsia"/>
          <w:color w:val="auto"/>
          <w:sz w:val="32"/>
          <w:szCs w:val="32"/>
        </w:rPr>
        <w:t>无变化，主要原因是均无公务用车购置费支出。</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公务用车运行维护费支出预算为35.7万元，支出决算为11.92万元，完成预算的33.39%，决算数小于预算数的主要原因是严格预算执行，厉行节约，与上年相比减少14.47万元，减少54.83%,减少的主要原因是厉行节约。</w:t>
      </w:r>
    </w:p>
    <w:p>
      <w:pPr>
        <w:pStyle w:val="13"/>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（二）“三公”经费财政拨款支出决算具体情况说明</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2021年度“三公”经费财政拨款支出决算中，公务接待费支出决算5.16万元，占30.21%,因公出国（境）费支出决算0万元，占0%,公务用车购置费及运行维护费支出决算11.92万元，占69.79%。其中：</w:t>
      </w:r>
    </w:p>
    <w:p>
      <w:pPr>
        <w:pStyle w:val="13"/>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color w:val="auto"/>
          <w:sz w:val="32"/>
          <w:szCs w:val="32"/>
        </w:rPr>
        <w:t>1、因公出国（境）费支出决算为0万元，全年安排因公出国（境）团组0个，累计0人次,无开支内容。</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2、公务接待费支出决算为5.16万元，全年共接待来访团组53个、来宾398人次，主要是食品安全工作交流、药品监督管理工作交流等发生的接待支出。</w:t>
      </w:r>
    </w:p>
    <w:p>
      <w:pPr>
        <w:ind w:firstLine="640" w:firstLineChars="200"/>
        <w:rPr>
          <w:rFonts w:cs="黑体" w:asciiTheme="minorEastAsia" w:hAnsiTheme="minorEastAsia"/>
          <w:kern w:val="0"/>
          <w:sz w:val="32"/>
          <w:szCs w:val="32"/>
        </w:rPr>
      </w:pPr>
      <w:r>
        <w:rPr>
          <w:rFonts w:hint="eastAsia" w:asciiTheme="minorEastAsia" w:hAnsiTheme="minorEastAsia"/>
          <w:sz w:val="32"/>
          <w:szCs w:val="32"/>
        </w:rPr>
        <w:t>3、公务用车购置费及运行维护费支出决算为11.92万元，其中：公务用车购置费0万元，更新公务用车</w:t>
      </w:r>
      <w:r>
        <w:rPr>
          <w:rFonts w:hint="eastAsia" w:asciiTheme="minorEastAsia" w:hAnsiTheme="minorEastAsia"/>
          <w:sz w:val="32"/>
          <w:szCs w:val="32"/>
          <w:lang w:val="en-US" w:eastAsia="zh-CN"/>
        </w:rPr>
        <w:t>0辆</w:t>
      </w:r>
      <w:r>
        <w:rPr>
          <w:rFonts w:hint="eastAsia" w:asciiTheme="minorEastAsia" w:hAnsiTheme="minorEastAsia"/>
          <w:sz w:val="32"/>
          <w:szCs w:val="32"/>
        </w:rPr>
        <w:t>。公务用车运行维护费11.92万元，主要是车辆油料费、车辆维修（护）费、车辆保险费支出，</w:t>
      </w:r>
      <w:r>
        <w:rPr>
          <w:rFonts w:hint="eastAsia" w:asciiTheme="minorEastAsia" w:hAnsiTheme="minorEastAsia"/>
          <w:sz w:val="32"/>
          <w:szCs w:val="32"/>
          <w:lang w:eastAsia="zh-CN"/>
        </w:rPr>
        <w:t>截至2021年</w:t>
      </w:r>
      <w:r>
        <w:rPr>
          <w:rFonts w:hint="eastAsia" w:asciiTheme="minorEastAsia" w:hAnsiTheme="minorEastAsia"/>
          <w:sz w:val="32"/>
          <w:szCs w:val="32"/>
        </w:rPr>
        <w:t>12月31日，我单位开支财政拨款的公务用车保有量为6辆。</w:t>
      </w:r>
    </w:p>
    <w:p>
      <w:pPr>
        <w:pStyle w:val="13"/>
        <w:rPr>
          <w:rFonts w:hAnsi="黑体"/>
          <w:b/>
          <w:color w:val="auto"/>
          <w:sz w:val="32"/>
          <w:szCs w:val="32"/>
        </w:rPr>
      </w:pPr>
      <w:r>
        <w:rPr>
          <w:rFonts w:hint="eastAsia" w:hAnsi="黑体"/>
          <w:b/>
          <w:color w:val="auto"/>
          <w:sz w:val="32"/>
          <w:szCs w:val="32"/>
        </w:rPr>
        <w:t>八、政府性基金预算收入支出决算情况</w:t>
      </w:r>
    </w:p>
    <w:p>
      <w:pPr>
        <w:pStyle w:val="13"/>
        <w:ind w:firstLine="640" w:firstLineChars="200"/>
        <w:rPr>
          <w:rFonts w:asciiTheme="minorEastAsia" w:hAnsiTheme="minorEastAsia" w:eastAsiaTheme="minorEastAsia"/>
          <w:i/>
          <w:color w:val="auto"/>
          <w:sz w:val="32"/>
          <w:szCs w:val="32"/>
        </w:rPr>
      </w:pPr>
      <w:r>
        <w:rPr>
          <w:rFonts w:hint="eastAsia" w:asciiTheme="minorEastAsia" w:hAnsiTheme="minorEastAsia" w:eastAsiaTheme="minorEastAsia" w:cstheme="minorBidi"/>
          <w:color w:val="auto"/>
          <w:kern w:val="2"/>
          <w:sz w:val="32"/>
          <w:szCs w:val="32"/>
          <w:lang w:val="en-US" w:eastAsia="zh-CN" w:bidi="ar-SA"/>
        </w:rPr>
        <w:t>2021年度政府性基金预算财政拨款收入0万元；年初结转和结余0万元；支出0万元，其中基本支出0万元，项目支出0万元；年末结转和结余0万元。</w:t>
      </w:r>
    </w:p>
    <w:p>
      <w:pPr>
        <w:pStyle w:val="13"/>
        <w:rPr>
          <w:rFonts w:hAnsi="黑体"/>
          <w:b/>
          <w:color w:val="auto"/>
          <w:sz w:val="32"/>
          <w:szCs w:val="32"/>
        </w:rPr>
      </w:pPr>
      <w:r>
        <w:rPr>
          <w:rFonts w:hint="eastAsia" w:hAnsi="黑体"/>
          <w:b/>
          <w:color w:val="auto"/>
          <w:sz w:val="32"/>
          <w:szCs w:val="32"/>
        </w:rPr>
        <w:t>九、国有资本经营预算财政拨款支出情况</w:t>
      </w:r>
    </w:p>
    <w:p>
      <w:pPr>
        <w:pStyle w:val="13"/>
        <w:ind w:firstLine="800" w:firstLineChars="250"/>
        <w:rPr>
          <w:rFonts w:asciiTheme="minorEastAsia" w:hAnsiTheme="minorEastAsia" w:eastAsiaTheme="minorEastAsia"/>
          <w:i/>
          <w:color w:val="auto"/>
          <w:sz w:val="32"/>
          <w:szCs w:val="32"/>
        </w:rPr>
      </w:pPr>
      <w:r>
        <w:rPr>
          <w:rFonts w:hint="eastAsia" w:asciiTheme="minorEastAsia" w:hAnsiTheme="minorEastAsia" w:eastAsiaTheme="minorEastAsia" w:cstheme="minorBidi"/>
          <w:color w:val="auto"/>
          <w:kern w:val="2"/>
          <w:sz w:val="32"/>
          <w:szCs w:val="32"/>
          <w:lang w:val="en-US" w:eastAsia="zh-CN" w:bidi="ar-SA"/>
        </w:rPr>
        <w:t>2021年度国有资本经营预算财政拨款收入0万元；年初结转和结余0万元；支出0万元，其中基本支出0万元，项目支出0万元；年末结转和结余0万元。</w:t>
      </w:r>
    </w:p>
    <w:p>
      <w:pPr>
        <w:pStyle w:val="13"/>
        <w:rPr>
          <w:rFonts w:hAnsi="黑体"/>
          <w:b/>
          <w:color w:val="auto"/>
          <w:sz w:val="32"/>
          <w:szCs w:val="32"/>
        </w:rPr>
      </w:pPr>
      <w:r>
        <w:rPr>
          <w:rFonts w:hint="eastAsia" w:hAnsi="黑体"/>
          <w:b/>
          <w:color w:val="auto"/>
          <w:sz w:val="32"/>
          <w:szCs w:val="32"/>
        </w:rPr>
        <w:t>十、机关运行经费支出说明</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本部门2021年度机关运行经费支出197.4万元，比上年决算数减少86.42万元，降低30.45%。主要原因是：机构合并下放至鹤城区财政后，公用经费标准减少，导致机关运行经费减少。</w:t>
      </w:r>
    </w:p>
    <w:p>
      <w:pPr>
        <w:pStyle w:val="13"/>
        <w:rPr>
          <w:rFonts w:hAnsi="黑体"/>
          <w:b/>
          <w:color w:val="auto"/>
          <w:sz w:val="32"/>
          <w:szCs w:val="32"/>
        </w:rPr>
      </w:pPr>
      <w:r>
        <w:rPr>
          <w:rFonts w:hint="eastAsia" w:hAnsi="黑体"/>
          <w:b/>
          <w:color w:val="auto"/>
          <w:sz w:val="32"/>
          <w:szCs w:val="32"/>
        </w:rPr>
        <w:t>十一、一般性支出情况说明</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2021年本部门开支会议费0万元，用于召开0次会议，人数0人；开支培训费0万元，用于开展0次培训，人数0人；举办0次节庆、晚会、论坛、赛事活动，开支0万元。</w:t>
      </w:r>
    </w:p>
    <w:p>
      <w:pPr>
        <w:pStyle w:val="13"/>
        <w:rPr>
          <w:rFonts w:hAnsi="黑体"/>
          <w:b/>
          <w:color w:val="auto"/>
          <w:sz w:val="32"/>
          <w:szCs w:val="32"/>
        </w:rPr>
      </w:pPr>
      <w:r>
        <w:rPr>
          <w:rFonts w:hint="eastAsia" w:hAnsi="黑体"/>
          <w:b/>
          <w:color w:val="auto"/>
          <w:sz w:val="32"/>
          <w:szCs w:val="32"/>
        </w:rPr>
        <w:t>十二、政府采购支出说明</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本部门2021年度政府采购支出总额103.42万元，其中：政府采购货物支出0万元、政府采购工程支出0万元、政府采购服务支出103.42万元。授予中小企业合同金额103.42万元，占政府采购支出总额的100%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100%。</w:t>
      </w:r>
    </w:p>
    <w:p>
      <w:pPr>
        <w:pStyle w:val="13"/>
        <w:rPr>
          <w:rFonts w:hAnsi="黑体"/>
          <w:b/>
          <w:color w:val="auto"/>
          <w:sz w:val="32"/>
          <w:szCs w:val="32"/>
        </w:rPr>
      </w:pPr>
      <w:r>
        <w:rPr>
          <w:rFonts w:hint="eastAsia" w:hAnsi="黑体"/>
          <w:b/>
          <w:color w:val="auto"/>
          <w:sz w:val="32"/>
          <w:szCs w:val="32"/>
        </w:rPr>
        <w:t>十三、国有资产占用情况说明</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截至2021年12月31日，部门（单位）共有车辆6辆，其中，主要领导干部用车0辆，机要通信用车0辆、应急保障用车0辆、执法执勤用车6辆、特种专业技术用车0辆、其他用车0辆；单位价值50万元以上通用设备0台（套）；单位价值100万元以上专用设备0台（套）。</w:t>
      </w:r>
    </w:p>
    <w:p>
      <w:pPr>
        <w:pStyle w:val="13"/>
        <w:rPr>
          <w:rFonts w:hAnsi="黑体"/>
          <w:b/>
          <w:color w:val="auto"/>
          <w:sz w:val="32"/>
          <w:szCs w:val="32"/>
        </w:rPr>
      </w:pPr>
      <w:r>
        <w:rPr>
          <w:rFonts w:hint="eastAsia" w:hAnsi="黑体"/>
          <w:b/>
          <w:color w:val="auto"/>
          <w:sz w:val="32"/>
          <w:szCs w:val="32"/>
        </w:rPr>
        <w:t>十四、2021年度预算绩效情况说明</w:t>
      </w:r>
    </w:p>
    <w:p>
      <w:pPr>
        <w:autoSpaceDE w:val="0"/>
        <w:autoSpaceDN w:val="0"/>
        <w:adjustRightInd w:val="0"/>
        <w:ind w:firstLine="640" w:firstLineChars="200"/>
        <w:jc w:val="left"/>
        <w:rPr>
          <w:rFonts w:cs="黑体" w:asciiTheme="minorEastAsia" w:hAnsiTheme="minorEastAsia"/>
          <w:kern w:val="0"/>
          <w:sz w:val="32"/>
          <w:szCs w:val="32"/>
        </w:rPr>
      </w:pPr>
      <w:r>
        <w:rPr>
          <w:rFonts w:hint="eastAsia" w:cs="黑体" w:asciiTheme="minorEastAsia" w:hAnsiTheme="minorEastAsia"/>
          <w:b/>
          <w:kern w:val="0"/>
          <w:sz w:val="32"/>
          <w:szCs w:val="32"/>
        </w:rPr>
        <w:t>（1）绩效管理评价工作开展情况</w:t>
      </w:r>
      <w:r>
        <w:rPr>
          <w:rFonts w:hint="eastAsia" w:cs="黑体" w:asciiTheme="minorEastAsia" w:hAnsiTheme="minorEastAsia"/>
          <w:kern w:val="0"/>
          <w:sz w:val="32"/>
          <w:szCs w:val="32"/>
        </w:rPr>
        <w:t>。</w:t>
      </w:r>
    </w:p>
    <w:p>
      <w:pPr>
        <w:autoSpaceDE w:val="0"/>
        <w:autoSpaceDN w:val="0"/>
        <w:adjustRightInd w:val="0"/>
        <w:ind w:firstLine="640" w:firstLineChars="200"/>
        <w:jc w:val="left"/>
        <w:rPr>
          <w:rFonts w:cs="黑体" w:asciiTheme="minorEastAsia" w:hAnsiTheme="minorEastAsia"/>
          <w:kern w:val="0"/>
          <w:sz w:val="32"/>
          <w:szCs w:val="32"/>
        </w:rPr>
      </w:pPr>
      <w:r>
        <w:rPr>
          <w:rFonts w:hint="eastAsia" w:cs="黑体" w:asciiTheme="minorEastAsia" w:hAnsiTheme="minorEastAsia"/>
          <w:kern w:val="0"/>
          <w:sz w:val="32"/>
          <w:szCs w:val="32"/>
        </w:rPr>
        <w:t>根据预算绩效管理要求，我部门组织对</w:t>
      </w:r>
      <w:r>
        <w:rPr>
          <w:rFonts w:cs="黑体" w:asciiTheme="minorEastAsia" w:hAnsiTheme="minorEastAsia"/>
          <w:kern w:val="0"/>
          <w:sz w:val="32"/>
          <w:szCs w:val="32"/>
        </w:rPr>
        <w:t>2021</w:t>
      </w:r>
      <w:r>
        <w:rPr>
          <w:rFonts w:hint="eastAsia" w:cs="黑体" w:asciiTheme="minorEastAsia" w:hAnsiTheme="minorEastAsia"/>
          <w:kern w:val="0"/>
          <w:sz w:val="32"/>
          <w:szCs w:val="32"/>
        </w:rPr>
        <w:t>年度一般公共预算项目支出全面开展绩效自评，其中，一级项目8个，二级项目0个，共涉及资金689.08万元，占一般公共预算项目支出总额的100</w:t>
      </w:r>
      <w:r>
        <w:rPr>
          <w:rFonts w:cs="黑体" w:asciiTheme="minorEastAsia" w:hAnsiTheme="minorEastAsia"/>
          <w:kern w:val="0"/>
          <w:sz w:val="32"/>
          <w:szCs w:val="32"/>
        </w:rPr>
        <w:t>%</w:t>
      </w:r>
      <w:r>
        <w:rPr>
          <w:rFonts w:hint="eastAsia" w:cs="黑体" w:asciiTheme="minorEastAsia" w:hAnsiTheme="minorEastAsia"/>
          <w:kern w:val="0"/>
          <w:sz w:val="32"/>
          <w:szCs w:val="32"/>
        </w:rPr>
        <w:t>。</w:t>
      </w:r>
      <w:r>
        <w:rPr>
          <w:rFonts w:cs="黑体" w:asciiTheme="minorEastAsia" w:hAnsiTheme="minorEastAsia"/>
          <w:kern w:val="0"/>
          <w:sz w:val="32"/>
          <w:szCs w:val="32"/>
        </w:rPr>
        <w:t>2021</w:t>
      </w:r>
      <w:r>
        <w:rPr>
          <w:rFonts w:hint="eastAsia" w:cs="黑体" w:asciiTheme="minorEastAsia" w:hAnsiTheme="minorEastAsia"/>
          <w:kern w:val="0"/>
          <w:sz w:val="32"/>
          <w:szCs w:val="32"/>
        </w:rPr>
        <w:t>年度无政府性基金预算项目。</w:t>
      </w:r>
      <w:r>
        <w:rPr>
          <w:rFonts w:cs="黑体" w:asciiTheme="minorEastAsia" w:hAnsiTheme="minorEastAsia"/>
          <w:kern w:val="0"/>
          <w:sz w:val="32"/>
          <w:szCs w:val="32"/>
        </w:rPr>
        <w:t>2021</w:t>
      </w:r>
      <w:r>
        <w:rPr>
          <w:rFonts w:hint="eastAsia" w:cs="黑体" w:asciiTheme="minorEastAsia" w:hAnsiTheme="minorEastAsia"/>
          <w:kern w:val="0"/>
          <w:sz w:val="32"/>
          <w:szCs w:val="32"/>
        </w:rPr>
        <w:t>年度无国有资本经营预算项目。</w:t>
      </w:r>
    </w:p>
    <w:p>
      <w:pPr>
        <w:autoSpaceDE w:val="0"/>
        <w:autoSpaceDN w:val="0"/>
        <w:adjustRightInd w:val="0"/>
        <w:ind w:firstLine="640" w:firstLineChars="200"/>
        <w:jc w:val="left"/>
        <w:rPr>
          <w:rFonts w:cs="黑体" w:asciiTheme="minorEastAsia" w:hAnsiTheme="minorEastAsia"/>
          <w:kern w:val="0"/>
          <w:sz w:val="32"/>
          <w:szCs w:val="32"/>
        </w:rPr>
      </w:pPr>
      <w:r>
        <w:rPr>
          <w:rFonts w:hint="eastAsia" w:cs="黑体" w:asciiTheme="minorEastAsia" w:hAnsiTheme="minorEastAsia"/>
          <w:kern w:val="0"/>
          <w:sz w:val="32"/>
          <w:szCs w:val="32"/>
        </w:rPr>
        <w:t>组织对“2021年中央食品监管补助资金”“2021年中央药品监管补助资金（药械化不良反应监测）”“2019年商事制度改革奖励资金”“省级市场监管专项”等8个项目开展了部门评价，涉及一般公共预算支出689.08万元，政府性基金预算支出0万元，国有资本经营预算支出0万元。从评价情况来看，项目立项合理规范，财务管理规范有序，项目完成情况良好，项目运行正常。</w:t>
      </w:r>
    </w:p>
    <w:p>
      <w:pPr>
        <w:autoSpaceDE w:val="0"/>
        <w:autoSpaceDN w:val="0"/>
        <w:adjustRightInd w:val="0"/>
        <w:ind w:firstLine="640" w:firstLineChars="200"/>
        <w:jc w:val="left"/>
        <w:rPr>
          <w:rFonts w:cs="黑体" w:asciiTheme="minorEastAsia" w:hAnsiTheme="minorEastAsia"/>
          <w:kern w:val="0"/>
          <w:sz w:val="32"/>
          <w:szCs w:val="32"/>
        </w:rPr>
      </w:pPr>
      <w:r>
        <w:rPr>
          <w:rFonts w:hint="eastAsia" w:cs="黑体" w:asciiTheme="minorEastAsia" w:hAnsiTheme="minorEastAsia"/>
          <w:kern w:val="0"/>
          <w:sz w:val="32"/>
          <w:szCs w:val="32"/>
        </w:rPr>
        <w:t>组织对怀化市鹤城区市场监督管理局1个单位开展整体支出绩效评价，涉及一般公共预算支出2474.01万元，政府性基金预算支出0万元。从评价情况来看，预算执行合理合规，各项工作、各项指标均圆满完成，在工作中有特色、有亮点。</w:t>
      </w:r>
    </w:p>
    <w:p>
      <w:pPr>
        <w:autoSpaceDE w:val="0"/>
        <w:autoSpaceDN w:val="0"/>
        <w:adjustRightInd w:val="0"/>
        <w:ind w:firstLine="640" w:firstLineChars="200"/>
        <w:jc w:val="left"/>
        <w:rPr>
          <w:rFonts w:cs="黑体" w:asciiTheme="minorEastAsia" w:hAnsiTheme="minorEastAsia"/>
          <w:b/>
          <w:kern w:val="0"/>
          <w:sz w:val="32"/>
          <w:szCs w:val="32"/>
        </w:rPr>
      </w:pPr>
      <w:r>
        <w:rPr>
          <w:rFonts w:hint="eastAsia" w:cs="黑体" w:asciiTheme="minorEastAsia" w:hAnsiTheme="minorEastAsia"/>
          <w:b/>
          <w:kern w:val="0"/>
          <w:sz w:val="32"/>
          <w:szCs w:val="32"/>
        </w:rPr>
        <w:t>（2）部门决算中项目绩效自评结果。</w:t>
      </w:r>
    </w:p>
    <w:p>
      <w:pPr>
        <w:autoSpaceDE w:val="0"/>
        <w:autoSpaceDN w:val="0"/>
        <w:adjustRightInd w:val="0"/>
        <w:ind w:firstLine="640" w:firstLineChars="200"/>
        <w:jc w:val="left"/>
        <w:rPr>
          <w:rFonts w:cs="黑体" w:asciiTheme="minorEastAsia" w:hAnsiTheme="minorEastAsia"/>
          <w:kern w:val="0"/>
          <w:sz w:val="32"/>
          <w:szCs w:val="32"/>
        </w:rPr>
      </w:pPr>
      <w:r>
        <w:rPr>
          <w:rFonts w:hint="eastAsia" w:cs="黑体" w:asciiTheme="minorEastAsia" w:hAnsiTheme="minorEastAsia"/>
          <w:kern w:val="0"/>
          <w:sz w:val="32"/>
          <w:szCs w:val="32"/>
        </w:rPr>
        <w:t>2021年中央食品监管补助资金项目绩效自评综述：根据年初设定的绩效目标，项目绩效自评得分为100分。项目全年预算数为10万元，执行数为10万元，完成预算的100</w:t>
      </w:r>
      <w:r>
        <w:rPr>
          <w:rFonts w:cs="黑体" w:asciiTheme="minorEastAsia" w:hAnsiTheme="minorEastAsia"/>
          <w:kern w:val="0"/>
          <w:sz w:val="32"/>
          <w:szCs w:val="32"/>
        </w:rPr>
        <w:t>%</w:t>
      </w:r>
      <w:r>
        <w:rPr>
          <w:rFonts w:hint="eastAsia" w:cs="黑体" w:asciiTheme="minorEastAsia" w:hAnsiTheme="minorEastAsia"/>
          <w:kern w:val="0"/>
          <w:sz w:val="32"/>
          <w:szCs w:val="32"/>
        </w:rPr>
        <w:t>。项目绩效目标完成情况：一是开展关于食品安全监管食品安全整治及宣传行动次数7次；二是食品安全整治行动工作完成率100%；三是食品安全宣传行动工作完成率100%；四是食品安全监管整治、宣传工作整体均在2021年12月31日之前完成；五是食品经营监管成本控制在预算以内；六是无辖区内与补助资金相关的重大食品安全监管责任事故发生；七是促进食品经营安全监管制度逐步完善；八是群众对辖区食品安全满意基本达成预期。该项目完成情况良好，无偏离绩效目标等问题，无下一步改进措施。</w:t>
      </w:r>
    </w:p>
    <w:p>
      <w:pPr>
        <w:autoSpaceDE w:val="0"/>
        <w:autoSpaceDN w:val="0"/>
        <w:adjustRightInd w:val="0"/>
        <w:ind w:firstLine="640" w:firstLineChars="200"/>
        <w:jc w:val="left"/>
        <w:rPr>
          <w:rFonts w:cs="黑体" w:asciiTheme="minorEastAsia" w:hAnsiTheme="minorEastAsia"/>
          <w:kern w:val="0"/>
          <w:sz w:val="32"/>
          <w:szCs w:val="32"/>
        </w:rPr>
      </w:pPr>
      <w:r>
        <w:rPr>
          <w:rFonts w:hint="eastAsia" w:cs="黑体" w:asciiTheme="minorEastAsia" w:hAnsiTheme="minorEastAsia"/>
          <w:kern w:val="0"/>
          <w:sz w:val="32"/>
          <w:szCs w:val="32"/>
        </w:rPr>
        <w:t>2021年中央药品监管补助资金（药械化不良反应监测）项目绩效自评综述：根据年初设定的绩效目标，项目绩效自评得分为100分。项目全年预算数为2万元，执行数为2万元，完成预算的100</w:t>
      </w:r>
      <w:r>
        <w:rPr>
          <w:rFonts w:cs="黑体" w:asciiTheme="minorEastAsia" w:hAnsiTheme="minorEastAsia"/>
          <w:kern w:val="0"/>
          <w:sz w:val="32"/>
          <w:szCs w:val="32"/>
        </w:rPr>
        <w:t>%</w:t>
      </w:r>
      <w:r>
        <w:rPr>
          <w:rFonts w:hint="eastAsia" w:cs="黑体" w:asciiTheme="minorEastAsia" w:hAnsiTheme="minorEastAsia"/>
          <w:kern w:val="0"/>
          <w:sz w:val="32"/>
          <w:szCs w:val="32"/>
        </w:rPr>
        <w:t>。项目绩效目标完成情况：一是2021年药品监管企业数(经营企业数）324家；二是医疗器械监管企业数343家；三是药品不良反应监测报告2021年完成80份；四是医疗器械不良事件监测报告数2021年完成40份；五是化妆品不良反应监测报告2021年完成28份；六是药械化不良反应/事件报告与检测工作2021年底顺利完成；七是中央药品监管补助资金成本控制在预算以内；八是通过加强药械化不良反应/事件监测，推动“两品一械”总体安全水平不断提高、人民群众“两品一械”安全科普知识水平不断提升，减少假冒伪劣产品制售行为，进一步提升药品、医疗器械、化妆品监管水平。该项目完成情况良好，无偏离绩效目标等问题，无下一步改进措施。</w:t>
      </w:r>
    </w:p>
    <w:p>
      <w:pPr>
        <w:autoSpaceDE w:val="0"/>
        <w:autoSpaceDN w:val="0"/>
        <w:adjustRightInd w:val="0"/>
        <w:ind w:firstLine="640" w:firstLineChars="200"/>
        <w:jc w:val="left"/>
        <w:rPr>
          <w:rFonts w:cs="黑体" w:asciiTheme="minorEastAsia" w:hAnsiTheme="minorEastAsia"/>
          <w:kern w:val="0"/>
          <w:sz w:val="32"/>
          <w:szCs w:val="32"/>
        </w:rPr>
      </w:pPr>
      <w:r>
        <w:rPr>
          <w:rFonts w:hint="eastAsia" w:cs="黑体" w:asciiTheme="minorEastAsia" w:hAnsiTheme="minorEastAsia"/>
          <w:kern w:val="0"/>
          <w:sz w:val="32"/>
          <w:szCs w:val="32"/>
          <w:lang w:val="en-US" w:eastAsia="zh-CN"/>
        </w:rPr>
        <w:t>2021</w:t>
      </w:r>
      <w:r>
        <w:rPr>
          <w:rFonts w:hint="eastAsia" w:cs="黑体" w:asciiTheme="minorEastAsia" w:hAnsiTheme="minorEastAsia"/>
          <w:kern w:val="0"/>
          <w:sz w:val="32"/>
          <w:szCs w:val="32"/>
        </w:rPr>
        <w:t>年商事制度改革奖励资金项目绩效自评综述：根据年初设定的绩效目标，项目绩效自评得分为100分。项目全年预算数为25万元，执行数为25万元，完成预算的100</w:t>
      </w:r>
      <w:r>
        <w:rPr>
          <w:rFonts w:cs="黑体" w:asciiTheme="minorEastAsia" w:hAnsiTheme="minorEastAsia"/>
          <w:kern w:val="0"/>
          <w:sz w:val="32"/>
          <w:szCs w:val="32"/>
        </w:rPr>
        <w:t>%</w:t>
      </w:r>
      <w:r>
        <w:rPr>
          <w:rFonts w:hint="eastAsia" w:cs="黑体" w:asciiTheme="minorEastAsia" w:hAnsiTheme="minorEastAsia"/>
          <w:kern w:val="0"/>
          <w:sz w:val="32"/>
          <w:szCs w:val="32"/>
        </w:rPr>
        <w:t>。项目绩效目标完成情况：一是通过商事登记制度改革工作促进2021年新增市场主体6970户，办理全程电子化登记业务2522件、简易注销企业数量296家；二是保证电子化登记业务的受理时间在1个工作日内；三是聚焦商事登记制度改革，提高审批效率，优化营商环境；四是通过商事登记制度改革工作促进市场准入、竞争、消费环境改善；五是提升企业注销便利化程度；六是通过宣传工作增强社会公众对商事登记制度改革政策的了解，提升市场主体活跃度及增长率；七是社会公众对鹤城区商事登记制度改革工作的满意度达到预期。该项目完成情况良好，无偏离绩效目标等问题，无下一步改进措施。</w:t>
      </w:r>
    </w:p>
    <w:p>
      <w:pPr>
        <w:autoSpaceDE w:val="0"/>
        <w:autoSpaceDN w:val="0"/>
        <w:adjustRightInd w:val="0"/>
        <w:ind w:firstLine="640" w:firstLineChars="200"/>
        <w:jc w:val="left"/>
        <w:rPr>
          <w:rFonts w:cs="黑体" w:asciiTheme="minorEastAsia" w:hAnsiTheme="minorEastAsia"/>
          <w:kern w:val="0"/>
          <w:sz w:val="32"/>
          <w:szCs w:val="32"/>
        </w:rPr>
      </w:pPr>
      <w:r>
        <w:rPr>
          <w:rFonts w:cs="黑体" w:asciiTheme="minorEastAsia" w:hAnsiTheme="minorEastAsia"/>
          <w:kern w:val="0"/>
          <w:sz w:val="32"/>
          <w:szCs w:val="32"/>
        </w:rPr>
        <w:t>省级市场监管专项</w:t>
      </w:r>
      <w:r>
        <w:rPr>
          <w:rFonts w:hint="eastAsia" w:cs="黑体" w:asciiTheme="minorEastAsia" w:hAnsiTheme="minorEastAsia"/>
          <w:kern w:val="0"/>
          <w:sz w:val="32"/>
          <w:szCs w:val="32"/>
        </w:rPr>
        <w:t>项目绩效自评综述：根据年初设定的绩效目标，项目绩效自评得分为100分。项目全年预算数为71万元，执行数为71万元，完成预算的100</w:t>
      </w:r>
      <w:r>
        <w:rPr>
          <w:rFonts w:cs="黑体" w:asciiTheme="minorEastAsia" w:hAnsiTheme="minorEastAsia"/>
          <w:kern w:val="0"/>
          <w:sz w:val="32"/>
          <w:szCs w:val="32"/>
        </w:rPr>
        <w:t>%</w:t>
      </w:r>
      <w:r>
        <w:rPr>
          <w:rFonts w:hint="eastAsia" w:cs="黑体" w:asciiTheme="minorEastAsia" w:hAnsiTheme="minorEastAsia"/>
          <w:kern w:val="0"/>
          <w:sz w:val="32"/>
          <w:szCs w:val="32"/>
        </w:rPr>
        <w:t>。项目绩效目标完成情况：一是通过鹤城区局企业信用监管工作企业、个体户、农民专业合作社共计4.2</w:t>
      </w:r>
      <w:r>
        <w:rPr>
          <w:rFonts w:hint="eastAsia" w:cs="黑体" w:asciiTheme="minorEastAsia" w:hAnsiTheme="minorEastAsia"/>
          <w:kern w:val="0"/>
          <w:sz w:val="32"/>
          <w:szCs w:val="32"/>
          <w:lang w:val="en-US" w:eastAsia="zh-CN"/>
        </w:rPr>
        <w:t>5</w:t>
      </w:r>
      <w:r>
        <w:rPr>
          <w:rFonts w:hint="eastAsia" w:cs="黑体" w:asciiTheme="minorEastAsia" w:hAnsiTheme="minorEastAsia"/>
          <w:kern w:val="0"/>
          <w:sz w:val="32"/>
          <w:szCs w:val="32"/>
        </w:rPr>
        <w:t>万户完成年报，年报完成时间</w:t>
      </w:r>
      <w:r>
        <w:rPr>
          <w:rFonts w:hint="eastAsia" w:cs="黑体" w:asciiTheme="minorEastAsia" w:hAnsiTheme="minorEastAsia"/>
          <w:kern w:val="0"/>
          <w:sz w:val="32"/>
          <w:szCs w:val="32"/>
          <w:lang w:eastAsia="zh-CN"/>
        </w:rPr>
        <w:t>截至2021年</w:t>
      </w:r>
      <w:r>
        <w:rPr>
          <w:rFonts w:hint="eastAsia" w:cs="黑体" w:asciiTheme="minorEastAsia" w:hAnsiTheme="minorEastAsia"/>
          <w:kern w:val="0"/>
          <w:sz w:val="32"/>
          <w:szCs w:val="32"/>
        </w:rPr>
        <w:t>6月底，企业年报率达到97.76%，逐步</w:t>
      </w:r>
      <w:r>
        <w:rPr>
          <w:rFonts w:hint="eastAsia" w:cs="黑体" w:asciiTheme="minorEastAsia" w:hAnsiTheme="minorEastAsia"/>
          <w:kern w:val="0"/>
          <w:sz w:val="32"/>
          <w:szCs w:val="32"/>
          <w:lang w:eastAsia="zh-CN"/>
        </w:rPr>
        <w:t>增强</w:t>
      </w:r>
      <w:r>
        <w:rPr>
          <w:rFonts w:hint="eastAsia" w:cs="黑体" w:asciiTheme="minorEastAsia" w:hAnsiTheme="minorEastAsia"/>
          <w:kern w:val="0"/>
          <w:sz w:val="32"/>
          <w:szCs w:val="32"/>
        </w:rPr>
        <w:t>企业自主年报意识，切实减轻企业负担，提高监管效能；二是通过鹤城区局“双随机一公开</w:t>
      </w:r>
      <w:r>
        <w:rPr>
          <w:rFonts w:cs="黑体" w:asciiTheme="minorEastAsia" w:hAnsiTheme="minorEastAsia"/>
          <w:kern w:val="0"/>
          <w:sz w:val="32"/>
          <w:szCs w:val="32"/>
        </w:rPr>
        <w:t>”</w:t>
      </w:r>
      <w:r>
        <w:rPr>
          <w:rFonts w:hint="eastAsia" w:cs="黑体" w:asciiTheme="minorEastAsia" w:hAnsiTheme="minorEastAsia"/>
          <w:kern w:val="0"/>
          <w:sz w:val="32"/>
          <w:szCs w:val="32"/>
        </w:rPr>
        <w:t>监管工作开展企业信用监管“双随机、一公开”抽查企业数量855户，抽查完成率100%，促进以“双随机、一公开”监管为基本手段，以重点监管为补充，以信用监管为基础的市场监管新机制逐步健全；三是组织了两次合同格式条款专项整治行动、一次网络市场监管专项行动、一次网络交易普法宣传、实地走访11户网络经营户，行动完成率100%，通过以上网络交易监管工作营造公平竞争的市场环境和</w:t>
      </w:r>
      <w:r>
        <w:rPr>
          <w:rFonts w:hint="eastAsia" w:cs="黑体" w:asciiTheme="minorEastAsia" w:hAnsiTheme="minorEastAsia"/>
          <w:kern w:val="0"/>
          <w:sz w:val="32"/>
          <w:szCs w:val="32"/>
          <w:lang w:eastAsia="zh-CN"/>
        </w:rPr>
        <w:t>法治化</w:t>
      </w:r>
      <w:r>
        <w:rPr>
          <w:rFonts w:hint="eastAsia" w:cs="黑体" w:asciiTheme="minorEastAsia" w:hAnsiTheme="minorEastAsia"/>
          <w:kern w:val="0"/>
          <w:sz w:val="32"/>
          <w:szCs w:val="32"/>
        </w:rPr>
        <w:t>、便利化的营商环境，遏制重点领域不公平合同格式条款现象，维护网络消费者合法权益，净化全区网络交易环境，规范全区网络市场秩序，促进电子商务健康发展；四是2021年广告监测监管工作共完成对全区户外广告监测9835条次，开展助力2021年高考考试环境综合整治、清理整治知名医院被冒牌问题等12项专项或临时性广告整治行动，虚假违法广告线索处置率达到100%，推动广告业营商环境不断优化、鹤城区广告行业监管水平不断提高；五是查处质量相关案件55起，案件处置率100%，个案办结时间从立案之日起计算均小于90天，以加强市场监管综合执法，保持执法稽查高压态势，提高执法稽查的公信力和震慑力，优化市场营商环境；六是2021年共开展一次打击传销专项执法行动、两次打击传销宣传，办理举报的、交办的、排查的传销案件结案率100%，通过大量的宣传和制度建设，</w:t>
      </w:r>
      <w:r>
        <w:rPr>
          <w:rFonts w:hint="eastAsia" w:cs="黑体" w:asciiTheme="minorEastAsia" w:hAnsiTheme="minorEastAsia"/>
          <w:kern w:val="0"/>
          <w:sz w:val="32"/>
          <w:szCs w:val="32"/>
          <w:lang w:eastAsia="zh-CN"/>
        </w:rPr>
        <w:t>增强</w:t>
      </w:r>
      <w:r>
        <w:rPr>
          <w:rFonts w:hint="eastAsia" w:cs="黑体" w:asciiTheme="minorEastAsia" w:hAnsiTheme="minorEastAsia"/>
          <w:kern w:val="0"/>
          <w:sz w:val="32"/>
          <w:szCs w:val="32"/>
        </w:rPr>
        <w:t>人民群众对传销的防范意识，持续推进打击传销长效机制的建立健全，提高民众、企业获得感和满意度；七是通过省级产商品质量抽查与风险监测专项共计抽检9大类共43批次，发现产品质量安全问题，化解安全风险，持续促进本区产品质量安全水平趋势向上；八是2021年召开两次非公党建工作相关会议，在省或市县级媒体及网站发表一次非公党建宣传报道，2021年组织管理非公经济组织党支部“五化建设”规范化建设达标率95.6%，派党建指导员去非公企业党组织进行党建指导等日常工作覆盖面100%，推动构建新型劳动关系在企业内部的和谐状况，促进非公经济党组织高质量发展；九是保证消费者投诉受理时间在7个工作日内，消费投诉处理率100%，营造安全放心的消费环境，不断提升消费维权业务能力；十是与省级市场监管专项相关的各项工作成本均控制在预算以内；十一是消费投诉和维权处理满意率达到预期。该项目完成情况良好，无偏离绩效目标等问题，无下一步改进措施。</w:t>
      </w:r>
    </w:p>
    <w:p>
      <w:pPr>
        <w:autoSpaceDE w:val="0"/>
        <w:autoSpaceDN w:val="0"/>
        <w:adjustRightInd w:val="0"/>
        <w:ind w:firstLine="640" w:firstLineChars="200"/>
        <w:jc w:val="left"/>
        <w:rPr>
          <w:rFonts w:cs="黑体" w:asciiTheme="minorEastAsia" w:hAnsiTheme="minorEastAsia"/>
          <w:kern w:val="0"/>
          <w:sz w:val="32"/>
          <w:szCs w:val="32"/>
        </w:rPr>
      </w:pPr>
      <w:r>
        <w:rPr>
          <w:rFonts w:cs="黑体" w:asciiTheme="minorEastAsia" w:hAnsiTheme="minorEastAsia"/>
          <w:kern w:val="0"/>
          <w:sz w:val="32"/>
          <w:szCs w:val="32"/>
        </w:rPr>
        <w:t>省级市场监管专项补助资金</w:t>
      </w:r>
      <w:r>
        <w:rPr>
          <w:rFonts w:hint="eastAsia" w:cs="黑体" w:asciiTheme="minorEastAsia" w:hAnsiTheme="minorEastAsia"/>
          <w:kern w:val="0"/>
          <w:sz w:val="32"/>
          <w:szCs w:val="32"/>
        </w:rPr>
        <w:t>项目绩效自评综述：根据年初设定的绩效目标，项目绩效自评得分为100分。项目全年预算数为30万元，执行数为30万元，完成预算的100</w:t>
      </w:r>
      <w:r>
        <w:rPr>
          <w:rFonts w:cs="黑体" w:asciiTheme="minorEastAsia" w:hAnsiTheme="minorEastAsia"/>
          <w:kern w:val="0"/>
          <w:sz w:val="32"/>
          <w:szCs w:val="32"/>
        </w:rPr>
        <w:t>%</w:t>
      </w:r>
      <w:r>
        <w:rPr>
          <w:rFonts w:hint="eastAsia" w:cs="黑体" w:asciiTheme="minorEastAsia" w:hAnsiTheme="minorEastAsia"/>
          <w:kern w:val="0"/>
          <w:sz w:val="32"/>
          <w:szCs w:val="32"/>
        </w:rPr>
        <w:t>。项目绩效目标完成情况：一是鹤城区局派出市场监管所共计10个，改善基层监管所办公环境、提升市场监管文化认知覆盖面达100%；二是鼓励食品知识产权等业务骨干到参与省级培训共计15次；三是切实开展2021年“基层基础年”工作；四是基层能力提升及重点支持县市区局工作成本控制在预算以内，无超预算开支；五是通过实施基层能力提升及重点支持县市区局工作进一步持续提升基层执法能力，规范基层所标志标识，提升监管文化认知，提高基层办公效率；六是基层监管所工作人员满意率达到预期。该项目完成情况良好，无偏离绩效目标等问题，无下一步改进措施。</w:t>
      </w:r>
    </w:p>
    <w:p>
      <w:pPr>
        <w:autoSpaceDE w:val="0"/>
        <w:autoSpaceDN w:val="0"/>
        <w:adjustRightInd w:val="0"/>
        <w:ind w:firstLine="640" w:firstLineChars="200"/>
        <w:jc w:val="left"/>
        <w:rPr>
          <w:rFonts w:cs="黑体" w:asciiTheme="minorEastAsia" w:hAnsiTheme="minorEastAsia"/>
          <w:kern w:val="0"/>
          <w:sz w:val="32"/>
          <w:szCs w:val="32"/>
        </w:rPr>
      </w:pPr>
      <w:r>
        <w:rPr>
          <w:rFonts w:cs="黑体" w:asciiTheme="minorEastAsia" w:hAnsiTheme="minorEastAsia"/>
          <w:kern w:val="0"/>
          <w:sz w:val="32"/>
          <w:szCs w:val="32"/>
        </w:rPr>
        <w:t>市级专项资金</w:t>
      </w:r>
      <w:r>
        <w:rPr>
          <w:rFonts w:hint="eastAsia" w:cs="黑体" w:asciiTheme="minorEastAsia" w:hAnsiTheme="minorEastAsia"/>
          <w:kern w:val="0"/>
          <w:sz w:val="32"/>
          <w:szCs w:val="32"/>
        </w:rPr>
        <w:t>项目绩效自评综述：根据年初设定的绩效目标，项目绩效自评得分为100分。项目全年预算数为36万元，执行数为36万元，完成预算的100</w:t>
      </w:r>
      <w:r>
        <w:rPr>
          <w:rFonts w:cs="黑体" w:asciiTheme="minorEastAsia" w:hAnsiTheme="minorEastAsia"/>
          <w:kern w:val="0"/>
          <w:sz w:val="32"/>
          <w:szCs w:val="32"/>
        </w:rPr>
        <w:t>%</w:t>
      </w:r>
      <w:r>
        <w:rPr>
          <w:rFonts w:hint="eastAsia" w:cs="黑体" w:asciiTheme="minorEastAsia" w:hAnsiTheme="minorEastAsia"/>
          <w:kern w:val="0"/>
          <w:sz w:val="32"/>
          <w:szCs w:val="32"/>
        </w:rPr>
        <w:t>。项目绩效目标完成情况：一是鹤城区局派出市场监管所共计10个，市场监管所改善完成率100%，改善基层办公环境，提高办公效率；二是通过市级流通领域商品质量抽检项目完成21批商品质量抽检计划，不合格产品处置率100%，通过强化</w:t>
      </w:r>
      <w:r>
        <w:rPr>
          <w:rFonts w:hint="eastAsia" w:cs="黑体" w:asciiTheme="minorEastAsia" w:hAnsiTheme="minorEastAsia"/>
          <w:kern w:val="0"/>
          <w:sz w:val="32"/>
          <w:szCs w:val="32"/>
          <w:lang w:eastAsia="zh-CN"/>
        </w:rPr>
        <w:t>产品</w:t>
      </w:r>
      <w:r>
        <w:rPr>
          <w:rFonts w:hint="eastAsia" w:cs="黑体" w:asciiTheme="minorEastAsia" w:hAnsiTheme="minorEastAsia"/>
          <w:kern w:val="0"/>
          <w:sz w:val="32"/>
          <w:szCs w:val="32"/>
        </w:rPr>
        <w:t>抽检工作，为质量安全保驾护航，持续促进本区产品质量安全水平趋势向上；三是抽检及改善工作均在2021年12月31日之前完成；四是基层工作人员满意度达到预期。该项目完成情况良好，无偏离绩效目标等问题，无下一步改进措施。</w:t>
      </w:r>
    </w:p>
    <w:p>
      <w:pPr>
        <w:autoSpaceDE w:val="0"/>
        <w:autoSpaceDN w:val="0"/>
        <w:adjustRightInd w:val="0"/>
        <w:ind w:firstLine="640" w:firstLineChars="200"/>
        <w:jc w:val="left"/>
        <w:rPr>
          <w:rFonts w:cs="黑体" w:asciiTheme="minorEastAsia" w:hAnsiTheme="minorEastAsia"/>
          <w:kern w:val="0"/>
          <w:sz w:val="32"/>
          <w:szCs w:val="32"/>
        </w:rPr>
      </w:pPr>
      <w:r>
        <w:rPr>
          <w:rFonts w:cs="黑体" w:asciiTheme="minorEastAsia" w:hAnsiTheme="minorEastAsia"/>
          <w:kern w:val="0"/>
          <w:sz w:val="32"/>
          <w:szCs w:val="32"/>
        </w:rPr>
        <w:t>区级专项资金</w:t>
      </w:r>
      <w:r>
        <w:rPr>
          <w:rFonts w:hint="eastAsia" w:cs="黑体" w:asciiTheme="minorEastAsia" w:hAnsiTheme="minorEastAsia"/>
          <w:kern w:val="0"/>
          <w:sz w:val="32"/>
          <w:szCs w:val="32"/>
        </w:rPr>
        <w:t>项目绩效自评综述：根据年初设定的绩效目标，项目绩效自评得分为100分。项目全年预算数为290.7万元，执行数为290.7万元，完成预算的100</w:t>
      </w:r>
      <w:r>
        <w:rPr>
          <w:rFonts w:cs="黑体" w:asciiTheme="minorEastAsia" w:hAnsiTheme="minorEastAsia"/>
          <w:kern w:val="0"/>
          <w:sz w:val="32"/>
          <w:szCs w:val="32"/>
        </w:rPr>
        <w:t>%</w:t>
      </w:r>
      <w:r>
        <w:rPr>
          <w:rFonts w:hint="eastAsia" w:cs="黑体" w:asciiTheme="minorEastAsia" w:hAnsiTheme="minorEastAsia"/>
          <w:kern w:val="0"/>
          <w:sz w:val="32"/>
          <w:szCs w:val="32"/>
        </w:rPr>
        <w:t>。项目绩效目标完成情况：一是2021年开展一次3.15消费者权益日宣传活动，加强消费者投诉处理工作，确保投诉受理时间在7个工作日内，2021年度我局共受理消费者投诉、举报3416起，挽回消费者经济损失320万元，推动营造安全放心的消费环境；二是2021年商事登记制度改革工作促进新增市场主体6970户，办理注册登记全程电子化登记业务2522件、简易注销登记296户，电子化登记业务的受理时间压缩至1个工作日内，跨省通办业务1件、跨域通办业务65件、全区通办业务1120件；三是</w:t>
      </w:r>
      <w:r>
        <w:rPr>
          <w:rFonts w:hint="eastAsia" w:cs="黑体" w:asciiTheme="minorEastAsia" w:hAnsiTheme="minorEastAsia"/>
          <w:kern w:val="0"/>
          <w:sz w:val="32"/>
          <w:szCs w:val="32"/>
          <w:lang w:eastAsia="zh-CN"/>
        </w:rPr>
        <w:t>加大</w:t>
      </w:r>
      <w:r>
        <w:rPr>
          <w:rFonts w:hint="eastAsia" w:cs="黑体" w:asciiTheme="minorEastAsia" w:hAnsiTheme="minorEastAsia"/>
          <w:kern w:val="0"/>
          <w:sz w:val="32"/>
          <w:szCs w:val="32"/>
        </w:rPr>
        <w:t>白板肉日常巡查监管力度，检查农贸市场14家次，保证本年度无非洲猪瘟重大安全事故，开展非洲猪瘟防控宣传工作，增强群众自主防范意识；四是完成怀化市2021年食品安全工作评议考核方案食品安全抽检1340批次，不合格（问题）食品通过立案查处等方式核查处置完成率100%，杜绝辖区内重大食品安全事故的发生，促进辖区食品行业健康有序发展，保障公众食品安全；五是通过区流通领域商品质量抽检专项完成23批次产商品质量计划抽检，促进本区产品质量安全水平的趋势向好；六是2021年共计开展两次安全生产专项整治行动，确保鹤城区无较大安全生产事故发生；七是开展禁毒宣传教育工作，有效遏制毒品滋生蔓延势头，确保本辖区毒情形势总体稳定中向好发展；八是完成2021年疫苗国家监管体系职能评估准备工作；九是完成2020年1月25日至8月7日新冠疫情防控消毒工作费用支付，常态化疫情防控，确保老百姓生命安全和一方平安；十是消费投诉和维权处理满意率达到预期。该项目完成情况良好，无偏离绩效目标等问题，无下一步改进措施。</w:t>
      </w:r>
    </w:p>
    <w:p>
      <w:pPr>
        <w:autoSpaceDE w:val="0"/>
        <w:autoSpaceDN w:val="0"/>
        <w:adjustRightInd w:val="0"/>
        <w:ind w:firstLine="640" w:firstLineChars="200"/>
        <w:jc w:val="left"/>
        <w:rPr>
          <w:rFonts w:cs="黑体" w:asciiTheme="minorEastAsia" w:hAnsiTheme="minorEastAsia"/>
          <w:kern w:val="0"/>
          <w:sz w:val="32"/>
          <w:szCs w:val="32"/>
        </w:rPr>
      </w:pPr>
      <w:r>
        <w:rPr>
          <w:rFonts w:cs="黑体" w:asciiTheme="minorEastAsia" w:hAnsiTheme="minorEastAsia"/>
          <w:kern w:val="0"/>
          <w:sz w:val="32"/>
          <w:szCs w:val="32"/>
        </w:rPr>
        <w:t>非税执收成本</w:t>
      </w:r>
      <w:r>
        <w:rPr>
          <w:rFonts w:hint="eastAsia" w:cs="黑体" w:asciiTheme="minorEastAsia" w:hAnsiTheme="minorEastAsia"/>
          <w:kern w:val="0"/>
          <w:sz w:val="32"/>
          <w:szCs w:val="32"/>
        </w:rPr>
        <w:t>项目绩效自评综述：根据年初设定的绩效目标，项目绩效自评得分为100分。项目全年预算数为224.38万元，执行数为224.38万元，完成预算的100</w:t>
      </w:r>
      <w:r>
        <w:rPr>
          <w:rFonts w:cs="黑体" w:asciiTheme="minorEastAsia" w:hAnsiTheme="minorEastAsia"/>
          <w:kern w:val="0"/>
          <w:sz w:val="32"/>
          <w:szCs w:val="32"/>
        </w:rPr>
        <w:t>%</w:t>
      </w:r>
      <w:r>
        <w:rPr>
          <w:rFonts w:hint="eastAsia" w:cs="黑体" w:asciiTheme="minorEastAsia" w:hAnsiTheme="minorEastAsia"/>
          <w:kern w:val="0"/>
          <w:sz w:val="32"/>
          <w:szCs w:val="32"/>
        </w:rPr>
        <w:t>。项目绩效目标完成情况：一是2021年监管市场主体数量达54902户；二是强化市场监管综合执法，保持执法稽查高压态势，提高执法稽查的公信力和震慑力，优化市场营商环境，全年本局共计办理案件数量272起，上缴罚没收入369.15万元，查处案件处置率100%；三是执法对象满意度达到预期。该项目完成情况良好，无偏离绩效目标等问题，无下一步改进措施。</w:t>
      </w:r>
    </w:p>
    <w:p>
      <w:pPr>
        <w:autoSpaceDE w:val="0"/>
        <w:autoSpaceDN w:val="0"/>
        <w:adjustRightInd w:val="0"/>
        <w:ind w:firstLine="640" w:firstLineChars="200"/>
        <w:jc w:val="left"/>
        <w:rPr>
          <w:rFonts w:cs="黑体" w:asciiTheme="minorEastAsia" w:hAnsiTheme="minorEastAsia"/>
          <w:kern w:val="0"/>
          <w:sz w:val="32"/>
          <w:szCs w:val="32"/>
        </w:rPr>
      </w:pPr>
      <w:r>
        <w:rPr>
          <w:rFonts w:hint="eastAsia" w:cs="黑体" w:asciiTheme="minorEastAsia" w:hAnsiTheme="minorEastAsia"/>
          <w:b/>
          <w:kern w:val="0"/>
          <w:sz w:val="32"/>
          <w:szCs w:val="32"/>
        </w:rPr>
        <w:t>（</w:t>
      </w:r>
      <w:r>
        <w:rPr>
          <w:rFonts w:cs="黑体" w:asciiTheme="minorEastAsia" w:hAnsiTheme="minorEastAsia"/>
          <w:b/>
          <w:kern w:val="0"/>
          <w:sz w:val="32"/>
          <w:szCs w:val="32"/>
        </w:rPr>
        <w:t>3</w:t>
      </w:r>
      <w:r>
        <w:rPr>
          <w:rFonts w:hint="eastAsia" w:cs="黑体" w:asciiTheme="minorEastAsia" w:hAnsiTheme="minorEastAsia"/>
          <w:b/>
          <w:kern w:val="0"/>
          <w:sz w:val="32"/>
          <w:szCs w:val="32"/>
        </w:rPr>
        <w:t>）部门评价项目绩效评价结果。</w:t>
      </w:r>
    </w:p>
    <w:p>
      <w:pPr>
        <w:autoSpaceDE w:val="0"/>
        <w:autoSpaceDN w:val="0"/>
        <w:adjustRightInd w:val="0"/>
        <w:ind w:firstLine="640" w:firstLineChars="200"/>
        <w:jc w:val="left"/>
        <w:rPr>
          <w:rFonts w:cs="黑体" w:asciiTheme="minorEastAsia" w:hAnsiTheme="minorEastAsia"/>
          <w:kern w:val="0"/>
          <w:sz w:val="32"/>
          <w:szCs w:val="32"/>
        </w:rPr>
      </w:pPr>
      <w:r>
        <w:rPr>
          <w:rFonts w:hint="eastAsia" w:cs="黑体" w:asciiTheme="minorEastAsia" w:hAnsiTheme="minorEastAsia"/>
          <w:kern w:val="0"/>
          <w:sz w:val="32"/>
          <w:szCs w:val="32"/>
        </w:rPr>
        <w:t>2021年度部门整体支出绩效评价报告、专项资金绩效评价报告及专项资金绩效目标自评表见附件。</w:t>
      </w: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rPr>
          <w:color w:val="auto"/>
          <w:sz w:val="72"/>
          <w:szCs w:val="72"/>
        </w:rPr>
      </w:pPr>
    </w:p>
    <w:p>
      <w:pPr>
        <w:pStyle w:val="13"/>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r>
        <w:rPr>
          <w:rFonts w:hint="eastAsia"/>
          <w:color w:val="auto"/>
          <w:sz w:val="72"/>
          <w:szCs w:val="72"/>
        </w:rPr>
        <w:t>第四部分</w:t>
      </w:r>
    </w:p>
    <w:p>
      <w:pPr>
        <w:jc w:val="center"/>
        <w:rPr>
          <w:rFonts w:ascii="黑体" w:eastAsia="黑体" w:cs="黑体"/>
          <w:kern w:val="0"/>
          <w:sz w:val="70"/>
          <w:szCs w:val="70"/>
        </w:rPr>
      </w:pPr>
    </w:p>
    <w:p>
      <w:pPr>
        <w:jc w:val="center"/>
        <w:rPr>
          <w:rFonts w:ascii="黑体" w:eastAsia="黑体" w:cs="黑体"/>
          <w:kern w:val="0"/>
          <w:sz w:val="70"/>
          <w:szCs w:val="70"/>
        </w:rPr>
      </w:pPr>
      <w:r>
        <w:rPr>
          <w:rFonts w:hint="eastAsia" w:ascii="黑体" w:eastAsia="黑体" w:cs="黑体"/>
          <w:kern w:val="0"/>
          <w:sz w:val="70"/>
          <w:szCs w:val="70"/>
        </w:rPr>
        <w:t>名词解释</w:t>
      </w:r>
    </w:p>
    <w:p>
      <w:pPr>
        <w:widowControl/>
        <w:jc w:val="left"/>
        <w:rPr>
          <w:rFonts w:ascii="黑体" w:eastAsia="黑体" w:cs="黑体"/>
          <w:kern w:val="0"/>
          <w:sz w:val="70"/>
          <w:szCs w:val="70"/>
        </w:rPr>
      </w:pPr>
      <w:r>
        <w:rPr>
          <w:rFonts w:ascii="黑体" w:eastAsia="黑体" w:cs="黑体"/>
          <w:kern w:val="0"/>
          <w:sz w:val="70"/>
          <w:szCs w:val="70"/>
        </w:rPr>
        <w:br w:type="page"/>
      </w:r>
    </w:p>
    <w:p>
      <w:pPr>
        <w:ind w:firstLine="640" w:firstLineChars="200"/>
        <w:jc w:val="left"/>
        <w:rPr>
          <w:rFonts w:cs="黑体" w:asciiTheme="minorEastAsia" w:hAnsiTheme="minorEastAsia"/>
          <w:kern w:val="0"/>
          <w:sz w:val="32"/>
          <w:szCs w:val="32"/>
        </w:rPr>
      </w:pP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ascii="宋体" w:hAnsi="宋体" w:cs="黑体"/>
          <w:kern w:val="0"/>
          <w:sz w:val="32"/>
          <w:szCs w:val="32"/>
        </w:rPr>
      </w:pPr>
      <w:r>
        <w:rPr>
          <w:rFonts w:hint="eastAsia" w:ascii="宋体" w:hAnsi="宋体" w:cs="黑体"/>
          <w:kern w:val="0"/>
          <w:sz w:val="32"/>
          <w:szCs w:val="32"/>
        </w:rPr>
        <w:t xml:space="preserve">一、财政拨款收入：指财政当年拨付的资金。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kern w:val="0"/>
          <w:sz w:val="32"/>
          <w:szCs w:val="32"/>
        </w:rPr>
      </w:pPr>
      <w:r>
        <w:rPr>
          <w:rFonts w:hint="eastAsia" w:ascii="宋体" w:hAnsi="宋体" w:cs="黑体"/>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kern w:val="0"/>
          <w:sz w:val="32"/>
          <w:szCs w:val="32"/>
        </w:rPr>
      </w:pPr>
      <w:r>
        <w:rPr>
          <w:rFonts w:hint="eastAsia" w:ascii="宋体" w:hAnsi="宋体" w:cs="黑体"/>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kern w:val="0"/>
          <w:sz w:val="32"/>
          <w:szCs w:val="32"/>
        </w:rPr>
      </w:pPr>
      <w:r>
        <w:rPr>
          <w:rFonts w:hint="eastAsia" w:ascii="宋体" w:hAnsi="宋体" w:cs="黑体"/>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kern w:val="0"/>
          <w:sz w:val="32"/>
          <w:szCs w:val="32"/>
        </w:rPr>
      </w:pPr>
      <w:r>
        <w:rPr>
          <w:rFonts w:hint="eastAsia" w:ascii="宋体" w:hAnsi="宋体" w:cs="黑体"/>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kern w:val="0"/>
          <w:sz w:val="32"/>
          <w:szCs w:val="32"/>
        </w:rPr>
      </w:pPr>
      <w:r>
        <w:rPr>
          <w:rFonts w:hint="eastAsia" w:ascii="宋体" w:hAnsi="宋体" w:cs="黑体"/>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kern w:val="0"/>
          <w:sz w:val="32"/>
          <w:szCs w:val="32"/>
        </w:rPr>
      </w:pPr>
      <w:r>
        <w:rPr>
          <w:rFonts w:hint="eastAsia" w:ascii="宋体" w:hAnsi="宋体" w:cs="黑体"/>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kern w:val="0"/>
          <w:sz w:val="32"/>
          <w:szCs w:val="32"/>
        </w:rPr>
      </w:pPr>
      <w:r>
        <w:rPr>
          <w:rFonts w:hint="eastAsia" w:ascii="宋体" w:hAnsi="宋体" w:cs="黑体"/>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kern w:val="0"/>
          <w:sz w:val="32"/>
          <w:szCs w:val="32"/>
        </w:rPr>
      </w:pPr>
      <w:r>
        <w:rPr>
          <w:rFonts w:hint="eastAsia" w:ascii="宋体" w:hAnsi="宋体" w:cs="黑体"/>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kern w:val="0"/>
          <w:sz w:val="32"/>
          <w:szCs w:val="32"/>
        </w:rPr>
      </w:pPr>
      <w:r>
        <w:rPr>
          <w:rFonts w:hint="eastAsia" w:ascii="宋体" w:hAnsi="宋体" w:cs="黑体"/>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kern w:val="0"/>
          <w:sz w:val="32"/>
          <w:szCs w:val="32"/>
        </w:rPr>
      </w:pPr>
      <w:r>
        <w:rPr>
          <w:rFonts w:hint="eastAsia" w:ascii="宋体" w:hAnsi="宋体" w:cs="黑体"/>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kern w:val="0"/>
          <w:sz w:val="32"/>
          <w:szCs w:val="32"/>
        </w:rPr>
      </w:pPr>
      <w:r>
        <w:rPr>
          <w:rFonts w:hint="eastAsia" w:ascii="宋体" w:hAnsi="宋体" w:cs="黑体"/>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eastAsiaTheme="minorEastAsia"/>
          <w:kern w:val="0"/>
          <w:sz w:val="32"/>
          <w:szCs w:val="32"/>
          <w:lang w:val="en-US" w:eastAsia="zh-CN"/>
        </w:rPr>
      </w:pPr>
      <w:r>
        <w:rPr>
          <w:rFonts w:hint="eastAsia" w:ascii="宋体" w:hAnsi="宋体" w:cs="黑体"/>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宋体" w:hAnsi="宋体" w:cs="黑体"/>
          <w:kern w:val="0"/>
          <w:sz w:val="32"/>
          <w:szCs w:val="32"/>
          <w:lang w:eastAsia="zh-CN"/>
        </w:rPr>
        <w:t>。</w:t>
      </w: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r>
        <w:rPr>
          <w:rFonts w:hint="eastAsia"/>
          <w:color w:val="auto"/>
          <w:sz w:val="72"/>
          <w:szCs w:val="72"/>
        </w:rPr>
        <w:t>第五部分</w:t>
      </w:r>
    </w:p>
    <w:p>
      <w:pPr>
        <w:jc w:val="center"/>
        <w:rPr>
          <w:rFonts w:ascii="黑体" w:eastAsia="黑体" w:cs="黑体"/>
          <w:kern w:val="0"/>
          <w:sz w:val="70"/>
          <w:szCs w:val="70"/>
        </w:rPr>
      </w:pPr>
    </w:p>
    <w:p>
      <w:pPr>
        <w:jc w:val="center"/>
        <w:rPr>
          <w:rFonts w:ascii="黑体" w:eastAsia="黑体" w:cs="黑体"/>
          <w:kern w:val="0"/>
          <w:sz w:val="70"/>
          <w:szCs w:val="70"/>
        </w:rPr>
      </w:pPr>
      <w:r>
        <w:rPr>
          <w:rFonts w:hint="eastAsia" w:ascii="黑体" w:eastAsia="黑体" w:cs="黑体"/>
          <w:kern w:val="0"/>
          <w:sz w:val="70"/>
          <w:szCs w:val="70"/>
        </w:rPr>
        <w:t>附件</w:t>
      </w:r>
    </w:p>
    <w:p>
      <w:pPr>
        <w:widowControl/>
        <w:jc w:val="left"/>
        <w:rPr>
          <w:rFonts w:ascii="黑体" w:eastAsia="黑体" w:cs="黑体"/>
          <w:kern w:val="0"/>
          <w:sz w:val="70"/>
          <w:szCs w:val="70"/>
        </w:rPr>
      </w:pPr>
      <w:r>
        <w:rPr>
          <w:rFonts w:ascii="黑体" w:eastAsia="黑体" w:cs="黑体"/>
          <w:kern w:val="0"/>
          <w:sz w:val="70"/>
          <w:szCs w:val="70"/>
        </w:rPr>
        <w:br w:type="page"/>
      </w:r>
    </w:p>
    <w:p>
      <w:pPr>
        <w:jc w:val="center"/>
        <w:rPr>
          <w:rFonts w:ascii="黑体" w:eastAsia="黑体" w:cs="黑体"/>
          <w:kern w:val="0"/>
          <w:sz w:val="70"/>
          <w:szCs w:val="70"/>
        </w:rPr>
      </w:pPr>
    </w:p>
    <w:p>
      <w:pPr>
        <w:widowControl/>
        <w:shd w:val="clear" w:color="auto" w:fill="FFFFFF"/>
        <w:spacing w:line="560" w:lineRule="exact"/>
        <w:jc w:val="center"/>
        <w:rPr>
          <w:rFonts w:ascii="楷体" w:hAnsi="楷体" w:eastAsia="楷体"/>
          <w:b/>
          <w:spacing w:val="-2"/>
          <w:sz w:val="36"/>
          <w:szCs w:val="36"/>
        </w:rPr>
      </w:pPr>
      <w:r>
        <w:rPr>
          <w:rFonts w:hint="eastAsia" w:eastAsia="仿宋_GB2312"/>
          <w:b/>
          <w:spacing w:val="-2"/>
          <w:sz w:val="36"/>
          <w:szCs w:val="48"/>
        </w:rPr>
        <w:t>怀化市鹤城区市场监督管理局2021年</w:t>
      </w:r>
      <w:r>
        <w:rPr>
          <w:rFonts w:eastAsia="仿宋_GB2312"/>
          <w:b/>
          <w:spacing w:val="-2"/>
          <w:sz w:val="36"/>
          <w:szCs w:val="48"/>
        </w:rPr>
        <w:t>部门整体支出绩效</w:t>
      </w:r>
      <w:r>
        <w:rPr>
          <w:rFonts w:hint="eastAsia" w:eastAsia="仿宋_GB2312"/>
          <w:b/>
          <w:spacing w:val="-2"/>
          <w:sz w:val="36"/>
          <w:szCs w:val="48"/>
        </w:rPr>
        <w:t>评价</w:t>
      </w:r>
      <w:r>
        <w:rPr>
          <w:rFonts w:eastAsia="仿宋_GB2312"/>
          <w:b/>
          <w:spacing w:val="-2"/>
          <w:sz w:val="36"/>
          <w:szCs w:val="48"/>
        </w:rPr>
        <w:t>报告</w:t>
      </w:r>
    </w:p>
    <w:p>
      <w:pPr>
        <w:widowControl/>
        <w:shd w:val="clear" w:color="auto" w:fill="FFFFFF"/>
        <w:spacing w:line="560" w:lineRule="exact"/>
        <w:ind w:firstLine="640"/>
        <w:rPr>
          <w:rFonts w:ascii="楷体" w:hAnsi="楷体" w:eastAsia="楷体"/>
          <w:b/>
          <w:spacing w:val="-2"/>
          <w:sz w:val="36"/>
        </w:rPr>
      </w:pPr>
      <w:r>
        <w:rPr>
          <w:rFonts w:ascii="楷体" w:hAnsi="楷体" w:eastAsia="楷体"/>
          <w:b/>
          <w:spacing w:val="-2"/>
          <w:sz w:val="36"/>
          <w:szCs w:val="36"/>
        </w:rPr>
        <w:t>一、部门概况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（一）部门基本情况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怀化市鹤城区市场监督管理局是区政府直属机构，加挂区知识产权局牌子。2021年区局年末实有在职人数152人。</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区局设有十八个内设股室：办公室、政策法规股、信用监督管理股、价格监督检查和反不正当竞争股、网络交易监督管理股（市场专项治理办公室）、知识产权广告监督管理股、产品质量安全发展监督管理股、食品安全协调股、食品安全监督管理股、餐饮食品安全监督管理股、特种设备安全监察股、标准计量监督管理股、消费者权益保护股（投诉举报办公室）、药品医疗器械监督管理股、化妆品监督管理股、登记注册股（小微企业个体工商户专业市场党建工作办公室）、科技和财务股、人事股（离退休人员管理服务股）。</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三个二级事业单位：信息中心、个体私营经济发展指导中心、消费者权益保护委员会秘书室。</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十个派出市场监督管理所：盈口乡市场监督管理所、凉亭坳乡市场监督管理所、黄金坳镇市场监督管理所、黄岩旅游度假区市场监督管理所、城中街道市场监督管理所、城北街道市场监督管理所、城南街道市场监督管理所、红星街道市场监督管理所、迎丰街道市场监督管理所、坨院街道市场监督管理所。</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区局的主要职责是：</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1.负责市场综合监督管理。</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2.负责市场主体统一登记注册和行政许可。建立市场主体信息公示和共享机制。</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3.负责组织和指导市场监管综合执法工作。</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4.负责反垄断工作，统筹推进竞争政策实施，组织实施公平竞争审查制度。</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5.负责监督管理市场秩序。</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6.负责宏观质量管理。</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7.负责产品质量安全监督管理。</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8.负责特种设备安全监督管理。综合管理特种设备安全监察、监督工作。</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9.负责食品安全监督管理综合协调。</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10.负责食品安全监督管理。</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11.负责统一管理计量工作。</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12.负责统一管理标准化工作。</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13.负责统一管理检验检测工作。</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14.负责统一管理、监督和综合协调全区认证认可工作。</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15.负责市场监督管理、知识产权领域科技和信息化建设、新闻宣传、对外交流与合作。</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16.负责实施知识产权战略，配合推进知识产权强省建设。</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17.负责保护知识产权。</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18.负责知识产权创造运用。</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19.负责组织开展有关服务领域消费维权工作，查处制售假冒伪劣等违法行为，指导消费者咨询、申诉、举报受理处理和网络体系建设等工作，保护经营者、消费者合法权益。拟定全区商品质量监测和抽检计划并组织实施。</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20.负责药品(含中药、民族药，下同)、医疗器械和化妆品安全监督管理。</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21.监督实施药品、医疗器械、化妆品分类管理制度，配合有关部门实施国家基本药物制度。</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22.负责药品、医疗器械和化妆品质量管理。</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23.负责药品、医疗器械和化妆品上市后风险管理。</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24.负责组织实施药品、医疗器械和化妆品监督检查。</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25.负责职责范围内食品药品行业安全生产工作。</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26.完成区委、区政府交办的其他任务。</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（二）部门整体支出情况。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2021年度部门整体支出2474.01万元，其中基本支出1784.93万元，包括人员经费1587.53万元，日常公用经费197.4万元；项目支出689.08万元。基本支出用于保障机构正常运转、完成日常工作任务。项目支出是为完成特定的工作任务或事业发展目标，在基本的基本支出以外，财政预算专项安排的支出，主要包括专项业务费用、非税执收成本。</w:t>
      </w:r>
    </w:p>
    <w:p>
      <w:pPr>
        <w:widowControl/>
        <w:shd w:val="clear" w:color="auto" w:fill="FFFFFF"/>
        <w:spacing w:line="560" w:lineRule="exact"/>
        <w:ind w:firstLine="640"/>
        <w:rPr>
          <w:rFonts w:ascii="楷体" w:hAnsi="楷体" w:eastAsia="楷体"/>
          <w:b/>
          <w:spacing w:val="-2"/>
          <w:sz w:val="32"/>
          <w:szCs w:val="21"/>
        </w:rPr>
      </w:pPr>
      <w:r>
        <w:rPr>
          <w:rFonts w:ascii="楷体" w:hAnsi="楷体" w:eastAsia="楷体"/>
          <w:b/>
          <w:spacing w:val="-2"/>
          <w:sz w:val="32"/>
          <w:szCs w:val="32"/>
        </w:rPr>
        <w:t>二、部门整体支出管理及使用情况</w:t>
      </w:r>
    </w:p>
    <w:p>
      <w:pPr>
        <w:widowControl/>
        <w:shd w:val="clear" w:color="auto" w:fill="FFFFFF"/>
        <w:spacing w:line="560" w:lineRule="exact"/>
        <w:ind w:firstLine="643"/>
        <w:rPr>
          <w:rFonts w:ascii="仿宋" w:hAnsi="仿宋" w:eastAsia="仿宋"/>
          <w:b/>
          <w:spacing w:val="-2"/>
          <w:sz w:val="32"/>
          <w:szCs w:val="21"/>
        </w:rPr>
      </w:pPr>
      <w:r>
        <w:rPr>
          <w:rFonts w:ascii="仿宋" w:hAnsi="仿宋" w:eastAsia="仿宋"/>
          <w:b/>
          <w:spacing w:val="-2"/>
          <w:sz w:val="32"/>
          <w:szCs w:val="32"/>
        </w:rPr>
        <w:t>（一）基本支出</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2021年鹤城区市场监管局共产生基本支出1784.93万元，主要包括基本工资、津贴补贴、退休费等人员经费以及办公费、印刷费、水电费、办公设备购置、公务用车运行维护等日常公用经费及办公设备购置等费用。</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区局认真贯彻落实厉行节约、严控“三公”经费、降低一般运行经费，加强项目支出等方面取得了一定的成绩。2021年度“三公”经费开支为17.08万元，其中公务接待费为5.16万元，公务用车运行维护费为11.92万元，出国（出境）费用为0万元。区局从财务管理等各方面加强了“三公”经费的管理，有效地控制了“三公”经费支出，没有挤占、摊派和转移“三公”经费支出的行为，所有“三公”经费支出合理、合规。</w:t>
      </w:r>
    </w:p>
    <w:p>
      <w:pPr>
        <w:widowControl/>
        <w:shd w:val="clear" w:color="auto" w:fill="FFFFFF"/>
        <w:spacing w:line="560" w:lineRule="exact"/>
        <w:ind w:firstLine="643"/>
        <w:rPr>
          <w:rFonts w:ascii="楷体" w:hAnsi="楷体" w:eastAsia="楷体"/>
          <w:b/>
          <w:spacing w:val="-2"/>
          <w:sz w:val="32"/>
          <w:szCs w:val="21"/>
        </w:rPr>
      </w:pPr>
      <w:r>
        <w:rPr>
          <w:rFonts w:ascii="楷体" w:hAnsi="楷体" w:eastAsia="楷体"/>
          <w:b/>
          <w:spacing w:val="-2"/>
          <w:sz w:val="32"/>
          <w:szCs w:val="32"/>
        </w:rPr>
        <w:t>（二）专项支出</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1、专项资金安排情况。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2021年怀化市鹤城区市场监督管理局专项资金财政拨款收入624.8万元，非税往来专项资金64.28万元，共计收入689.08万元，支出689.08万元，结余0万元。资金明细如下：</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(1)2021年中央食品监管补助资金10万元；(2)2021年中央药品监管补助资金（药械化不良反应监测）2万元；(3)2019年商事制度改革奖励资金25万元；(4)2021年省局拨市场监督管理专项71万元：企业信用监管及双随机一公开监管10万元、商品与网络交易监管8万元、广告监测监管10万元、质量执法办案经费20万元、反垄断及打击传销专项5万元、产商品质量抽查与风险监测8万元、非公党建团建专项5万元、绩效激励（消费维权专项）5万元；(5)省级市场监督管理专项补助资金30万元；(6)市级专项资金：鹤城区市场监督管理局危房改造费用26万元、基层能力建设经费8万元、流通领域商品抽检经费5万元；(7)区级专项资金：12315维权专项7万元、商事登记制度改革专项（含信息化建设）70万元、非洲猪瘟及白板肉整治21万元、流通领域商品质量抽检21万元、市场监督管理局食品抽检专项资金103.42万元、区疫苗国家监管体系评估工作专项经费2万元、安全生产专项整治三年行动工作经费（区安委会办公室）2万元、禁毒专项2万元、区市场监管局新冠消毒经费40万元、区</w:t>
      </w:r>
      <w:r>
        <w:rPr>
          <w:rFonts w:hint="eastAsia" w:ascii="宋体" w:hAnsi="宋体" w:cs="黑体"/>
          <w:kern w:val="0"/>
          <w:sz w:val="32"/>
          <w:szCs w:val="32"/>
          <w:lang w:eastAsia="zh-CN"/>
        </w:rPr>
        <w:t>市场监管局</w:t>
      </w:r>
      <w:r>
        <w:rPr>
          <w:rFonts w:hint="eastAsia" w:ascii="宋体" w:hAnsi="宋体" w:cs="黑体"/>
          <w:kern w:val="0"/>
          <w:sz w:val="32"/>
          <w:szCs w:val="32"/>
        </w:rPr>
        <w:t>新冠防控消毒费用22.28万元；(8)非税执收成本224.38万元。</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2、专项资金实际使用情况。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2021年鹤城区市场监督管理局专项资金总支出689.08万元，主要用于其他政府办公厅（室）及相关机构事务支出25万元，一般行政管理事务448.8万元，药品事务2万元，食品安全监管10万元，其他市场监督管理事务132万元，其他一般公共服务支出5万元，安全监管2万，其他支出（新冠防控消毒费用及禁毒专项）64.28万元。</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3、专项资金管理情况。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认真落实《湖南省市场监督管理专项资金管理办法》及鹤城区相关财务制度、管理规定，按照专项资金专款专用的原则，以项目库建设为核心，以部门绩效评价为资金分配的依据，建立了财务管理制度和经费开支审批管理办法，严格制度的执行，严格支出审批报销程序，做到了无虚列套取,无截留、挤占、挪用,无开支超预算或超标准等情况。</w:t>
      </w:r>
    </w:p>
    <w:p>
      <w:pPr>
        <w:widowControl/>
        <w:shd w:val="clear" w:color="auto" w:fill="FFFFFF"/>
        <w:spacing w:line="560" w:lineRule="exact"/>
        <w:ind w:firstLine="640"/>
        <w:rPr>
          <w:rFonts w:ascii="楷体" w:hAnsi="楷体" w:eastAsia="楷体"/>
          <w:b/>
          <w:spacing w:val="-2"/>
          <w:sz w:val="32"/>
          <w:szCs w:val="21"/>
        </w:rPr>
      </w:pPr>
      <w:r>
        <w:rPr>
          <w:rFonts w:ascii="楷体" w:hAnsi="楷体" w:eastAsia="楷体"/>
          <w:b/>
          <w:spacing w:val="-2"/>
          <w:sz w:val="32"/>
          <w:szCs w:val="32"/>
        </w:rPr>
        <w:t>三、部门专项组织实施情况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（一）专项组织情况。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一是开展专项整治行动，通过各项食品安全专项整治行动、对校外培训机构利用不公平格式条款侵害消费者权益违法行为开展集中整治、开展电商领域借庆祝名义从事商业谋利活动专项整治等专项整治行动，强化市场监管综合执法和市场监管，保护人民群众合法权益；二是通过事先制定计划，政府招标等方式，有效规范地完成了食品安全省抽任务及商品质量抽检计划；三是以上级任务为导向，做好药械化不良反应监测、基层能力建设、双随机一公开监管、网络交易监管等工作；四是加强日常市场监管工作，按时完成市场主体年报、12315投诉处理，强化市场主体登记便利化等工作。</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lang w:val="en-US" w:eastAsia="zh-CN"/>
        </w:rPr>
        <w:t>（二）</w:t>
      </w:r>
      <w:r>
        <w:rPr>
          <w:rFonts w:hint="eastAsia" w:ascii="宋体" w:hAnsi="宋体" w:cs="黑体"/>
          <w:kern w:val="0"/>
          <w:sz w:val="32"/>
          <w:szCs w:val="32"/>
        </w:rPr>
        <w:t>专项管理情况。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为加强项目资金的规范化、科学化管理，提高项目管理和实施成效，我局严格按照部门“三定”职责，贯彻落实上级文件精神，认真执行省、市、区的工作部署。</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一是建立工作推进制度。每月召开一次局务会，其余时间可以根据工作需要召开，根据工作开展情况及时研究各项工作进展情况，督促加快每项工作进程，确保各项工作稳步推进，并按照工作开展情况及时进行报账。</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二是坚持财务管理制度。按照我局财务管理规定，坚持谁经手谁报销、实报实销的原则，严格管理项目资金，提高资金使用效率。</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三是重视预算支出绩效评估工作，强化了各股室的预算管理意识，加强了全年预算管理。</w:t>
      </w:r>
    </w:p>
    <w:p>
      <w:pPr>
        <w:widowControl/>
        <w:shd w:val="clear" w:color="auto" w:fill="FFFFFF"/>
        <w:spacing w:line="560" w:lineRule="exact"/>
        <w:ind w:firstLine="640"/>
        <w:rPr>
          <w:rFonts w:ascii="楷体" w:hAnsi="楷体" w:eastAsia="楷体"/>
          <w:b/>
          <w:spacing w:val="-2"/>
          <w:sz w:val="32"/>
          <w:szCs w:val="21"/>
        </w:rPr>
      </w:pPr>
      <w:r>
        <w:rPr>
          <w:rFonts w:ascii="楷体" w:hAnsi="楷体" w:eastAsia="楷体"/>
          <w:b/>
          <w:spacing w:val="-2"/>
          <w:sz w:val="32"/>
          <w:szCs w:val="32"/>
        </w:rPr>
        <w:t>四、资产管理情况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（一）资产配置、处置情况。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2021年我局资产总额1116.4万元，其中流动资产190.69万元（预付账款15万元，其他应收款175.69万元），固定资产净值925.71万元。</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（二）资产管理。</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rPr>
      </w:pPr>
      <w:r>
        <w:rPr>
          <w:rFonts w:hint="eastAsia" w:ascii="宋体" w:hAnsi="宋体" w:cs="黑体"/>
          <w:kern w:val="0"/>
          <w:sz w:val="32"/>
          <w:szCs w:val="32"/>
        </w:rPr>
        <w:t>固定资产根据业务工作的需要和单位财力情况，严格按照内部控制规范、《资产管理办法》、《政府采购预算》、《政府采购管理办法》进行配置，资产由办公室统一采购。固定资产处置由办公室统一负责，严格按照财政、国资中心相关流程和规定办理。部门资产及时录入固定资产管理系统,更新资产管理信息系统数据，建资产管理卡片,做到账实相符、账卡相符。</w:t>
      </w:r>
    </w:p>
    <w:p>
      <w:pPr>
        <w:widowControl/>
        <w:shd w:val="clear" w:color="auto" w:fill="FFFFFF"/>
        <w:spacing w:line="560" w:lineRule="exact"/>
        <w:ind w:firstLine="640"/>
        <w:rPr>
          <w:rFonts w:ascii="楷体" w:hAnsi="楷体" w:eastAsia="楷体"/>
          <w:b/>
          <w:spacing w:val="-2"/>
          <w:sz w:val="32"/>
          <w:szCs w:val="21"/>
        </w:rPr>
      </w:pPr>
      <w:r>
        <w:rPr>
          <w:rFonts w:ascii="楷体" w:hAnsi="楷体" w:eastAsia="楷体"/>
          <w:b/>
          <w:spacing w:val="-2"/>
          <w:sz w:val="32"/>
          <w:szCs w:val="32"/>
        </w:rPr>
        <w:t>五、部门整体支出绩效情况</w:t>
      </w:r>
    </w:p>
    <w:p>
      <w:pPr>
        <w:spacing w:line="560" w:lineRule="exact"/>
        <w:ind w:firstLine="640" w:firstLineChars="200"/>
        <w:rPr>
          <w:rFonts w:ascii="楷体" w:hAnsi="楷体" w:eastAsia="楷体" w:cs="楷体"/>
          <w:b/>
          <w:bCs/>
          <w:sz w:val="32"/>
          <w:szCs w:val="32"/>
        </w:rPr>
      </w:pPr>
      <w:r>
        <w:rPr>
          <w:rFonts w:hint="eastAsia" w:ascii="楷体" w:hAnsi="楷体" w:eastAsia="楷体" w:cs="楷体"/>
          <w:b/>
          <w:bCs/>
          <w:sz w:val="32"/>
          <w:szCs w:val="32"/>
        </w:rPr>
        <w:t>（一）坚持抓改革提效率，市场主体活力有效激发</w:t>
      </w:r>
    </w:p>
    <w:p>
      <w:pPr>
        <w:spacing w:line="56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sz w:val="32"/>
          <w:szCs w:val="32"/>
        </w:rPr>
        <w:t>持续深化商事登记制度改革。</w:t>
      </w:r>
      <w:r>
        <w:rPr>
          <w:rFonts w:hint="eastAsia" w:asciiTheme="minorEastAsia" w:hAnsiTheme="minorEastAsia" w:eastAsiaTheme="minorEastAsia" w:cstheme="minorEastAsia"/>
          <w:sz w:val="32"/>
          <w:szCs w:val="32"/>
        </w:rPr>
        <w:t>进一步压缩企业开办时间，推进全程电子化登记制度改革、证照分离改革，实施跨省通办、跨域通办、全区通办以及注销便利化等改革。截至2021年底，全区共登记市场主体7416户，共注册登记企业1622户，个体工商户共5794户。办理全程电子化业务2522户，简易注销登记296户，跨省通办业务1件、跨域通办业务65件、全区通办业务1120件；</w:t>
      </w:r>
      <w:r>
        <w:rPr>
          <w:rFonts w:hint="eastAsia" w:asciiTheme="minorEastAsia" w:hAnsiTheme="minorEastAsia" w:eastAsiaTheme="minorEastAsia" w:cstheme="minorEastAsia"/>
          <w:b/>
          <w:bCs/>
          <w:sz w:val="32"/>
          <w:szCs w:val="32"/>
        </w:rPr>
        <w:t>以知识产权助推高质量发展。</w:t>
      </w:r>
      <w:r>
        <w:rPr>
          <w:rFonts w:hint="eastAsia" w:asciiTheme="minorEastAsia" w:hAnsiTheme="minorEastAsia" w:eastAsiaTheme="minorEastAsia" w:cstheme="minorEastAsia"/>
          <w:sz w:val="32"/>
          <w:szCs w:val="32"/>
        </w:rPr>
        <w:t>今年，我局受理商标申请数1701件，已注册1275件，全部持有的商标（续展）户有效注册量达6081件。在市局统一部署和安排下，积极引导知识产权服务机构深入企业开展服务，全区1-11月专利授权870件，其中发明115件，实用新型659件，外观设计96件；</w:t>
      </w:r>
      <w:r>
        <w:rPr>
          <w:rFonts w:hint="eastAsia" w:asciiTheme="minorEastAsia" w:hAnsiTheme="minorEastAsia" w:eastAsiaTheme="minorEastAsia" w:cstheme="minorEastAsia"/>
          <w:b/>
          <w:bCs/>
          <w:sz w:val="32"/>
          <w:szCs w:val="32"/>
        </w:rPr>
        <w:t>严格把关食品药品行政许可。</w:t>
      </w:r>
      <w:r>
        <w:rPr>
          <w:rFonts w:hint="eastAsia" w:asciiTheme="minorEastAsia" w:hAnsiTheme="minorEastAsia" w:eastAsiaTheme="minorEastAsia" w:cstheme="minorEastAsia"/>
          <w:sz w:val="32"/>
          <w:szCs w:val="32"/>
        </w:rPr>
        <w:t>严格审核食品经营、食品生产加工小作坊及小餐饮经营许可办理，2021年，发放《小餐饮经营许可证》659份，《食品经营许可》2381份，《食品生产加工小作坊许可证》12份。</w:t>
      </w:r>
    </w:p>
    <w:p>
      <w:pPr>
        <w:spacing w:line="560" w:lineRule="exact"/>
        <w:ind w:firstLine="640" w:firstLineChars="200"/>
        <w:rPr>
          <w:rFonts w:ascii="楷体" w:hAnsi="楷体" w:eastAsia="楷体" w:cs="楷体"/>
          <w:b/>
          <w:bCs/>
          <w:sz w:val="32"/>
          <w:szCs w:val="32"/>
        </w:rPr>
      </w:pPr>
      <w:r>
        <w:rPr>
          <w:rFonts w:hint="eastAsia" w:ascii="楷体" w:hAnsi="楷体" w:eastAsia="楷体" w:cs="楷体"/>
          <w:b/>
          <w:bCs/>
          <w:sz w:val="32"/>
          <w:szCs w:val="32"/>
        </w:rPr>
        <w:t>（二）坚持抓监管保公平，市场经营秩序不断优化</w:t>
      </w:r>
    </w:p>
    <w:p>
      <w:pPr>
        <w:spacing w:line="56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依照“执法为民”理念，突出监管执法主责，强化信用监管，虚假广告、商标侵权、质量打假、安全生产、无照经营等各项专项整治，有力地维护了公平竞争的市场秩序。截至目前，办结各类违法违章案件272件（不含监管所简易程序、处罚金额千元以下案件），罚没入库369.15万余元。</w:t>
      </w:r>
    </w:p>
    <w:p>
      <w:pPr>
        <w:spacing w:line="56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sz w:val="32"/>
          <w:szCs w:val="32"/>
        </w:rPr>
        <w:t>持续强化信用监管。</w:t>
      </w:r>
      <w:r>
        <w:rPr>
          <w:rFonts w:hint="eastAsia" w:asciiTheme="minorEastAsia" w:hAnsiTheme="minorEastAsia" w:eastAsiaTheme="minorEastAsia" w:cstheme="minorEastAsia"/>
          <w:sz w:val="32"/>
          <w:szCs w:val="32"/>
        </w:rPr>
        <w:t>扎实开展市场主体年报公示工作，截至2021年底，我区企业年报率97.75%，农民专业合作社年报率98.48%，个体工商户年报率84.51%；加强企业经营异常名录和严重违法失信企业管理，规范“黑名单”管理制度，指导企业完成信用修复1起；列入经营异常名录企业184户，移出经营异常名录企业72户；标记经营异常状态7157户，恢复正常记载状态个体工商户225户；协助人民法院限制被执行人14起，协助人民法院信用预警1起；协助怀化市公安局鹤城分局限制被执行人1起；协助人民检察院信用预警2起；</w:t>
      </w:r>
      <w:r>
        <w:rPr>
          <w:rFonts w:hint="eastAsia" w:asciiTheme="minorEastAsia" w:hAnsiTheme="minorEastAsia" w:eastAsiaTheme="minorEastAsia" w:cstheme="minorEastAsia"/>
          <w:b/>
          <w:bCs/>
          <w:sz w:val="32"/>
          <w:szCs w:val="32"/>
        </w:rPr>
        <w:t>查处无证无照经营行为。</w:t>
      </w:r>
      <w:r>
        <w:rPr>
          <w:rFonts w:hint="eastAsia" w:asciiTheme="minorEastAsia" w:hAnsiTheme="minorEastAsia" w:eastAsiaTheme="minorEastAsia" w:cstheme="minorEastAsia"/>
          <w:sz w:val="32"/>
          <w:szCs w:val="32"/>
        </w:rPr>
        <w:t>严厉打击辖区内无证无照经营行为，督促无照经营户办理证照，截至目前，全局共立案查处无证无照经营案件41起，结案41起，罚没金额23.479万元；</w:t>
      </w:r>
      <w:r>
        <w:rPr>
          <w:rFonts w:hint="eastAsia" w:asciiTheme="minorEastAsia" w:hAnsiTheme="minorEastAsia" w:eastAsiaTheme="minorEastAsia" w:cstheme="minorEastAsia"/>
          <w:b/>
          <w:bCs/>
          <w:sz w:val="32"/>
          <w:szCs w:val="32"/>
        </w:rPr>
        <w:t>强化意识形态领域中户外广告导向监管工作。</w:t>
      </w:r>
      <w:r>
        <w:rPr>
          <w:rFonts w:hint="eastAsia" w:asciiTheme="minorEastAsia" w:hAnsiTheme="minorEastAsia" w:eastAsiaTheme="minorEastAsia" w:cstheme="minorEastAsia"/>
          <w:sz w:val="32"/>
          <w:szCs w:val="32"/>
        </w:rPr>
        <w:t>严厉打击虚假违法广告，截至2021年底，我局立案查处违法广告案22件，房地产广告案5件，利用建党100周年标识进行营销</w:t>
      </w:r>
      <w:r>
        <w:rPr>
          <w:rFonts w:hint="eastAsia" w:asciiTheme="minorEastAsia" w:hAnsiTheme="minorEastAsia" w:cstheme="minorEastAsia"/>
          <w:sz w:val="32"/>
          <w:szCs w:val="32"/>
          <w:lang w:eastAsia="zh-CN"/>
        </w:rPr>
        <w:t>宣传</w:t>
      </w:r>
      <w:r>
        <w:rPr>
          <w:rFonts w:hint="eastAsia" w:asciiTheme="minorEastAsia" w:hAnsiTheme="minorEastAsia" w:eastAsiaTheme="minorEastAsia" w:cstheme="minorEastAsia"/>
          <w:sz w:val="32"/>
          <w:szCs w:val="32"/>
        </w:rPr>
        <w:t>案件1件，医疗美容案3件，其他类案件13件，罚没金额共计 34万余元；</w:t>
      </w:r>
      <w:r>
        <w:rPr>
          <w:rFonts w:hint="eastAsia" w:asciiTheme="minorEastAsia" w:hAnsiTheme="minorEastAsia" w:eastAsiaTheme="minorEastAsia" w:cstheme="minorEastAsia"/>
          <w:b/>
          <w:bCs/>
          <w:sz w:val="32"/>
          <w:szCs w:val="32"/>
        </w:rPr>
        <w:t>开展商标专用权保护行动。</w:t>
      </w:r>
      <w:r>
        <w:rPr>
          <w:rFonts w:hint="eastAsia" w:asciiTheme="minorEastAsia" w:hAnsiTheme="minorEastAsia" w:eastAsiaTheme="minorEastAsia" w:cstheme="minorEastAsia"/>
          <w:sz w:val="32"/>
          <w:szCs w:val="32"/>
        </w:rPr>
        <w:t>加大商标专用权跟踪维权力度，开通打假维权“绿色通道”，重点查处侵犯驰名商标、集体商标专用权案件，2021年全局共查处侵犯商标专用权案件4起；</w:t>
      </w:r>
      <w:r>
        <w:rPr>
          <w:rFonts w:hint="eastAsia" w:asciiTheme="minorEastAsia" w:hAnsiTheme="minorEastAsia" w:eastAsiaTheme="minorEastAsia" w:cstheme="minorEastAsia"/>
          <w:b/>
          <w:bCs/>
          <w:sz w:val="32"/>
          <w:szCs w:val="32"/>
        </w:rPr>
        <w:t>加强农资及重点商品质量监督。</w:t>
      </w:r>
      <w:r>
        <w:rPr>
          <w:rFonts w:hint="eastAsia" w:asciiTheme="minorEastAsia" w:hAnsiTheme="minorEastAsia" w:eastAsiaTheme="minorEastAsia" w:cstheme="minorEastAsia"/>
          <w:sz w:val="32"/>
          <w:szCs w:val="32"/>
        </w:rPr>
        <w:t>配合省、市局抽查成品油、钢筋、儿童玩具、文具用品、校服等100余批次，对不合格产品，通过行政执法、缺陷产品召回等多种方式依法进行处理，消除产品质量安全隐患，查处不合格产品案件5起，办结5起，罚没款8.3万元；</w:t>
      </w:r>
      <w:r>
        <w:rPr>
          <w:rFonts w:hint="eastAsia" w:asciiTheme="minorEastAsia" w:hAnsiTheme="minorEastAsia" w:eastAsiaTheme="minorEastAsia" w:cstheme="minorEastAsia"/>
          <w:b/>
          <w:bCs/>
          <w:sz w:val="32"/>
          <w:szCs w:val="32"/>
        </w:rPr>
        <w:t>强化安全生产工作。</w:t>
      </w:r>
      <w:r>
        <w:rPr>
          <w:rFonts w:hint="eastAsia" w:asciiTheme="minorEastAsia" w:hAnsiTheme="minorEastAsia" w:eastAsiaTheme="minorEastAsia" w:cstheme="minorEastAsia"/>
          <w:sz w:val="32"/>
          <w:szCs w:val="32"/>
        </w:rPr>
        <w:t>印发了《怀化市鹤城区市场监管领域安全生产专项整治三年行动实施方案》《2021年怀化市鹤城区市场监管系统安全生产工作要点》等文件，以电梯、锅炉、压力容器、压力管道、大型游乐设施等特种设备为重点开展大排查、大整治。出动特种设备安全监察人员376余人次，检查特种设备使用单位130余户。下达监察指令书37份，依法查封特种设备7台次，督促使用单位报废拆除3台，消除安全隐患37处，配合市局处理投诉35起。参加安全生产社会宣传活动2次，共发放安全生产宣传册2000余册，设置“打非治违”固定宣传标牌11幅，LED显示屏滚动播放安全生产宣传标语6000次。</w:t>
      </w:r>
    </w:p>
    <w:p>
      <w:pPr>
        <w:spacing w:line="560" w:lineRule="exact"/>
        <w:ind w:firstLine="640" w:firstLineChars="200"/>
        <w:rPr>
          <w:rFonts w:ascii="楷体" w:hAnsi="楷体" w:eastAsia="楷体" w:cs="楷体"/>
          <w:b/>
          <w:bCs/>
          <w:sz w:val="32"/>
          <w:szCs w:val="32"/>
        </w:rPr>
      </w:pPr>
      <w:r>
        <w:rPr>
          <w:rFonts w:hint="eastAsia" w:ascii="楷体" w:hAnsi="楷体" w:eastAsia="楷体" w:cs="楷体"/>
          <w:b/>
          <w:bCs/>
          <w:sz w:val="32"/>
          <w:szCs w:val="32"/>
        </w:rPr>
        <w:t>（三）坚持抓民生守底线，确保群众饮食用药安全</w:t>
      </w:r>
    </w:p>
    <w:p>
      <w:pPr>
        <w:spacing w:line="56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坚决落实“四个最严”要求，全力管控食品安全风险，加强药械化安全监管，先后开展“年关守护”食品安全监管、“白板肉”联合执法行动、大米企业检查、“护老行动”暨保健食品专项检查、“天价茶”专项检查、医疗器械质量安全风险隐患排查、食品安全“护苗”行动、定点零售药店药品质量监管、药品购进渠道等相关检查等多项行动，截至目前，未发生食品药品安全事故。</w:t>
      </w:r>
    </w:p>
    <w:p>
      <w:pPr>
        <w:spacing w:line="560" w:lineRule="exact"/>
        <w:ind w:firstLine="640" w:firstLineChars="200"/>
        <w:rPr>
          <w:rFonts w:ascii="楷体" w:hAnsi="楷体" w:eastAsia="楷体" w:cs="楷体"/>
          <w:b/>
          <w:bCs/>
          <w:sz w:val="32"/>
          <w:szCs w:val="32"/>
        </w:rPr>
      </w:pPr>
      <w:r>
        <w:rPr>
          <w:rFonts w:hint="eastAsia" w:ascii="楷体" w:hAnsi="楷体" w:eastAsia="楷体" w:cs="楷体"/>
          <w:b/>
          <w:bCs/>
          <w:sz w:val="32"/>
          <w:szCs w:val="32"/>
        </w:rPr>
        <w:t>（四）坚持抓调处促和谐，维护消费者的合法权益</w:t>
      </w:r>
    </w:p>
    <w:p>
      <w:pPr>
        <w:spacing w:line="56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sz w:val="32"/>
          <w:szCs w:val="32"/>
        </w:rPr>
        <w:t>强化消费维权调处。</w:t>
      </w:r>
      <w:r>
        <w:rPr>
          <w:rFonts w:hint="eastAsia" w:asciiTheme="minorEastAsia" w:hAnsiTheme="minorEastAsia" w:eastAsiaTheme="minorEastAsia" w:cstheme="minorEastAsia"/>
          <w:sz w:val="32"/>
          <w:szCs w:val="32"/>
        </w:rPr>
        <w:t>及时受理各类消费者咨询、投诉、举报，截至2021年底，共办结3416起，为消费者挽回经济损失320万元，并确保系统在线率100%、数据完整率100%、回访满意率100%；</w:t>
      </w:r>
      <w:r>
        <w:rPr>
          <w:rFonts w:hint="eastAsia" w:asciiTheme="minorEastAsia" w:hAnsiTheme="minorEastAsia" w:eastAsiaTheme="minorEastAsia" w:cstheme="minorEastAsia"/>
          <w:b/>
          <w:bCs/>
          <w:sz w:val="32"/>
          <w:szCs w:val="32"/>
        </w:rPr>
        <w:t>进一步做好12315维权服务站“五进”建设。</w:t>
      </w:r>
      <w:r>
        <w:rPr>
          <w:rFonts w:hint="eastAsia" w:asciiTheme="minorEastAsia" w:hAnsiTheme="minorEastAsia" w:eastAsiaTheme="minorEastAsia" w:cstheme="minorEastAsia"/>
          <w:sz w:val="32"/>
          <w:szCs w:val="32"/>
        </w:rPr>
        <w:t>在辖区商场、超市、市场和企业等消费场所共建立了73个消费维权服务站，消费维权服务站自行调解消费纠纷共81起，和解率92%，为消费者挽回经济损失近48.5万元；</w:t>
      </w:r>
      <w:r>
        <w:rPr>
          <w:rFonts w:hint="eastAsia" w:asciiTheme="minorEastAsia" w:hAnsiTheme="minorEastAsia" w:eastAsiaTheme="minorEastAsia" w:cstheme="minorEastAsia"/>
          <w:b/>
          <w:bCs/>
          <w:sz w:val="32"/>
          <w:szCs w:val="32"/>
        </w:rPr>
        <w:t>大力发展ODR企业。</w:t>
      </w:r>
      <w:r>
        <w:rPr>
          <w:rFonts w:hint="eastAsia" w:asciiTheme="minorEastAsia" w:hAnsiTheme="minorEastAsia" w:eastAsiaTheme="minorEastAsia" w:cstheme="minorEastAsia"/>
          <w:sz w:val="32"/>
          <w:szCs w:val="32"/>
        </w:rPr>
        <w:t>通过推荐和企业自愿申报，我局辖区12家企业已加入全国12315互联网在线纠纷解决平台，极大简化了公司消费投诉的流转程序，截至目前，我局ODR企业在线自行和解消费争议共4起，办结率达100%。</w:t>
      </w:r>
    </w:p>
    <w:p>
      <w:pPr>
        <w:spacing w:line="560" w:lineRule="exact"/>
        <w:ind w:firstLine="640" w:firstLineChars="200"/>
        <w:rPr>
          <w:rFonts w:ascii="楷体" w:hAnsi="楷体" w:eastAsia="楷体" w:cs="楷体"/>
          <w:b/>
          <w:bCs/>
          <w:sz w:val="32"/>
          <w:szCs w:val="32"/>
        </w:rPr>
      </w:pPr>
      <w:r>
        <w:rPr>
          <w:rFonts w:hint="eastAsia" w:ascii="楷体" w:hAnsi="楷体" w:eastAsia="楷体" w:cs="楷体"/>
          <w:b/>
          <w:bCs/>
          <w:sz w:val="32"/>
          <w:szCs w:val="32"/>
        </w:rPr>
        <w:t>（五）全面落实疫情防控，牢筑市场监管抗疫防线</w:t>
      </w:r>
    </w:p>
    <w:p>
      <w:pPr>
        <w:spacing w:line="56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sz w:val="32"/>
          <w:szCs w:val="32"/>
        </w:rPr>
        <w:t>1.单位内部防治。一是</w:t>
      </w:r>
      <w:r>
        <w:rPr>
          <w:rFonts w:hint="eastAsia" w:asciiTheme="minorEastAsia" w:hAnsiTheme="minorEastAsia" w:eastAsiaTheme="minorEastAsia" w:cstheme="minorEastAsia"/>
          <w:sz w:val="32"/>
          <w:szCs w:val="32"/>
        </w:rPr>
        <w:t>开展人员行程摸排。迅速对全局162名在职干部职工自9月18日以来行程进行了摸排，对出市人员的目的地、往返日期、往返交通工具进行了统计备案，经摸排，未发现我局有与10月17日以来全国疫区确诊患者行程接轨人员；完善了外出人员备案登记制度，要求我局干部职工非必要不得出市，对必须出市人员，经单位负责人同意后才可出市，并且外出人员要严格遵守两地疫情防控政策，及时报送《外出备案登记表》至。</w:t>
      </w:r>
      <w:r>
        <w:rPr>
          <w:rFonts w:hint="eastAsia" w:asciiTheme="minorEastAsia" w:hAnsiTheme="minorEastAsia" w:eastAsiaTheme="minorEastAsia" w:cstheme="minorEastAsia"/>
          <w:b/>
          <w:bCs/>
          <w:sz w:val="32"/>
          <w:szCs w:val="32"/>
        </w:rPr>
        <w:t>二是</w:t>
      </w:r>
      <w:r>
        <w:rPr>
          <w:rFonts w:hint="eastAsia" w:asciiTheme="minorEastAsia" w:hAnsiTheme="minorEastAsia" w:eastAsiaTheme="minorEastAsia" w:cstheme="minorEastAsia"/>
          <w:sz w:val="32"/>
          <w:szCs w:val="32"/>
        </w:rPr>
        <w:t>落实新冠疫苗接种。除4名人员患有不宜接种的病症以外，做到了应接尽接，剩余162名在职及退休干部职工均进行了接种。</w:t>
      </w:r>
    </w:p>
    <w:p>
      <w:pPr>
        <w:spacing w:line="56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sz w:val="32"/>
          <w:szCs w:val="32"/>
        </w:rPr>
        <w:t>2.餐饮疫情防治。一是</w:t>
      </w:r>
      <w:r>
        <w:rPr>
          <w:rFonts w:hint="eastAsia" w:asciiTheme="minorEastAsia" w:hAnsiTheme="minorEastAsia" w:eastAsiaTheme="minorEastAsia" w:cstheme="minorEastAsia"/>
          <w:sz w:val="32"/>
          <w:szCs w:val="32"/>
        </w:rPr>
        <w:t>开展校园疫情防控。督促学校及幼儿园加强人员健康管理。工作人员疫苗接种做到应接尽接，接种疫苗后仍需注重个人防护，进出学校及幼儿园严格按照疫情防控要求查两码、测体温、戴口罩，登记进出人员信息。食堂从业人员进行健康检查，取得健康证明。建立工作人员健康监测制度，每日对工作人员健康状况、旅居史等进行登记，如出现可疑症状应及时上报并就医；抓好环境卫生清理消毒。保持大厅、后厨等区域环境整洁，及时清理垃圾。每天对食堂环境进行至少一次消毒并做好消杀记录；合理分流人员聚集。提醒就餐人员保持安全距离。严格控制人流密度，避免人员聚集，食堂错峰、分散用餐。</w:t>
      </w:r>
      <w:r>
        <w:rPr>
          <w:rFonts w:hint="eastAsia" w:asciiTheme="minorEastAsia" w:hAnsiTheme="minorEastAsia" w:eastAsiaTheme="minorEastAsia" w:cstheme="minorEastAsia"/>
          <w:b/>
          <w:bCs/>
          <w:sz w:val="32"/>
          <w:szCs w:val="32"/>
        </w:rPr>
        <w:t>二是</w:t>
      </w:r>
      <w:r>
        <w:rPr>
          <w:rFonts w:hint="eastAsia" w:asciiTheme="minorEastAsia" w:hAnsiTheme="minorEastAsia" w:eastAsiaTheme="minorEastAsia" w:cstheme="minorEastAsia"/>
          <w:sz w:val="32"/>
          <w:szCs w:val="32"/>
        </w:rPr>
        <w:t>开展餐饮单位排查。以学校及幼儿园周边餐饮单位为排查重点，全面排查社会餐饮单位疫情防控及食品安全工作落实情况，督促各经营户严格落实戴口罩、查双码、测体温等防控措施，要求餐饮单位每日对重点区域开展消杀措施，督促未接种疫苗的商户尽快接种。</w:t>
      </w:r>
      <w:r>
        <w:rPr>
          <w:rFonts w:hint="eastAsia" w:asciiTheme="minorEastAsia" w:hAnsiTheme="minorEastAsia" w:eastAsiaTheme="minorEastAsia" w:cstheme="minorEastAsia"/>
          <w:b/>
          <w:bCs/>
          <w:sz w:val="32"/>
          <w:szCs w:val="32"/>
        </w:rPr>
        <w:t>三是</w:t>
      </w:r>
      <w:r>
        <w:rPr>
          <w:rFonts w:hint="eastAsia" w:asciiTheme="minorEastAsia" w:hAnsiTheme="minorEastAsia" w:eastAsiaTheme="minorEastAsia" w:cstheme="minorEastAsia"/>
          <w:sz w:val="32"/>
          <w:szCs w:val="32"/>
        </w:rPr>
        <w:t>加强网络订餐监管。落实网络订餐配送人员每日健康监测制度加大送餐箱清洁、消杀频次；严格集体聚餐管理，尽量避免人员聚集，大力倡导文明用餐，积极推行公筷公勺公夹，反对餐饮浪费。</w:t>
      </w:r>
    </w:p>
    <w:p>
      <w:pPr>
        <w:spacing w:line="56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sz w:val="32"/>
          <w:szCs w:val="32"/>
        </w:rPr>
        <w:t>3.药品疫情防控。一是</w:t>
      </w:r>
      <w:r>
        <w:rPr>
          <w:rFonts w:hint="eastAsia" w:asciiTheme="minorEastAsia" w:hAnsiTheme="minorEastAsia" w:eastAsiaTheme="minorEastAsia" w:cstheme="minorEastAsia"/>
          <w:sz w:val="32"/>
          <w:szCs w:val="32"/>
        </w:rPr>
        <w:t>“四类药品”安全监管。多次在药品（零售）工作群发布通知，要求辖区内药品零售企业做好常态化新冠肺炎疫情防控工作，严格落实进店顾客戴口罩、量体温、查验“两码”等疫情防控措施，督促企业销售“四类药品”时，对购药者予以实名登记并及时上报至湖南省零售药店常态化疫情监测警戒系统，发现“两码”异常人员立即上报所在社区、乡镇人民政府（街道办事处），做好相应处置措施。</w:t>
      </w:r>
      <w:r>
        <w:rPr>
          <w:rFonts w:hint="eastAsia" w:asciiTheme="minorEastAsia" w:hAnsiTheme="minorEastAsia" w:eastAsiaTheme="minorEastAsia" w:cstheme="minorEastAsia"/>
          <w:b/>
          <w:bCs/>
          <w:sz w:val="32"/>
          <w:szCs w:val="32"/>
        </w:rPr>
        <w:t>二是</w:t>
      </w:r>
      <w:r>
        <w:rPr>
          <w:rFonts w:hint="eastAsia" w:asciiTheme="minorEastAsia" w:hAnsiTheme="minorEastAsia" w:eastAsiaTheme="minorEastAsia" w:cstheme="minorEastAsia"/>
          <w:sz w:val="32"/>
          <w:szCs w:val="32"/>
        </w:rPr>
        <w:t>药房质量安全监管。加强药品零售企业、使用单位药械质量安全监管，以检查人员资质、审核供货单位资质、购进药械是否索证索票、药品是否按规定储存运输养护、是否依法依规销售使用特殊管理药品等为重点检查内容，规范药械管理，严肃查处违法违规行为。</w:t>
      </w:r>
      <w:r>
        <w:rPr>
          <w:rFonts w:hint="eastAsia" w:asciiTheme="minorEastAsia" w:hAnsiTheme="minorEastAsia" w:eastAsiaTheme="minorEastAsia" w:cstheme="minorEastAsia"/>
          <w:b/>
          <w:bCs/>
          <w:sz w:val="32"/>
          <w:szCs w:val="32"/>
        </w:rPr>
        <w:t>三是</w:t>
      </w:r>
      <w:r>
        <w:rPr>
          <w:rFonts w:hint="eastAsia" w:asciiTheme="minorEastAsia" w:hAnsiTheme="minorEastAsia" w:eastAsiaTheme="minorEastAsia" w:cstheme="minorEastAsia"/>
          <w:sz w:val="32"/>
          <w:szCs w:val="32"/>
        </w:rPr>
        <w:t>疫苗质量安全监管。加强疾病预防控制机构和接种单位疫苗质量安全监管，以是否按照法律法规要求制定相关制度文件；是否建立真实完整的疫苗购进、储存、分发、供应记录及其冷链记录；是否按要求储存疫苗；是否按要求建立冷链设备档案并定期维护冷链设施设备等为检查重点，严格规范疫苗储运行为。</w:t>
      </w:r>
    </w:p>
    <w:p>
      <w:pPr>
        <w:spacing w:line="56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sz w:val="32"/>
          <w:szCs w:val="32"/>
        </w:rPr>
        <w:t>4.冷链食品疫情防控。一是</w:t>
      </w:r>
      <w:r>
        <w:rPr>
          <w:rFonts w:hint="eastAsia" w:asciiTheme="minorEastAsia" w:hAnsiTheme="minorEastAsia" w:eastAsiaTheme="minorEastAsia" w:cstheme="minorEastAsia"/>
          <w:sz w:val="32"/>
          <w:szCs w:val="32"/>
        </w:rPr>
        <w:t>多措并举加强宣传。向海鲜专卖店、冷藏冷冻食品经销商发放《关于停止销售进口海鲜产品及来源不明海鲜产品的告知书》，要求各海鲜专卖店、冷藏冷冻食品经销商严格遵守新冠疫情防控相关要求；</w:t>
      </w:r>
      <w:r>
        <w:rPr>
          <w:rFonts w:hint="eastAsia" w:asciiTheme="minorEastAsia" w:hAnsiTheme="minorEastAsia" w:eastAsiaTheme="minorEastAsia" w:cstheme="minorEastAsia"/>
          <w:b/>
          <w:bCs/>
          <w:sz w:val="32"/>
          <w:szCs w:val="32"/>
        </w:rPr>
        <w:t>二是</w:t>
      </w:r>
      <w:r>
        <w:rPr>
          <w:rFonts w:hint="eastAsia" w:asciiTheme="minorEastAsia" w:hAnsiTheme="minorEastAsia" w:eastAsiaTheme="minorEastAsia" w:cstheme="minorEastAsia"/>
          <w:sz w:val="32"/>
          <w:szCs w:val="32"/>
        </w:rPr>
        <w:t>加强从业人员培训。组织各进口冷冻食品生产经营企业、商超负责人及各监管所工作人员参加了省局视频培训会议，并在食品生产经营单位推广“湘冷链”平台应用，督查各辖区（进口）冷链食品生产经营企业完成“湘冷链”平台注册，做好进口冷冻食品溯源工作；</w:t>
      </w:r>
      <w:r>
        <w:rPr>
          <w:rFonts w:hint="eastAsia" w:asciiTheme="minorEastAsia" w:hAnsiTheme="minorEastAsia" w:eastAsiaTheme="minorEastAsia" w:cstheme="minorEastAsia"/>
          <w:b/>
          <w:bCs/>
          <w:sz w:val="32"/>
          <w:szCs w:val="32"/>
        </w:rPr>
        <w:t>三是</w:t>
      </w:r>
      <w:r>
        <w:rPr>
          <w:rFonts w:hint="eastAsia" w:asciiTheme="minorEastAsia" w:hAnsiTheme="minorEastAsia" w:eastAsiaTheme="minorEastAsia" w:cstheme="minorEastAsia"/>
          <w:sz w:val="32"/>
          <w:szCs w:val="32"/>
        </w:rPr>
        <w:t>严格开展风险排查。对我局辖区内食品冷库开展了重点排查，要求各冷库经营户落实食品安全主体责任，建立食品进货查验制度，确保食品冷冻冷藏符合温控标准，防止脱冷和食品变质等；</w:t>
      </w:r>
      <w:r>
        <w:rPr>
          <w:rFonts w:hint="eastAsia" w:asciiTheme="minorEastAsia" w:hAnsiTheme="minorEastAsia" w:eastAsiaTheme="minorEastAsia" w:cstheme="minorEastAsia"/>
          <w:b/>
          <w:bCs/>
          <w:sz w:val="32"/>
          <w:szCs w:val="32"/>
        </w:rPr>
        <w:t>四是</w:t>
      </w:r>
      <w:r>
        <w:rPr>
          <w:rFonts w:hint="eastAsia" w:asciiTheme="minorEastAsia" w:hAnsiTheme="minorEastAsia" w:eastAsiaTheme="minorEastAsia" w:cstheme="minorEastAsia"/>
          <w:sz w:val="32"/>
          <w:szCs w:val="32"/>
        </w:rPr>
        <w:t>积极配合核酸检测。根据市疫情防控指挥部《关于加强生鲜海产品和冷藏冷冻食品卫生监管的规定》等文件要求，我局对各海鲜经营户下发了《关于做好生鲜海产品从业人员核酸检测等事项的通知》，并配合疾控部门对进口冷链食品经营者开展</w:t>
      </w:r>
      <w:r>
        <w:rPr>
          <w:rFonts w:hint="eastAsia" w:asciiTheme="minorEastAsia" w:hAnsiTheme="minorEastAsia" w:cstheme="minorEastAsia"/>
          <w:sz w:val="32"/>
          <w:szCs w:val="32"/>
          <w:lang w:eastAsia="zh-CN"/>
        </w:rPr>
        <w:t>核酸</w:t>
      </w:r>
      <w:r>
        <w:rPr>
          <w:rFonts w:hint="eastAsia" w:asciiTheme="minorEastAsia" w:hAnsiTheme="minorEastAsia" w:eastAsiaTheme="minorEastAsia" w:cstheme="minorEastAsia"/>
          <w:sz w:val="32"/>
          <w:szCs w:val="32"/>
        </w:rPr>
        <w:t>检测。</w:t>
      </w:r>
    </w:p>
    <w:p>
      <w:pPr>
        <w:spacing w:line="56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sz w:val="32"/>
          <w:szCs w:val="32"/>
        </w:rPr>
        <w:t>5.农贸市场防控。一是</w:t>
      </w:r>
      <w:r>
        <w:rPr>
          <w:rFonts w:hint="eastAsia" w:asciiTheme="minorEastAsia" w:hAnsiTheme="minorEastAsia" w:eastAsiaTheme="minorEastAsia" w:cstheme="minorEastAsia"/>
          <w:sz w:val="32"/>
          <w:szCs w:val="32"/>
        </w:rPr>
        <w:t>无主办方市场消毒。目前按照每3天/次的频率对鹤城区11个无主办方市场开展环境消杀工作。</w:t>
      </w:r>
      <w:r>
        <w:rPr>
          <w:rFonts w:hint="eastAsia" w:asciiTheme="minorEastAsia" w:hAnsiTheme="minorEastAsia" w:eastAsiaTheme="minorEastAsia" w:cstheme="minorEastAsia"/>
          <w:b/>
          <w:bCs/>
          <w:sz w:val="32"/>
          <w:szCs w:val="32"/>
        </w:rPr>
        <w:t>二是</w:t>
      </w:r>
      <w:r>
        <w:rPr>
          <w:rFonts w:hint="eastAsia" w:asciiTheme="minorEastAsia" w:hAnsiTheme="minorEastAsia" w:eastAsiaTheme="minorEastAsia" w:cstheme="minorEastAsia"/>
          <w:sz w:val="32"/>
          <w:szCs w:val="32"/>
        </w:rPr>
        <w:t>制定防控演练方案。2021年10月21制定《农贸市场疫情防控演练方案》、《鹤城区市场监督管理局应对新冠肺炎疫情应急处置预案》。督促农贸市场主办方制定疫情防控应急预案。按市局督查通报将10月1日怀化市督查情况存在的问题发给市场主办单位，要求对照问题进行整改。要求各所对农贸市场综合执法，特别是冷链食品、服务、医疗器械及价格执法检查，督促市场主办方开办者依法落实食品主体责任和疫情防控主体责任。</w:t>
      </w:r>
    </w:p>
    <w:p>
      <w:pPr>
        <w:spacing w:line="560" w:lineRule="exact"/>
        <w:ind w:firstLine="640" w:firstLineChars="200"/>
        <w:rPr>
          <w:rFonts w:hint="eastAsia" w:asciiTheme="minorEastAsia" w:hAnsiTheme="minorEastAsia" w:eastAsiaTheme="minorEastAsia" w:cstheme="minorEastAsia"/>
          <w:b/>
          <w:bCs/>
          <w:sz w:val="32"/>
          <w:szCs w:val="32"/>
        </w:rPr>
      </w:pPr>
      <w:r>
        <w:rPr>
          <w:rFonts w:hint="eastAsia" w:ascii="楷体" w:hAnsi="楷体" w:eastAsia="楷体" w:cs="楷体"/>
          <w:b/>
          <w:bCs/>
          <w:sz w:val="32"/>
          <w:szCs w:val="32"/>
        </w:rPr>
        <w:t>（六）凝心聚力真抓实干，积极争取上级激励措施</w:t>
      </w:r>
    </w:p>
    <w:p>
      <w:pPr>
        <w:spacing w:line="56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sz w:val="32"/>
          <w:szCs w:val="32"/>
        </w:rPr>
        <w:t>开展市场监管领域部门联合“双随机、一公开”监管。</w:t>
      </w:r>
      <w:r>
        <w:rPr>
          <w:rFonts w:hint="eastAsia" w:asciiTheme="minorEastAsia" w:hAnsiTheme="minorEastAsia" w:eastAsiaTheme="minorEastAsia" w:cstheme="minorEastAsia"/>
          <w:sz w:val="32"/>
          <w:szCs w:val="32"/>
        </w:rPr>
        <w:t>成立了怀化市鹤城区全面推行市场监管领域“双随机、一公开”工作联席会议及工作联席会议制度，共21家联席会议成员单位。召开“双随机、一公开”工作联席会议，公布制度、印发方案，切实避免多头布置、多头执法、重复检查，减少对市场主体正常经营活动的干扰，进一步营造公平竞争的市场环境和法治化、便利化的营商环境；</w:t>
      </w:r>
      <w:r>
        <w:rPr>
          <w:rFonts w:hint="eastAsia" w:asciiTheme="minorEastAsia" w:hAnsiTheme="minorEastAsia" w:eastAsiaTheme="minorEastAsia" w:cstheme="minorEastAsia"/>
          <w:b/>
          <w:bCs/>
          <w:sz w:val="32"/>
          <w:szCs w:val="32"/>
        </w:rPr>
        <w:t>强化知识产权创造、运用和保护。</w:t>
      </w:r>
      <w:r>
        <w:rPr>
          <w:rFonts w:hint="eastAsia" w:asciiTheme="minorEastAsia" w:hAnsiTheme="minorEastAsia" w:eastAsiaTheme="minorEastAsia" w:cstheme="minorEastAsia"/>
          <w:sz w:val="32"/>
          <w:szCs w:val="32"/>
        </w:rPr>
        <w:t>一方面，加大申请专利注册商标工作力度，依职能对企业及个人提供知识产权咨询服务，引导其开展知识产权工作。全区1-11月专利授权870件，其中发明115件，实用新型659件，外观设计96件，全区全部持有商标有效注册量达6081件；</w:t>
      </w:r>
      <w:r>
        <w:rPr>
          <w:rFonts w:hint="eastAsia" w:asciiTheme="minorEastAsia" w:hAnsiTheme="minorEastAsia" w:eastAsiaTheme="minorEastAsia" w:cstheme="minorEastAsia"/>
          <w:b/>
          <w:bCs/>
          <w:sz w:val="32"/>
          <w:szCs w:val="32"/>
        </w:rPr>
        <w:t>开展质量提升行动。</w:t>
      </w:r>
      <w:r>
        <w:rPr>
          <w:rFonts w:hint="eastAsia" w:asciiTheme="minorEastAsia" w:hAnsiTheme="minorEastAsia" w:eastAsiaTheme="minorEastAsia" w:cstheme="minorEastAsia"/>
          <w:sz w:val="32"/>
          <w:szCs w:val="32"/>
        </w:rPr>
        <w:t>印发了《鹤城区质量强区领导小组关于开展质量提升行动的实施方案》，以提高区属企业产品质量为主攻方向，对鹤城区工业集中区7家区局监管企业开展质量提升调研活动，掌握园区企业质量发展状况，督促企业建立完善现代企业质量管理体系，切实推动“质量提升行动”落地见效；</w:t>
      </w:r>
      <w:r>
        <w:rPr>
          <w:rFonts w:hint="eastAsia" w:asciiTheme="minorEastAsia" w:hAnsiTheme="minorEastAsia" w:eastAsiaTheme="minorEastAsia" w:cstheme="minorEastAsia"/>
          <w:b/>
          <w:bCs/>
          <w:sz w:val="32"/>
          <w:szCs w:val="32"/>
        </w:rPr>
        <w:t>推行“互联网＋监管”工作。</w:t>
      </w:r>
      <w:r>
        <w:rPr>
          <w:rFonts w:hint="eastAsia" w:asciiTheme="minorEastAsia" w:hAnsiTheme="minorEastAsia" w:eastAsiaTheme="minorEastAsia" w:cstheme="minorEastAsia"/>
          <w:sz w:val="32"/>
          <w:szCs w:val="32"/>
        </w:rPr>
        <w:t xml:space="preserve">打造“5G互联网+明厨亮灶”社会共治智慧管理平台，将餐饮服务提供者现场操作过程与企业证照信息、从业人员健康管理、食品原料追溯、监管信息等内容，通过互联网、手机APP实时向社会公众展示，方便监管部门和群众在线监督，督促餐饮服务提供者诚信守法经营，构建“企业自律、群众参与、政府监管”的餐饮食品安全监管社会共治新模式。    </w:t>
      </w:r>
    </w:p>
    <w:p>
      <w:pPr>
        <w:spacing w:line="560" w:lineRule="exact"/>
        <w:ind w:firstLine="640" w:firstLineChars="200"/>
        <w:rPr>
          <w:rFonts w:hint="eastAsia" w:ascii="楷体" w:hAnsi="楷体" w:eastAsia="楷体" w:cs="楷体"/>
          <w:b/>
          <w:bCs/>
          <w:sz w:val="32"/>
          <w:szCs w:val="32"/>
        </w:rPr>
      </w:pPr>
      <w:r>
        <w:rPr>
          <w:rFonts w:hint="eastAsia" w:ascii="楷体" w:hAnsi="楷体" w:eastAsia="楷体" w:cs="楷体"/>
          <w:b/>
          <w:bCs/>
          <w:sz w:val="32"/>
          <w:szCs w:val="32"/>
        </w:rPr>
        <w:t>（七）参与政府中心工作，各项职能事务推动有为</w:t>
      </w:r>
    </w:p>
    <w:p>
      <w:pPr>
        <w:widowControl/>
        <w:shd w:val="clear" w:color="auto" w:fill="FFFFFF"/>
        <w:spacing w:line="560" w:lineRule="exact"/>
        <w:ind w:firstLine="640"/>
        <w:rPr>
          <w:rFonts w:hint="eastAsia" w:asciiTheme="minorEastAsia" w:hAnsiTheme="minorEastAsia" w:eastAsiaTheme="minorEastAsia" w:cstheme="minorEastAsia"/>
          <w:spacing w:val="-2"/>
          <w:sz w:val="32"/>
          <w:szCs w:val="32"/>
        </w:rPr>
      </w:pPr>
      <w:r>
        <w:rPr>
          <w:rFonts w:hint="eastAsia" w:asciiTheme="minorEastAsia" w:hAnsiTheme="minorEastAsia" w:eastAsiaTheme="minorEastAsia" w:cstheme="minorEastAsia"/>
          <w:b/>
          <w:bCs/>
          <w:sz w:val="32"/>
          <w:szCs w:val="32"/>
        </w:rPr>
        <w:t>全力做好服务招商引资工作。</w:t>
      </w:r>
      <w:r>
        <w:rPr>
          <w:rFonts w:hint="eastAsia" w:asciiTheme="minorEastAsia" w:hAnsiTheme="minorEastAsia" w:eastAsiaTheme="minorEastAsia" w:cstheme="minorEastAsia"/>
          <w:sz w:val="32"/>
          <w:szCs w:val="32"/>
        </w:rPr>
        <w:t>贯彻落实区委区政府“招商引资”工作部署，对已经在鹤城安家落户的万达商业广场、一沐禾生态农业开发公司、正大伟业教育科技集团等进行证照指导、跟踪服务、开辟“绿色通道”等服务；</w:t>
      </w:r>
      <w:r>
        <w:rPr>
          <w:rFonts w:hint="eastAsia" w:asciiTheme="minorEastAsia" w:hAnsiTheme="minorEastAsia" w:eastAsiaTheme="minorEastAsia" w:cstheme="minorEastAsia"/>
          <w:b/>
          <w:bCs/>
          <w:sz w:val="32"/>
          <w:szCs w:val="32"/>
        </w:rPr>
        <w:t>扎实推进乡村振兴战略。</w:t>
      </w:r>
      <w:r>
        <w:rPr>
          <w:rFonts w:hint="eastAsia" w:asciiTheme="minorEastAsia" w:hAnsiTheme="minorEastAsia" w:eastAsiaTheme="minorEastAsia" w:cstheme="minorEastAsia"/>
          <w:sz w:val="32"/>
          <w:szCs w:val="32"/>
        </w:rPr>
        <w:t>贯彻落实区委、区政府关于乡村振兴各项安排部署，安排总工程师陈启伟同志驻村帮扶，强化工作措施，严格落实帮扶责任，切实巩固提升脱贫攻坚成果；</w:t>
      </w:r>
      <w:r>
        <w:rPr>
          <w:rFonts w:hint="eastAsia" w:asciiTheme="minorEastAsia" w:hAnsiTheme="minorEastAsia" w:eastAsiaTheme="minorEastAsia" w:cstheme="minorEastAsia"/>
          <w:b/>
          <w:bCs/>
          <w:sz w:val="32"/>
          <w:szCs w:val="32"/>
        </w:rPr>
        <w:t>全力开展非洲猪瘟及白板肉专项整治。</w:t>
      </w:r>
      <w:r>
        <w:rPr>
          <w:rFonts w:hint="eastAsia" w:asciiTheme="minorEastAsia" w:hAnsiTheme="minorEastAsia" w:eastAsiaTheme="minorEastAsia" w:cstheme="minorEastAsia"/>
          <w:sz w:val="32"/>
          <w:szCs w:val="32"/>
        </w:rPr>
        <w:t>为切实规范猪肉市场经营行为，确保群众放心吃肉，区局在辖区深入开展打击“白板肉”联合执法行动，猪肉必须持有“两证两章一报告”，“年关守护期间”已开展联合执法5次，出动执法人员123人次，检查农贸市场14家次，猪肉经营户196户次，没收未经检疫检验的猪肉产品700余斤，暂封存于佳惠冻库，待进一步处理；</w:t>
      </w:r>
      <w:r>
        <w:rPr>
          <w:rFonts w:hint="eastAsia" w:asciiTheme="minorEastAsia" w:hAnsiTheme="minorEastAsia" w:eastAsiaTheme="minorEastAsia" w:cstheme="minorEastAsia"/>
          <w:b/>
          <w:bCs/>
          <w:sz w:val="32"/>
          <w:szCs w:val="32"/>
        </w:rPr>
        <w:t>全力配合</w:t>
      </w:r>
      <w:r>
        <w:rPr>
          <w:rFonts w:hint="eastAsia" w:asciiTheme="minorEastAsia" w:hAnsiTheme="minorEastAsia" w:cstheme="minorEastAsia"/>
          <w:b/>
          <w:bCs/>
          <w:sz w:val="32"/>
          <w:szCs w:val="32"/>
          <w:lang w:eastAsia="zh-CN"/>
        </w:rPr>
        <w:t>环保督察</w:t>
      </w:r>
      <w:r>
        <w:rPr>
          <w:rFonts w:hint="eastAsia" w:asciiTheme="minorEastAsia" w:hAnsiTheme="minorEastAsia" w:eastAsiaTheme="minorEastAsia" w:cstheme="minorEastAsia"/>
          <w:b/>
          <w:bCs/>
          <w:sz w:val="32"/>
          <w:szCs w:val="32"/>
        </w:rPr>
        <w:t>整改。</w:t>
      </w:r>
      <w:r>
        <w:rPr>
          <w:rFonts w:hint="eastAsia" w:asciiTheme="minorEastAsia" w:hAnsiTheme="minorEastAsia" w:eastAsiaTheme="minorEastAsia" w:cstheme="minorEastAsia"/>
          <w:sz w:val="32"/>
          <w:szCs w:val="32"/>
        </w:rPr>
        <w:t>对城区内12家散煤、蜂窝煤生产销售点开展了全面“回头看”，对新城东农贸市场、中远农贸市场、中心市场经营户使用蜂窝煤进行了整治，联合区环保局、街道等部门对19家汽车维修企业的危险废物开展了专项排查及“回头看”；</w:t>
      </w:r>
      <w:r>
        <w:rPr>
          <w:rFonts w:hint="eastAsia" w:asciiTheme="minorEastAsia" w:hAnsiTheme="minorEastAsia" w:eastAsiaTheme="minorEastAsia" w:cstheme="minorEastAsia"/>
          <w:b/>
          <w:bCs/>
          <w:sz w:val="32"/>
          <w:szCs w:val="32"/>
        </w:rPr>
        <w:t>全力推进省文明城市复审。</w:t>
      </w:r>
      <w:r>
        <w:rPr>
          <w:rFonts w:hint="eastAsia" w:asciiTheme="minorEastAsia" w:hAnsiTheme="minorEastAsia" w:eastAsiaTheme="minorEastAsia" w:cstheme="minorEastAsia"/>
          <w:sz w:val="32"/>
          <w:szCs w:val="32"/>
        </w:rPr>
        <w:t>深入开展无证无照经营整治，食品、药品安全整治，虚假违法广告专项整治等行动，并安排全局干部职工上街进行卫生帮扶，全力助推省文明城市复审工作。</w:t>
      </w:r>
    </w:p>
    <w:p>
      <w:pPr>
        <w:widowControl/>
        <w:shd w:val="clear" w:color="auto" w:fill="FFFFFF"/>
        <w:spacing w:line="560" w:lineRule="exact"/>
        <w:ind w:firstLine="640"/>
        <w:rPr>
          <w:rFonts w:ascii="楷体" w:hAnsi="楷体" w:eastAsia="楷体"/>
          <w:b/>
          <w:spacing w:val="-2"/>
          <w:sz w:val="32"/>
          <w:szCs w:val="21"/>
        </w:rPr>
      </w:pPr>
      <w:r>
        <w:rPr>
          <w:rFonts w:ascii="楷体" w:hAnsi="楷体" w:eastAsia="楷体"/>
          <w:b/>
          <w:spacing w:val="-2"/>
          <w:sz w:val="32"/>
          <w:szCs w:val="32"/>
        </w:rPr>
        <w:t>六、存在的主要问题</w:t>
      </w:r>
    </w:p>
    <w:p>
      <w:pPr>
        <w:widowControl/>
        <w:spacing w:line="560" w:lineRule="exact"/>
        <w:ind w:firstLine="640" w:firstLineChars="200"/>
        <w:jc w:val="left"/>
        <w:rPr>
          <w:rFonts w:ascii="仿宋" w:hAnsi="仿宋" w:eastAsia="仿宋" w:cs="仿宋"/>
          <w:sz w:val="32"/>
          <w:szCs w:val="32"/>
        </w:rPr>
      </w:pPr>
      <w:r>
        <w:rPr>
          <w:rFonts w:hint="eastAsia" w:asciiTheme="minorEastAsia" w:hAnsiTheme="minorEastAsia" w:eastAsiaTheme="minorEastAsia" w:cstheme="minorEastAsia"/>
          <w:sz w:val="32"/>
          <w:szCs w:val="32"/>
        </w:rPr>
        <w:t>我局承担全区食用农产品抽检、食品生产安全监管、药品医疗器械安全监管等多项任务，为保障辖区广大人民群众饮食、用药安全，需加大食品、药品安全监管经费保障力度。</w:t>
      </w:r>
    </w:p>
    <w:p>
      <w:pPr>
        <w:widowControl/>
        <w:shd w:val="clear" w:color="auto" w:fill="FFFFFF"/>
        <w:spacing w:line="560" w:lineRule="exact"/>
        <w:ind w:firstLine="640"/>
        <w:rPr>
          <w:rFonts w:ascii="楷体" w:hAnsi="楷体" w:eastAsia="楷体"/>
          <w:b/>
          <w:spacing w:val="-2"/>
          <w:sz w:val="32"/>
          <w:szCs w:val="21"/>
        </w:rPr>
      </w:pPr>
      <w:r>
        <w:rPr>
          <w:rFonts w:ascii="楷体" w:hAnsi="楷体" w:eastAsia="楷体"/>
          <w:b/>
          <w:spacing w:val="-2"/>
          <w:sz w:val="32"/>
          <w:szCs w:val="32"/>
        </w:rPr>
        <w:t>七、改进措施和有关建议</w:t>
      </w:r>
    </w:p>
    <w:p>
      <w:pPr>
        <w:widowControl/>
        <w:spacing w:line="560" w:lineRule="exact"/>
        <w:ind w:firstLine="640" w:firstLineChars="200"/>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科学规划预算编制的精确度，足额编制预算资金，为各项工作顺利开展提供资金保证，加强内部控制与监督，提高财政资金使用效率。</w:t>
      </w:r>
    </w:p>
    <w:p>
      <w:pPr>
        <w:spacing w:line="560" w:lineRule="exact"/>
      </w:pPr>
    </w:p>
    <w:p>
      <w:pPr>
        <w:pStyle w:val="17"/>
        <w:spacing w:line="360" w:lineRule="auto"/>
        <w:jc w:val="center"/>
        <w:rPr>
          <w:rFonts w:ascii="黑体" w:eastAsia="黑体"/>
          <w:sz w:val="44"/>
          <w:szCs w:val="44"/>
        </w:rPr>
      </w:pPr>
      <w:r>
        <w:rPr>
          <w:rFonts w:hint="eastAsia" w:ascii="黑体" w:eastAsia="黑体"/>
          <w:sz w:val="44"/>
          <w:szCs w:val="44"/>
        </w:rPr>
        <w:t>2021年度怀化市鹤城区市场监督管理局</w:t>
      </w:r>
    </w:p>
    <w:p>
      <w:pPr>
        <w:pStyle w:val="17"/>
        <w:spacing w:line="360" w:lineRule="auto"/>
        <w:jc w:val="center"/>
        <w:rPr>
          <w:rFonts w:ascii="黑体" w:eastAsia="黑体"/>
          <w:sz w:val="44"/>
          <w:szCs w:val="44"/>
        </w:rPr>
      </w:pPr>
      <w:r>
        <w:rPr>
          <w:rFonts w:hint="eastAsia" w:ascii="黑体" w:eastAsia="黑体"/>
          <w:sz w:val="44"/>
          <w:szCs w:val="44"/>
        </w:rPr>
        <w:t>专项资金绩效评价报告</w:t>
      </w:r>
    </w:p>
    <w:p>
      <w:pPr>
        <w:pStyle w:val="17"/>
        <w:spacing w:line="360" w:lineRule="auto"/>
        <w:ind w:firstLine="1320" w:firstLineChars="300"/>
        <w:rPr>
          <w:rFonts w:ascii="黑体" w:eastAsia="黑体"/>
          <w:sz w:val="44"/>
          <w:szCs w:val="44"/>
        </w:rPr>
      </w:pPr>
    </w:p>
    <w:p>
      <w:pPr>
        <w:pStyle w:val="17"/>
        <w:spacing w:line="360" w:lineRule="auto"/>
        <w:ind w:firstLine="640" w:firstLineChars="200"/>
        <w:rPr>
          <w:rFonts w:ascii="楷体" w:eastAsia="楷体"/>
          <w:b/>
          <w:sz w:val="32"/>
          <w:szCs w:val="32"/>
        </w:rPr>
      </w:pPr>
      <w:r>
        <w:rPr>
          <w:rFonts w:hint="eastAsia" w:ascii="楷体" w:eastAsia="楷体"/>
          <w:b/>
          <w:sz w:val="32"/>
          <w:szCs w:val="32"/>
        </w:rPr>
        <w:t>一、项目基本情况</w:t>
      </w:r>
    </w:p>
    <w:p>
      <w:pPr>
        <w:pStyle w:val="17"/>
        <w:spacing w:line="360" w:lineRule="auto"/>
        <w:ind w:firstLine="640" w:firstLineChars="200"/>
        <w:rPr>
          <w:rFonts w:ascii="楷体" w:eastAsia="楷体"/>
          <w:b/>
          <w:sz w:val="32"/>
          <w:szCs w:val="32"/>
        </w:rPr>
      </w:pPr>
      <w:r>
        <w:rPr>
          <w:rFonts w:hint="eastAsia" w:ascii="楷体" w:eastAsia="楷体"/>
          <w:b/>
          <w:sz w:val="32"/>
          <w:szCs w:val="32"/>
        </w:rPr>
        <w:t>（一）项目概况</w:t>
      </w:r>
    </w:p>
    <w:p>
      <w:pPr>
        <w:pStyle w:val="17"/>
        <w:spacing w:line="360" w:lineRule="auto"/>
        <w:ind w:firstLine="640" w:firstLineChars="200"/>
        <w:rPr>
          <w:rFonts w:ascii="仿宋" w:eastAsia="仿宋"/>
          <w:sz w:val="32"/>
          <w:szCs w:val="32"/>
        </w:rPr>
      </w:pPr>
      <w:r>
        <w:rPr>
          <w:rFonts w:hint="eastAsia" w:ascii="仿宋" w:eastAsia="仿宋"/>
          <w:sz w:val="32"/>
          <w:szCs w:val="32"/>
        </w:rPr>
        <w:t>1、项目单位基本情况</w:t>
      </w:r>
    </w:p>
    <w:p>
      <w:pPr>
        <w:pStyle w:val="18"/>
        <w:spacing w:line="560" w:lineRule="exact"/>
        <w:ind w:firstLine="640" w:firstLineChars="200"/>
        <w:rPr>
          <w:rFonts w:ascii="仿宋" w:eastAsia="仿宋"/>
          <w:sz w:val="32"/>
          <w:szCs w:val="32"/>
        </w:rPr>
      </w:pPr>
      <w:r>
        <w:rPr>
          <w:rFonts w:hint="eastAsia" w:ascii="仿宋" w:eastAsia="仿宋"/>
          <w:sz w:val="32"/>
          <w:szCs w:val="32"/>
        </w:rPr>
        <w:t>怀化市鹤城区市场监督管理局是区政府直属机构，加挂区知识产权局牌子。2021年区局年末实有在职人数152人，下设18个内设股室及10个派出市场监管所，3个二级事业单位。</w:t>
      </w:r>
    </w:p>
    <w:p>
      <w:pPr>
        <w:pStyle w:val="18"/>
        <w:spacing w:line="560" w:lineRule="exact"/>
        <w:ind w:firstLine="640" w:firstLineChars="200"/>
        <w:rPr>
          <w:rFonts w:ascii="仿宋" w:eastAsia="仿宋"/>
          <w:sz w:val="32"/>
          <w:szCs w:val="32"/>
        </w:rPr>
      </w:pPr>
      <w:r>
        <w:rPr>
          <w:rFonts w:hint="eastAsia" w:ascii="仿宋" w:eastAsia="仿宋"/>
          <w:sz w:val="32"/>
          <w:szCs w:val="32"/>
        </w:rPr>
        <w:t>区局的主要职责是：</w:t>
      </w:r>
    </w:p>
    <w:p>
      <w:pPr>
        <w:pStyle w:val="18"/>
        <w:spacing w:line="560" w:lineRule="exact"/>
        <w:ind w:firstLine="640" w:firstLineChars="200"/>
        <w:rPr>
          <w:rFonts w:ascii="仿宋" w:eastAsia="仿宋"/>
          <w:sz w:val="32"/>
          <w:szCs w:val="32"/>
        </w:rPr>
      </w:pPr>
      <w:r>
        <w:rPr>
          <w:rFonts w:hint="eastAsia" w:ascii="仿宋" w:eastAsia="仿宋"/>
          <w:sz w:val="32"/>
          <w:szCs w:val="32"/>
        </w:rPr>
        <w:t>(1)负责市场综合监督管理。</w:t>
      </w:r>
    </w:p>
    <w:p>
      <w:pPr>
        <w:pStyle w:val="18"/>
        <w:spacing w:line="560" w:lineRule="exact"/>
        <w:ind w:firstLine="640" w:firstLineChars="200"/>
        <w:rPr>
          <w:rFonts w:ascii="仿宋" w:eastAsia="仿宋"/>
          <w:sz w:val="32"/>
          <w:szCs w:val="32"/>
        </w:rPr>
      </w:pPr>
      <w:r>
        <w:rPr>
          <w:rFonts w:hint="eastAsia" w:ascii="仿宋" w:eastAsia="仿宋"/>
          <w:sz w:val="32"/>
          <w:szCs w:val="32"/>
        </w:rPr>
        <w:t>(2)负责市场主体统一登记注册和行政许可。建立市场主体信息公示和共享机制。</w:t>
      </w:r>
    </w:p>
    <w:p>
      <w:pPr>
        <w:pStyle w:val="18"/>
        <w:spacing w:line="560" w:lineRule="exact"/>
        <w:ind w:firstLine="640" w:firstLineChars="200"/>
        <w:rPr>
          <w:rFonts w:ascii="仿宋" w:eastAsia="仿宋"/>
          <w:sz w:val="32"/>
          <w:szCs w:val="32"/>
        </w:rPr>
      </w:pPr>
      <w:r>
        <w:rPr>
          <w:rFonts w:hint="eastAsia" w:ascii="仿宋" w:eastAsia="仿宋"/>
          <w:sz w:val="32"/>
          <w:szCs w:val="32"/>
        </w:rPr>
        <w:t>(3)负责组织和指导市场监管综合执法工作。</w:t>
      </w:r>
    </w:p>
    <w:p>
      <w:pPr>
        <w:pStyle w:val="18"/>
        <w:spacing w:line="560" w:lineRule="exact"/>
        <w:ind w:firstLine="640" w:firstLineChars="200"/>
        <w:rPr>
          <w:rFonts w:ascii="仿宋" w:eastAsia="仿宋"/>
          <w:sz w:val="32"/>
          <w:szCs w:val="32"/>
        </w:rPr>
      </w:pPr>
      <w:r>
        <w:rPr>
          <w:rFonts w:hint="eastAsia" w:ascii="仿宋" w:eastAsia="仿宋"/>
          <w:sz w:val="32"/>
          <w:szCs w:val="32"/>
        </w:rPr>
        <w:t>(4)负责反垄断工作，统筹推进竞争政策实施，组织实施公平竞争审查制度。</w:t>
      </w:r>
    </w:p>
    <w:p>
      <w:pPr>
        <w:pStyle w:val="18"/>
        <w:spacing w:line="560" w:lineRule="exact"/>
        <w:ind w:firstLine="640" w:firstLineChars="200"/>
        <w:rPr>
          <w:rFonts w:ascii="仿宋" w:eastAsia="仿宋"/>
          <w:sz w:val="32"/>
          <w:szCs w:val="32"/>
        </w:rPr>
      </w:pPr>
      <w:r>
        <w:rPr>
          <w:rFonts w:hint="eastAsia" w:ascii="仿宋" w:eastAsia="仿宋"/>
          <w:sz w:val="32"/>
          <w:szCs w:val="32"/>
        </w:rPr>
        <w:t>(5)负责监督管理市场秩序。</w:t>
      </w:r>
    </w:p>
    <w:p>
      <w:pPr>
        <w:pStyle w:val="18"/>
        <w:spacing w:line="560" w:lineRule="exact"/>
        <w:ind w:firstLine="640" w:firstLineChars="200"/>
        <w:rPr>
          <w:rFonts w:ascii="仿宋" w:eastAsia="仿宋"/>
          <w:sz w:val="32"/>
          <w:szCs w:val="32"/>
        </w:rPr>
      </w:pPr>
      <w:r>
        <w:rPr>
          <w:rFonts w:hint="eastAsia" w:ascii="仿宋" w:eastAsia="仿宋"/>
          <w:sz w:val="32"/>
          <w:szCs w:val="32"/>
        </w:rPr>
        <w:t>(6)负责宏观质量管理。</w:t>
      </w:r>
    </w:p>
    <w:p>
      <w:pPr>
        <w:pStyle w:val="18"/>
        <w:spacing w:line="560" w:lineRule="exact"/>
        <w:ind w:firstLine="640" w:firstLineChars="200"/>
        <w:rPr>
          <w:rFonts w:ascii="仿宋" w:eastAsia="仿宋"/>
          <w:sz w:val="32"/>
          <w:szCs w:val="32"/>
        </w:rPr>
      </w:pPr>
      <w:r>
        <w:rPr>
          <w:rFonts w:hint="eastAsia" w:ascii="仿宋" w:eastAsia="仿宋"/>
          <w:sz w:val="32"/>
          <w:szCs w:val="32"/>
        </w:rPr>
        <w:t>(7)负责产品质量安全监督管理。</w:t>
      </w:r>
    </w:p>
    <w:p>
      <w:pPr>
        <w:pStyle w:val="18"/>
        <w:spacing w:line="560" w:lineRule="exact"/>
        <w:ind w:firstLine="640" w:firstLineChars="200"/>
        <w:rPr>
          <w:rFonts w:ascii="仿宋" w:eastAsia="仿宋"/>
          <w:sz w:val="32"/>
          <w:szCs w:val="32"/>
        </w:rPr>
      </w:pPr>
      <w:r>
        <w:rPr>
          <w:rFonts w:hint="eastAsia" w:ascii="仿宋" w:eastAsia="仿宋"/>
          <w:sz w:val="32"/>
          <w:szCs w:val="32"/>
        </w:rPr>
        <w:t>(8)负责特种设备安全监督管理。综合管理特种设备安全监察、监督工作。</w:t>
      </w:r>
    </w:p>
    <w:p>
      <w:pPr>
        <w:pStyle w:val="18"/>
        <w:spacing w:line="560" w:lineRule="exact"/>
        <w:ind w:firstLine="640" w:firstLineChars="200"/>
        <w:rPr>
          <w:rFonts w:ascii="仿宋" w:eastAsia="仿宋"/>
          <w:sz w:val="32"/>
          <w:szCs w:val="32"/>
        </w:rPr>
      </w:pPr>
      <w:r>
        <w:rPr>
          <w:rFonts w:hint="eastAsia" w:ascii="仿宋" w:eastAsia="仿宋"/>
          <w:sz w:val="32"/>
          <w:szCs w:val="32"/>
        </w:rPr>
        <w:t>(9)负责食品安全监督管理综合协调。</w:t>
      </w:r>
    </w:p>
    <w:p>
      <w:pPr>
        <w:pStyle w:val="18"/>
        <w:spacing w:line="560" w:lineRule="exact"/>
        <w:ind w:firstLine="640" w:firstLineChars="200"/>
        <w:rPr>
          <w:rFonts w:ascii="仿宋" w:eastAsia="仿宋"/>
          <w:sz w:val="32"/>
          <w:szCs w:val="32"/>
        </w:rPr>
      </w:pPr>
      <w:r>
        <w:rPr>
          <w:rFonts w:hint="eastAsia" w:ascii="仿宋" w:eastAsia="仿宋"/>
          <w:sz w:val="32"/>
          <w:szCs w:val="32"/>
        </w:rPr>
        <w:t>(10)负责食品安全监督管理。</w:t>
      </w:r>
    </w:p>
    <w:p>
      <w:pPr>
        <w:pStyle w:val="18"/>
        <w:spacing w:line="560" w:lineRule="exact"/>
        <w:ind w:firstLine="640" w:firstLineChars="200"/>
        <w:rPr>
          <w:rFonts w:ascii="仿宋" w:eastAsia="仿宋"/>
          <w:sz w:val="32"/>
          <w:szCs w:val="32"/>
        </w:rPr>
      </w:pPr>
      <w:r>
        <w:rPr>
          <w:rFonts w:hint="eastAsia" w:ascii="仿宋" w:eastAsia="仿宋"/>
          <w:sz w:val="32"/>
          <w:szCs w:val="32"/>
        </w:rPr>
        <w:t>(11)负责统一管理计量工作。</w:t>
      </w:r>
    </w:p>
    <w:p>
      <w:pPr>
        <w:pStyle w:val="18"/>
        <w:spacing w:line="560" w:lineRule="exact"/>
        <w:ind w:firstLine="640" w:firstLineChars="200"/>
        <w:rPr>
          <w:rFonts w:ascii="仿宋" w:eastAsia="仿宋"/>
          <w:sz w:val="32"/>
          <w:szCs w:val="32"/>
        </w:rPr>
      </w:pPr>
      <w:r>
        <w:rPr>
          <w:rFonts w:hint="eastAsia" w:ascii="仿宋" w:eastAsia="仿宋"/>
          <w:sz w:val="32"/>
          <w:szCs w:val="32"/>
        </w:rPr>
        <w:t>(12)负责统一管理标准化工作。</w:t>
      </w:r>
    </w:p>
    <w:p>
      <w:pPr>
        <w:pStyle w:val="18"/>
        <w:spacing w:line="560" w:lineRule="exact"/>
        <w:ind w:firstLine="640" w:firstLineChars="200"/>
        <w:rPr>
          <w:rFonts w:ascii="仿宋" w:eastAsia="仿宋"/>
          <w:sz w:val="32"/>
          <w:szCs w:val="32"/>
        </w:rPr>
      </w:pPr>
      <w:r>
        <w:rPr>
          <w:rFonts w:hint="eastAsia" w:ascii="仿宋" w:eastAsia="仿宋"/>
          <w:sz w:val="32"/>
          <w:szCs w:val="32"/>
        </w:rPr>
        <w:t>(13)负责统一管理检验检测工作。</w:t>
      </w:r>
    </w:p>
    <w:p>
      <w:pPr>
        <w:pStyle w:val="18"/>
        <w:spacing w:line="560" w:lineRule="exact"/>
        <w:ind w:firstLine="640" w:firstLineChars="200"/>
        <w:rPr>
          <w:rFonts w:ascii="仿宋" w:eastAsia="仿宋"/>
          <w:sz w:val="32"/>
          <w:szCs w:val="32"/>
        </w:rPr>
      </w:pPr>
      <w:r>
        <w:rPr>
          <w:rFonts w:hint="eastAsia" w:ascii="仿宋" w:eastAsia="仿宋"/>
          <w:sz w:val="32"/>
          <w:szCs w:val="32"/>
        </w:rPr>
        <w:t>(14)负责统一管理、监督和综合协调全区认证认可工作。</w:t>
      </w:r>
    </w:p>
    <w:p>
      <w:pPr>
        <w:pStyle w:val="18"/>
        <w:spacing w:line="560" w:lineRule="exact"/>
        <w:ind w:firstLine="640" w:firstLineChars="200"/>
        <w:rPr>
          <w:rFonts w:ascii="仿宋" w:eastAsia="仿宋"/>
          <w:sz w:val="32"/>
          <w:szCs w:val="32"/>
        </w:rPr>
      </w:pPr>
      <w:r>
        <w:rPr>
          <w:rFonts w:hint="eastAsia" w:ascii="仿宋" w:eastAsia="仿宋"/>
          <w:sz w:val="32"/>
          <w:szCs w:val="32"/>
        </w:rPr>
        <w:t>(15)负责市场监督管理、知识产权领域科技和信息化建设、新闻宣传、对外交流与合作。</w:t>
      </w:r>
    </w:p>
    <w:p>
      <w:pPr>
        <w:pStyle w:val="18"/>
        <w:spacing w:line="560" w:lineRule="exact"/>
        <w:ind w:firstLine="640" w:firstLineChars="200"/>
        <w:rPr>
          <w:rFonts w:ascii="仿宋" w:eastAsia="仿宋"/>
          <w:sz w:val="32"/>
          <w:szCs w:val="32"/>
        </w:rPr>
      </w:pPr>
      <w:r>
        <w:rPr>
          <w:rFonts w:hint="eastAsia" w:ascii="仿宋" w:eastAsia="仿宋"/>
          <w:sz w:val="32"/>
          <w:szCs w:val="32"/>
        </w:rPr>
        <w:t>(16)负责实施知识产权战略，配合推进知识产权强省建设。</w:t>
      </w:r>
    </w:p>
    <w:p>
      <w:pPr>
        <w:pStyle w:val="18"/>
        <w:spacing w:line="560" w:lineRule="exact"/>
        <w:ind w:firstLine="640" w:firstLineChars="200"/>
        <w:rPr>
          <w:rFonts w:ascii="仿宋" w:eastAsia="仿宋"/>
          <w:sz w:val="32"/>
          <w:szCs w:val="32"/>
        </w:rPr>
      </w:pPr>
      <w:r>
        <w:rPr>
          <w:rFonts w:hint="eastAsia" w:ascii="仿宋" w:eastAsia="仿宋"/>
          <w:sz w:val="32"/>
          <w:szCs w:val="32"/>
        </w:rPr>
        <w:t>(17)负责保护知识产权。</w:t>
      </w:r>
    </w:p>
    <w:p>
      <w:pPr>
        <w:pStyle w:val="18"/>
        <w:spacing w:line="560" w:lineRule="exact"/>
        <w:ind w:firstLine="640" w:firstLineChars="200"/>
        <w:rPr>
          <w:rFonts w:ascii="仿宋" w:eastAsia="仿宋"/>
          <w:sz w:val="32"/>
          <w:szCs w:val="32"/>
        </w:rPr>
      </w:pPr>
      <w:r>
        <w:rPr>
          <w:rFonts w:hint="eastAsia" w:ascii="仿宋" w:eastAsia="仿宋"/>
          <w:sz w:val="32"/>
          <w:szCs w:val="32"/>
        </w:rPr>
        <w:t>(18)负责知识产权创造运用。</w:t>
      </w:r>
    </w:p>
    <w:p>
      <w:pPr>
        <w:pStyle w:val="18"/>
        <w:spacing w:line="560" w:lineRule="exact"/>
        <w:ind w:firstLine="640" w:firstLineChars="200"/>
        <w:rPr>
          <w:rFonts w:ascii="仿宋" w:eastAsia="仿宋"/>
          <w:sz w:val="32"/>
          <w:szCs w:val="32"/>
        </w:rPr>
      </w:pPr>
      <w:r>
        <w:rPr>
          <w:rFonts w:hint="eastAsia" w:ascii="仿宋" w:eastAsia="仿宋"/>
          <w:sz w:val="32"/>
          <w:szCs w:val="32"/>
        </w:rPr>
        <w:t>(19)负责组织开展有关服务领域消费维权工作，查处制售假冒伪劣等违法行为，指导消费者咨询、申诉、举报受理处理和网络体系建设等工作，保护经营者、消费者合法权益。拟定全区商品质量监测和抽检计划并组织实施。</w:t>
      </w:r>
    </w:p>
    <w:p>
      <w:pPr>
        <w:pStyle w:val="18"/>
        <w:spacing w:line="560" w:lineRule="exact"/>
        <w:ind w:firstLine="640" w:firstLineChars="200"/>
        <w:rPr>
          <w:rFonts w:ascii="仿宋" w:eastAsia="仿宋"/>
          <w:sz w:val="32"/>
          <w:szCs w:val="32"/>
        </w:rPr>
      </w:pPr>
      <w:r>
        <w:rPr>
          <w:rFonts w:hint="eastAsia" w:ascii="仿宋" w:eastAsia="仿宋"/>
          <w:sz w:val="32"/>
          <w:szCs w:val="32"/>
        </w:rPr>
        <w:t>(20)负责药品(含中药、民族药，下同)、医疗器械和化妆品安全监督管理。</w:t>
      </w:r>
    </w:p>
    <w:p>
      <w:pPr>
        <w:pStyle w:val="18"/>
        <w:spacing w:line="560" w:lineRule="exact"/>
        <w:ind w:firstLine="640" w:firstLineChars="200"/>
        <w:rPr>
          <w:rFonts w:ascii="仿宋" w:eastAsia="仿宋"/>
          <w:sz w:val="32"/>
          <w:szCs w:val="32"/>
        </w:rPr>
      </w:pPr>
      <w:r>
        <w:rPr>
          <w:rFonts w:hint="eastAsia" w:ascii="仿宋" w:eastAsia="仿宋"/>
          <w:sz w:val="32"/>
          <w:szCs w:val="32"/>
        </w:rPr>
        <w:t>(21)监督实施药品、医疗器械、化妆品分类管理制度，配合有关部门实施国家基本药物制度。</w:t>
      </w:r>
    </w:p>
    <w:p>
      <w:pPr>
        <w:pStyle w:val="18"/>
        <w:spacing w:line="560" w:lineRule="exact"/>
        <w:ind w:firstLine="640" w:firstLineChars="200"/>
        <w:rPr>
          <w:rFonts w:ascii="仿宋" w:eastAsia="仿宋"/>
          <w:sz w:val="32"/>
          <w:szCs w:val="32"/>
        </w:rPr>
      </w:pPr>
      <w:r>
        <w:rPr>
          <w:rFonts w:hint="eastAsia" w:ascii="仿宋" w:eastAsia="仿宋"/>
          <w:sz w:val="32"/>
          <w:szCs w:val="32"/>
        </w:rPr>
        <w:t>(22)负责药品、医疗器械和化妆品质量管理。</w:t>
      </w:r>
    </w:p>
    <w:p>
      <w:pPr>
        <w:pStyle w:val="18"/>
        <w:spacing w:line="560" w:lineRule="exact"/>
        <w:ind w:firstLine="640" w:firstLineChars="200"/>
        <w:rPr>
          <w:rFonts w:ascii="仿宋" w:eastAsia="仿宋"/>
          <w:sz w:val="32"/>
          <w:szCs w:val="32"/>
        </w:rPr>
      </w:pPr>
      <w:r>
        <w:rPr>
          <w:rFonts w:hint="eastAsia" w:ascii="仿宋" w:eastAsia="仿宋"/>
          <w:sz w:val="32"/>
          <w:szCs w:val="32"/>
        </w:rPr>
        <w:t>(23)负责药品、医疗器械和化妆品上市后风险管理。</w:t>
      </w:r>
    </w:p>
    <w:p>
      <w:pPr>
        <w:pStyle w:val="18"/>
        <w:spacing w:line="560" w:lineRule="exact"/>
        <w:ind w:firstLine="640" w:firstLineChars="200"/>
        <w:rPr>
          <w:rFonts w:ascii="仿宋" w:eastAsia="仿宋"/>
          <w:sz w:val="32"/>
          <w:szCs w:val="32"/>
        </w:rPr>
      </w:pPr>
      <w:r>
        <w:rPr>
          <w:rFonts w:hint="eastAsia" w:ascii="仿宋" w:eastAsia="仿宋"/>
          <w:sz w:val="32"/>
          <w:szCs w:val="32"/>
        </w:rPr>
        <w:t>(24)负责组织实施药品、医疗器械和化妆品监督检查。</w:t>
      </w:r>
    </w:p>
    <w:p>
      <w:pPr>
        <w:pStyle w:val="18"/>
        <w:spacing w:line="560" w:lineRule="exact"/>
        <w:ind w:firstLine="640" w:firstLineChars="200"/>
        <w:rPr>
          <w:rFonts w:ascii="仿宋" w:eastAsia="仿宋"/>
          <w:sz w:val="32"/>
          <w:szCs w:val="32"/>
        </w:rPr>
      </w:pPr>
      <w:r>
        <w:rPr>
          <w:rFonts w:hint="eastAsia" w:ascii="仿宋" w:eastAsia="仿宋"/>
          <w:sz w:val="32"/>
          <w:szCs w:val="32"/>
        </w:rPr>
        <w:t>(25)负责职责范围内食品药品行业安全生产工作。</w:t>
      </w:r>
    </w:p>
    <w:p>
      <w:pPr>
        <w:pStyle w:val="17"/>
        <w:spacing w:line="360" w:lineRule="auto"/>
        <w:ind w:firstLine="640" w:firstLineChars="200"/>
        <w:rPr>
          <w:rFonts w:ascii="仿宋" w:eastAsia="仿宋"/>
          <w:sz w:val="32"/>
          <w:szCs w:val="32"/>
        </w:rPr>
      </w:pPr>
      <w:r>
        <w:rPr>
          <w:rFonts w:hint="eastAsia" w:ascii="仿宋" w:eastAsia="仿宋"/>
          <w:sz w:val="32"/>
          <w:szCs w:val="32"/>
        </w:rPr>
        <w:t>(26)完成区委、区政府交办的其他任务。</w:t>
      </w:r>
    </w:p>
    <w:p>
      <w:pPr>
        <w:pStyle w:val="17"/>
        <w:spacing w:line="360" w:lineRule="auto"/>
        <w:ind w:firstLine="640" w:firstLineChars="200"/>
        <w:rPr>
          <w:rFonts w:ascii="仿宋" w:eastAsia="仿宋"/>
          <w:sz w:val="32"/>
          <w:szCs w:val="32"/>
        </w:rPr>
      </w:pPr>
      <w:r>
        <w:rPr>
          <w:rFonts w:hint="eastAsia" w:ascii="仿宋" w:eastAsia="仿宋"/>
          <w:sz w:val="32"/>
          <w:szCs w:val="32"/>
        </w:rPr>
        <w:t>2、项目的实施依据</w:t>
      </w:r>
    </w:p>
    <w:p>
      <w:pPr>
        <w:pStyle w:val="17"/>
        <w:spacing w:line="360" w:lineRule="auto"/>
        <w:ind w:firstLine="640" w:firstLineChars="200"/>
        <w:rPr>
          <w:rFonts w:ascii="仿宋" w:eastAsia="仿宋"/>
          <w:sz w:val="32"/>
          <w:szCs w:val="32"/>
        </w:rPr>
      </w:pPr>
      <w:r>
        <w:rPr>
          <w:rFonts w:hint="eastAsia" w:ascii="仿宋" w:eastAsia="仿宋"/>
          <w:sz w:val="32"/>
          <w:szCs w:val="32"/>
        </w:rPr>
        <w:t>根据《食品安全法》、《食品安全抽样检验管理办法》、《药品管理法》、《反垄断法》、《产品质量法》、《产品质量监督抽查管理暂行办法》、《网络交易监督管理办法》、《广告法》、《湖南省消费者权益保护条例》、《消费者权益保护法》、《关于深入推进全省非公有制经济组织党建工作的通知》、《湖南省市场监管办法》等国家相关法律法规、区局“三定”方案及《怀化市2021年食品安全工作评议考核方案》等上级下达的各项考评任务、《2021年开展食品安全“护老”行动暨保健食品行业专项清理整治行动方案》等各类专项整治行动实施方案，加强食品药品监督管理，完成特定行政工作任务和事业发展目标。</w:t>
      </w:r>
    </w:p>
    <w:p>
      <w:pPr>
        <w:pStyle w:val="17"/>
        <w:numPr>
          <w:ilvl w:val="0"/>
          <w:numId w:val="2"/>
        </w:numPr>
        <w:spacing w:line="360" w:lineRule="auto"/>
        <w:ind w:firstLine="640" w:firstLineChars="200"/>
        <w:rPr>
          <w:rFonts w:ascii="仿宋" w:eastAsia="仿宋"/>
          <w:sz w:val="32"/>
          <w:szCs w:val="32"/>
        </w:rPr>
      </w:pPr>
      <w:r>
        <w:rPr>
          <w:rFonts w:hint="eastAsia" w:ascii="仿宋" w:eastAsia="仿宋"/>
          <w:sz w:val="32"/>
          <w:szCs w:val="32"/>
        </w:rPr>
        <w:t>项目基本性质、用途和主要内容、涉及范围</w:t>
      </w:r>
    </w:p>
    <w:p>
      <w:pPr>
        <w:pStyle w:val="17"/>
        <w:spacing w:line="360" w:lineRule="auto"/>
        <w:ind w:firstLine="640"/>
        <w:rPr>
          <w:rFonts w:ascii="仿宋" w:eastAsia="仿宋"/>
          <w:sz w:val="32"/>
          <w:szCs w:val="32"/>
        </w:rPr>
      </w:pPr>
      <w:r>
        <w:rPr>
          <w:rFonts w:hint="eastAsia" w:ascii="仿宋" w:eastAsia="仿宋"/>
          <w:sz w:val="32"/>
          <w:szCs w:val="32"/>
        </w:rPr>
        <w:t>2021年度怀化市鹤城区市场监督管理局专项资金下设2021年中央食品监管补助资金、2021年中央药品监管补助资金（药械化不良反应监测）、2019年商事制度改革奖励资金、省级市场监管专项、省级市场监管专项补助资金、市级市场监管专项、区级市场监管专项及非税执收成本八大类。</w:t>
      </w:r>
    </w:p>
    <w:p>
      <w:pPr>
        <w:pStyle w:val="17"/>
        <w:spacing w:line="360" w:lineRule="auto"/>
        <w:ind w:firstLine="640" w:firstLineChars="200"/>
        <w:rPr>
          <w:rFonts w:ascii="仿宋" w:eastAsia="仿宋"/>
          <w:sz w:val="32"/>
          <w:szCs w:val="32"/>
        </w:rPr>
      </w:pPr>
      <w:r>
        <w:rPr>
          <w:rFonts w:hint="eastAsia" w:ascii="仿宋" w:eastAsia="仿宋"/>
          <w:sz w:val="32"/>
          <w:szCs w:val="32"/>
        </w:rPr>
        <w:t>①2021年中央食品监管补助资金：</w:t>
      </w:r>
      <w:r>
        <w:rPr>
          <w:rFonts w:hint="eastAsia" w:ascii="仿宋_GB2312" w:hAnsi="仿宋_GB2312" w:eastAsia="仿宋_GB2312" w:cs="仿宋_GB2312"/>
          <w:sz w:val="32"/>
          <w:szCs w:val="32"/>
        </w:rPr>
        <w:t>弥补我区食品安全监督管理，特别是对校园周边食品、冷链食品、特殊食品经营安全监管、食品安全知识科普宣传等各项食品安全（含特殊食品）专项工作经费的不足。</w:t>
      </w:r>
    </w:p>
    <w:p>
      <w:pPr>
        <w:pStyle w:val="17"/>
        <w:spacing w:line="360" w:lineRule="auto"/>
        <w:ind w:firstLine="640" w:firstLineChars="200"/>
        <w:rPr>
          <w:rFonts w:ascii="仿宋" w:eastAsia="仿宋"/>
          <w:sz w:val="32"/>
          <w:szCs w:val="32"/>
        </w:rPr>
      </w:pPr>
      <w:r>
        <w:rPr>
          <w:rFonts w:hint="eastAsia" w:ascii="仿宋" w:eastAsia="仿宋"/>
          <w:sz w:val="32"/>
          <w:szCs w:val="32"/>
        </w:rPr>
        <w:t>②2021年中央药品监管补助资金（药械化不良反应监测）：</w:t>
      </w:r>
      <w:r>
        <w:rPr>
          <w:rFonts w:hint="eastAsia" w:ascii="仿宋_GB2312" w:hAnsi="仿宋_GB2312" w:eastAsia="仿宋_GB2312" w:cs="仿宋_GB2312"/>
          <w:sz w:val="32"/>
          <w:szCs w:val="32"/>
        </w:rPr>
        <w:t>用于药械化不良反应监测工作，主要是弥补药械化不良反应监测及相关宣传教育工作经费的不足，</w:t>
      </w:r>
      <w:r>
        <w:rPr>
          <w:rFonts w:hint="eastAsia" w:ascii="仿宋_GB2312" w:hAnsi="仿宋_GB2312" w:eastAsia="仿宋_GB2312" w:cs="仿宋_GB2312"/>
          <w:sz w:val="32"/>
          <w:szCs w:val="40"/>
        </w:rPr>
        <w:t>提高人民群众对“两品一械”安全科普知识的认识，</w:t>
      </w:r>
      <w:r>
        <w:rPr>
          <w:rFonts w:hint="eastAsia" w:ascii="仿宋_GB2312" w:hAnsi="仿宋_GB2312" w:eastAsia="仿宋_GB2312" w:cs="仿宋_GB2312"/>
          <w:sz w:val="32"/>
          <w:szCs w:val="32"/>
        </w:rPr>
        <w:t>督促企业及使用单位按要求上报不良反应报告</w:t>
      </w:r>
      <w:r>
        <w:rPr>
          <w:rFonts w:hint="eastAsia" w:ascii="仿宋" w:eastAsia="仿宋"/>
          <w:sz w:val="32"/>
          <w:szCs w:val="32"/>
        </w:rPr>
        <w:t>。</w:t>
      </w:r>
    </w:p>
    <w:p>
      <w:pPr>
        <w:pStyle w:val="17"/>
        <w:spacing w:line="360" w:lineRule="auto"/>
        <w:ind w:firstLine="640" w:firstLineChars="200"/>
        <w:rPr>
          <w:rFonts w:ascii="仿宋" w:eastAsia="仿宋"/>
          <w:sz w:val="32"/>
          <w:szCs w:val="32"/>
        </w:rPr>
      </w:pPr>
      <w:r>
        <w:rPr>
          <w:rFonts w:hint="eastAsia" w:ascii="仿宋" w:eastAsia="仿宋"/>
          <w:sz w:val="32"/>
          <w:szCs w:val="32"/>
        </w:rPr>
        <w:t>③2019年商事制度改革奖励资金：主要用于商事登记制度改革工作，深化市场准入改革，优化审批服务。</w:t>
      </w:r>
    </w:p>
    <w:p>
      <w:pPr>
        <w:pStyle w:val="17"/>
        <w:spacing w:line="360" w:lineRule="auto"/>
        <w:ind w:firstLine="640" w:firstLineChars="200"/>
        <w:rPr>
          <w:rFonts w:ascii="仿宋" w:eastAsia="仿宋"/>
          <w:sz w:val="32"/>
          <w:szCs w:val="32"/>
        </w:rPr>
      </w:pPr>
      <w:r>
        <w:rPr>
          <w:rFonts w:hint="eastAsia" w:ascii="仿宋" w:eastAsia="仿宋"/>
          <w:sz w:val="32"/>
          <w:szCs w:val="32"/>
        </w:rPr>
        <w:t>④省级市场监管专项资金：主要用于完成上级部门统一部署或者组织的市场监管任务而给予的补助资金及质量执法办案补助、质量抽查与检验工作补助，包括企业信用监管及双随机一公开监管、商品与网络交易监管、广告监测监管、质量执法办案、反垄断及打击传销、产商品质量抽查与风险监测、非公党建、消费维权等一系列市场监管工作。</w:t>
      </w:r>
    </w:p>
    <w:p>
      <w:pPr>
        <w:pStyle w:val="17"/>
        <w:spacing w:line="360" w:lineRule="auto"/>
        <w:ind w:firstLine="640" w:firstLineChars="200"/>
        <w:rPr>
          <w:rFonts w:ascii="仿宋" w:hAnsi="仿宋" w:eastAsia="仿宋" w:cs="仿宋"/>
          <w:sz w:val="32"/>
          <w:szCs w:val="40"/>
        </w:rPr>
      </w:pPr>
      <w:r>
        <w:rPr>
          <w:rFonts w:hint="eastAsia" w:ascii="仿宋" w:eastAsia="仿宋"/>
          <w:sz w:val="32"/>
          <w:szCs w:val="32"/>
        </w:rPr>
        <w:t>⑤省级市场监督管理专项补助资金：主要用于市场监管领域“基层基础年”基层能力建设，包括</w:t>
      </w:r>
      <w:r>
        <w:rPr>
          <w:rFonts w:hint="eastAsia" w:ascii="仿宋" w:hAnsi="仿宋" w:eastAsia="仿宋" w:cs="仿宋"/>
          <w:sz w:val="32"/>
          <w:szCs w:val="40"/>
        </w:rPr>
        <w:t>加强基层执法能力建设、基层所标准化规范化建设、基层信息化建设、基层人员培训及鼓励基层干部到上级机关跟班学习等方面。</w:t>
      </w:r>
    </w:p>
    <w:p>
      <w:pPr>
        <w:pStyle w:val="17"/>
        <w:spacing w:line="360" w:lineRule="auto"/>
        <w:ind w:firstLine="640" w:firstLineChars="200"/>
        <w:rPr>
          <w:rFonts w:ascii="仿宋" w:eastAsia="仿宋"/>
          <w:sz w:val="32"/>
          <w:szCs w:val="32"/>
        </w:rPr>
      </w:pPr>
      <w:r>
        <w:rPr>
          <w:rFonts w:hint="eastAsia" w:ascii="仿宋" w:hAnsi="仿宋" w:eastAsia="仿宋" w:cs="仿宋"/>
          <w:sz w:val="32"/>
          <w:szCs w:val="40"/>
        </w:rPr>
        <w:t>⑥</w:t>
      </w:r>
      <w:r>
        <w:rPr>
          <w:rFonts w:hint="eastAsia" w:ascii="仿宋" w:eastAsia="仿宋"/>
          <w:sz w:val="32"/>
          <w:szCs w:val="32"/>
        </w:rPr>
        <w:t>市级专项资金：用于危房旧房改造、弥补基层基础建设资金的不足、加强流通领域商品质量抽查和监测。</w:t>
      </w:r>
    </w:p>
    <w:p>
      <w:pPr>
        <w:pStyle w:val="17"/>
        <w:spacing w:line="360" w:lineRule="auto"/>
        <w:ind w:firstLine="640" w:firstLineChars="200"/>
        <w:rPr>
          <w:rFonts w:ascii="仿宋" w:eastAsia="仿宋"/>
          <w:sz w:val="32"/>
          <w:szCs w:val="32"/>
        </w:rPr>
      </w:pPr>
      <w:r>
        <w:rPr>
          <w:rFonts w:hint="eastAsia" w:ascii="仿宋" w:eastAsia="仿宋"/>
          <w:sz w:val="32"/>
          <w:szCs w:val="32"/>
        </w:rPr>
        <w:t>⑦区级专项资金：主要用于消费维权投诉处理、商事登记制度改革、非洲猪瘟及白板肉巡查监管、商品质量抽检、食品安全省抽计划、世界卫生组织对我国疫苗国家监管体系评估的准备工作、安全生产领域“打非治违”三年行动、怀化市鹤城区市场监管领域安全生产专项整治三年行动、禁毒宣传教育、新冠疫情防控消毒费用支出等工作。</w:t>
      </w:r>
    </w:p>
    <w:p>
      <w:pPr>
        <w:pStyle w:val="17"/>
        <w:spacing w:line="360" w:lineRule="auto"/>
        <w:ind w:firstLine="640" w:firstLineChars="200"/>
        <w:rPr>
          <w:rFonts w:ascii="仿宋" w:eastAsia="仿宋"/>
          <w:sz w:val="32"/>
          <w:szCs w:val="32"/>
        </w:rPr>
      </w:pPr>
      <w:r>
        <w:rPr>
          <w:rFonts w:hint="eastAsia" w:ascii="仿宋" w:eastAsia="仿宋"/>
          <w:sz w:val="32"/>
          <w:szCs w:val="32"/>
        </w:rPr>
        <w:t>⑧非税执收成本：主要用于加强市场监管综合执法工作，弥补公用经费及专项经费的不足。</w:t>
      </w:r>
    </w:p>
    <w:p>
      <w:pPr>
        <w:pStyle w:val="17"/>
        <w:spacing w:line="360" w:lineRule="auto"/>
        <w:ind w:firstLine="640" w:firstLineChars="200"/>
        <w:rPr>
          <w:rFonts w:ascii="楷体" w:eastAsia="楷体"/>
          <w:b/>
          <w:sz w:val="32"/>
          <w:szCs w:val="32"/>
        </w:rPr>
      </w:pPr>
      <w:r>
        <w:rPr>
          <w:rFonts w:hint="eastAsia" w:ascii="楷体" w:eastAsia="楷体"/>
          <w:b/>
          <w:sz w:val="32"/>
          <w:szCs w:val="32"/>
        </w:rPr>
        <w:t>（二）项目绩效目标</w:t>
      </w:r>
    </w:p>
    <w:p>
      <w:pPr>
        <w:pStyle w:val="17"/>
        <w:spacing w:line="360" w:lineRule="auto"/>
        <w:ind w:firstLine="640" w:firstLineChars="200"/>
        <w:rPr>
          <w:rFonts w:ascii="仿宋" w:eastAsia="仿宋"/>
          <w:sz w:val="32"/>
          <w:szCs w:val="32"/>
        </w:rPr>
      </w:pPr>
      <w:r>
        <w:rPr>
          <w:rFonts w:hint="eastAsia" w:ascii="仿宋" w:eastAsia="仿宋"/>
          <w:sz w:val="32"/>
          <w:szCs w:val="32"/>
        </w:rPr>
        <w:t>1、项目绩效总目标和阶段性目标</w:t>
      </w:r>
    </w:p>
    <w:p>
      <w:pPr>
        <w:pStyle w:val="17"/>
        <w:spacing w:line="560" w:lineRule="exact"/>
        <w:ind w:firstLine="640" w:firstLineChars="200"/>
        <w:rPr>
          <w:rFonts w:ascii="仿宋" w:eastAsia="仿宋"/>
          <w:sz w:val="32"/>
          <w:szCs w:val="32"/>
        </w:rPr>
      </w:pPr>
      <w:r>
        <w:rPr>
          <w:rFonts w:hint="eastAsia" w:ascii="仿宋" w:eastAsia="仿宋"/>
          <w:sz w:val="32"/>
          <w:szCs w:val="32"/>
        </w:rPr>
        <w:t>(1)项目绩效总目标</w:t>
      </w:r>
    </w:p>
    <w:p>
      <w:pPr>
        <w:pStyle w:val="17"/>
        <w:spacing w:line="360" w:lineRule="auto"/>
        <w:ind w:firstLine="640" w:firstLineChars="200"/>
        <w:rPr>
          <w:rFonts w:ascii="仿宋" w:eastAsia="仿宋"/>
          <w:sz w:val="32"/>
          <w:szCs w:val="32"/>
        </w:rPr>
      </w:pPr>
      <w:r>
        <w:rPr>
          <w:rFonts w:hint="eastAsia" w:ascii="仿宋" w:eastAsia="仿宋"/>
          <w:sz w:val="32"/>
          <w:szCs w:val="32"/>
        </w:rPr>
        <w:t>①深化改革、提速增效，进一步激发市场主体活力</w:t>
      </w:r>
    </w:p>
    <w:p>
      <w:pPr>
        <w:pStyle w:val="17"/>
        <w:spacing w:line="360" w:lineRule="auto"/>
        <w:ind w:firstLine="640" w:firstLineChars="200"/>
        <w:rPr>
          <w:rFonts w:ascii="仿宋" w:eastAsia="仿宋"/>
          <w:sz w:val="32"/>
          <w:szCs w:val="32"/>
        </w:rPr>
      </w:pPr>
      <w:r>
        <w:rPr>
          <w:rFonts w:hint="eastAsia" w:ascii="仿宋" w:eastAsia="仿宋"/>
          <w:sz w:val="32"/>
          <w:szCs w:val="32"/>
        </w:rPr>
        <w:t>进一步深化商事登记制度改革，放宽市场准入限制、优化登记流程，激发市场主体活力。持续推进“多证合一”“先照后证”“证照分离”等改革，简化企业开办流程，降低市场准入门槛；继续鼓励和支持个体工商户转型升级为企业，提高市场竞争力，增强发展后劲，营造更加公开、透明、可预期的营商环境，促进鹤城经济社会高质量发展。</w:t>
      </w:r>
    </w:p>
    <w:p>
      <w:pPr>
        <w:pStyle w:val="17"/>
        <w:spacing w:line="360" w:lineRule="auto"/>
        <w:ind w:firstLine="640" w:firstLineChars="200"/>
        <w:rPr>
          <w:rFonts w:ascii="仿宋" w:eastAsia="仿宋"/>
          <w:sz w:val="32"/>
          <w:szCs w:val="32"/>
        </w:rPr>
      </w:pPr>
      <w:r>
        <w:rPr>
          <w:rFonts w:hint="eastAsia" w:ascii="仿宋" w:eastAsia="仿宋"/>
          <w:sz w:val="32"/>
          <w:szCs w:val="32"/>
        </w:rPr>
        <w:t>②重点突出、精准发力，进一步加强监管执法工作</w:t>
      </w:r>
    </w:p>
    <w:p>
      <w:pPr>
        <w:pStyle w:val="17"/>
        <w:spacing w:line="360" w:lineRule="auto"/>
        <w:ind w:firstLine="640" w:firstLineChars="200"/>
        <w:rPr>
          <w:rFonts w:ascii="仿宋" w:eastAsia="仿宋"/>
          <w:sz w:val="32"/>
          <w:szCs w:val="32"/>
        </w:rPr>
      </w:pPr>
      <w:r>
        <w:rPr>
          <w:rFonts w:hint="eastAsia" w:ascii="仿宋" w:eastAsia="仿宋"/>
          <w:sz w:val="32"/>
          <w:szCs w:val="32"/>
        </w:rPr>
        <w:t>继续围绕“三城同创”开展“四小”行业及食品“三小”行业无证无照经营、三防设施、食品药品安全整治，规范经营行为；进一步加强信用监管、网络监管、合同监管，严厉打击虚假违法广告、商标侵权、制售假冒伪劣商品、无证无照经营、不正当竞争、哄抬物价等违法违规行为，切实维护公平有序的市场经营秩序；加强对12315诉求筛查，排查重大案件违法线索，促进“诉转案”工作；继续保持打击传销高压态势，坚决铲除传销“毒瘤”。</w:t>
      </w:r>
    </w:p>
    <w:p>
      <w:pPr>
        <w:pStyle w:val="17"/>
        <w:spacing w:line="360" w:lineRule="auto"/>
        <w:ind w:firstLine="640" w:firstLineChars="200"/>
        <w:rPr>
          <w:rFonts w:ascii="仿宋" w:eastAsia="仿宋"/>
          <w:sz w:val="32"/>
          <w:szCs w:val="32"/>
        </w:rPr>
      </w:pPr>
      <w:r>
        <w:rPr>
          <w:rFonts w:hint="eastAsia" w:ascii="仿宋" w:eastAsia="仿宋"/>
          <w:sz w:val="32"/>
          <w:szCs w:val="32"/>
        </w:rPr>
        <w:t>③聚焦民生、夯实基础，进一步强化食药安全管理</w:t>
      </w:r>
    </w:p>
    <w:p>
      <w:pPr>
        <w:pStyle w:val="17"/>
        <w:spacing w:line="360" w:lineRule="auto"/>
        <w:ind w:firstLine="640" w:firstLineChars="200"/>
        <w:rPr>
          <w:rFonts w:ascii="仿宋" w:eastAsia="仿宋"/>
          <w:sz w:val="32"/>
          <w:szCs w:val="32"/>
        </w:rPr>
      </w:pPr>
      <w:r>
        <w:rPr>
          <w:rFonts w:hint="eastAsia" w:ascii="仿宋" w:eastAsia="仿宋"/>
          <w:sz w:val="32"/>
          <w:szCs w:val="32"/>
        </w:rPr>
        <w:t>深入贯彻习近平总书记系列重要讲话精神，按照“四个最严”的总体要求，坚持稳中求进，坚持源头严防、过程严管、风险严控，创新社会治理，坚持依法行政，强化智慧监管，完善食品安全治理体系，继续做好食品安全统筹协调工作、做实行政执法司法衔接工作、做细日常监管专项整治工作，守好不发生系统性、区域性和重大食品安全事件的底线，确保不发生一起食品药品安全事故。</w:t>
      </w:r>
    </w:p>
    <w:p>
      <w:pPr>
        <w:pStyle w:val="17"/>
        <w:spacing w:line="360" w:lineRule="auto"/>
        <w:ind w:firstLine="640" w:firstLineChars="200"/>
        <w:rPr>
          <w:rFonts w:ascii="仿宋" w:eastAsia="仿宋"/>
          <w:sz w:val="32"/>
          <w:szCs w:val="32"/>
        </w:rPr>
      </w:pPr>
      <w:r>
        <w:rPr>
          <w:rFonts w:hint="eastAsia" w:ascii="仿宋" w:eastAsia="仿宋"/>
          <w:sz w:val="32"/>
          <w:szCs w:val="32"/>
        </w:rPr>
        <w:t>④抓好党建、转变作风，进一步加强干部队伍建设</w:t>
      </w:r>
    </w:p>
    <w:p>
      <w:pPr>
        <w:pStyle w:val="17"/>
        <w:spacing w:line="360" w:lineRule="auto"/>
        <w:ind w:firstLine="640" w:firstLineChars="200"/>
        <w:rPr>
          <w:rFonts w:ascii="仿宋" w:eastAsia="仿宋"/>
          <w:sz w:val="32"/>
          <w:szCs w:val="32"/>
        </w:rPr>
      </w:pPr>
      <w:r>
        <w:rPr>
          <w:rFonts w:hint="eastAsia" w:ascii="仿宋" w:eastAsia="仿宋"/>
          <w:sz w:val="32"/>
          <w:szCs w:val="32"/>
        </w:rPr>
        <w:t>进一步加强党建工作，不断健全党建工作责任制，认真履行“一岗双责”，强化纪律教育，坚持从严治党；狠抓党风廉政建设，强化督查问责，深入持久推进作风建设，打造作风优良、素质过硬的监管执法队伍。</w:t>
      </w:r>
    </w:p>
    <w:p>
      <w:pPr>
        <w:pStyle w:val="17"/>
        <w:spacing w:line="560" w:lineRule="exact"/>
        <w:ind w:firstLine="640" w:firstLineChars="200"/>
        <w:rPr>
          <w:rFonts w:ascii="仿宋" w:eastAsia="仿宋"/>
          <w:sz w:val="32"/>
          <w:szCs w:val="32"/>
        </w:rPr>
      </w:pPr>
      <w:r>
        <w:rPr>
          <w:rFonts w:hint="eastAsia" w:ascii="仿宋" w:eastAsia="仿宋"/>
          <w:sz w:val="32"/>
          <w:szCs w:val="32"/>
        </w:rPr>
        <w:t>(2)阶段性目标</w:t>
      </w:r>
    </w:p>
    <w:p>
      <w:pPr>
        <w:pStyle w:val="17"/>
        <w:spacing w:line="360" w:lineRule="auto"/>
        <w:ind w:firstLine="640" w:firstLineChars="200"/>
        <w:rPr>
          <w:rFonts w:ascii="仿宋" w:eastAsia="仿宋"/>
          <w:sz w:val="32"/>
          <w:szCs w:val="32"/>
        </w:rPr>
      </w:pPr>
      <w:r>
        <w:rPr>
          <w:rFonts w:hint="eastAsia" w:ascii="仿宋" w:eastAsia="仿宋"/>
          <w:sz w:val="32"/>
          <w:szCs w:val="32"/>
        </w:rPr>
        <w:t>①2021年中央食品监管补助资金：开展食品安全年关守护行动、春秋季两次食品安全“护苗”行动、进口冷链食品监管工作、强化食品安全科普宣传、强化防控毒蘑菇中毒宣传、食品安全“护老行动”工作，食品（餐饮）经营安全监管水平稳步提升，保障群众的饮食安全。</w:t>
      </w:r>
    </w:p>
    <w:p>
      <w:pPr>
        <w:pStyle w:val="17"/>
        <w:spacing w:line="360" w:lineRule="auto"/>
        <w:ind w:firstLine="640" w:firstLineChars="200"/>
        <w:rPr>
          <w:rFonts w:ascii="仿宋" w:eastAsia="仿宋"/>
          <w:sz w:val="32"/>
          <w:szCs w:val="32"/>
        </w:rPr>
      </w:pPr>
      <w:r>
        <w:rPr>
          <w:rFonts w:hint="eastAsia" w:ascii="仿宋" w:eastAsia="仿宋"/>
          <w:sz w:val="32"/>
          <w:szCs w:val="32"/>
        </w:rPr>
        <w:t>②2021年中央药品监管补助资金（药械化不良反应监测）：2021年度完成上级文件要求的药械化不良反应/事件报告与检测工作，预计完成药品不良反应监测报告80份，医疗器械不良事件监测报告40份，化妆品不良反应监测报告28份。</w:t>
      </w:r>
    </w:p>
    <w:p>
      <w:pPr>
        <w:pStyle w:val="17"/>
        <w:spacing w:line="360" w:lineRule="auto"/>
        <w:ind w:firstLine="640" w:firstLineChars="200"/>
        <w:rPr>
          <w:rFonts w:ascii="仿宋" w:eastAsia="仿宋"/>
          <w:sz w:val="32"/>
          <w:szCs w:val="32"/>
        </w:rPr>
      </w:pPr>
      <w:r>
        <w:rPr>
          <w:rFonts w:hint="eastAsia" w:ascii="仿宋" w:eastAsia="仿宋"/>
          <w:sz w:val="32"/>
          <w:szCs w:val="32"/>
        </w:rPr>
        <w:t>③2019年商事制度改革奖励资金：继续深化市场准入改革，优化审批服务，进一步提升市场主体获得感和活跃度；继续落实企业登记全场电子化工作。</w:t>
      </w:r>
    </w:p>
    <w:p>
      <w:pPr>
        <w:pStyle w:val="17"/>
        <w:spacing w:line="360" w:lineRule="auto"/>
        <w:ind w:firstLine="640" w:firstLineChars="200"/>
        <w:rPr>
          <w:rFonts w:ascii="仿宋" w:eastAsia="仿宋"/>
          <w:sz w:val="32"/>
          <w:szCs w:val="32"/>
        </w:rPr>
      </w:pPr>
      <w:r>
        <w:rPr>
          <w:rFonts w:hint="eastAsia" w:ascii="仿宋" w:eastAsia="仿宋"/>
          <w:sz w:val="32"/>
          <w:szCs w:val="32"/>
        </w:rPr>
        <w:t>④省级市场监管专项资金：2020年度全区企业、农民专业合作社至少达到90%，个体户年报率至少达到80%；开展“双随机、一公开”监管工作；对辖区内网络经营户开展执法，全年网络巡查不少于20户；对校外培训机构利用不公平格式条款侵害消费者权益违法行为开展集中整治；开展电商领域借庆祝名义从事商业谋利活动专项整治工作；利用3.15等宣传活动，开展网络交易普法宣传；开展广告监管监测各项工作；对监测发现的虚假违反广告线索及时研判、及时采集、及时查处；完成计划查处案件数量；加强市场监管综合执法，保持执法稽查高压态势；深入开展打击传销宣传工作，在全区范围内开展一次打击传销专项行动；完成抽检计划；持续推进全区非公经济组织党支部“五化建设”；引导全区非公经济党组织积极主动作为、承担社会责任，促进非公经济高质量发展；加强消费维权投诉处理，强化市场监管工作。</w:t>
      </w:r>
    </w:p>
    <w:p>
      <w:pPr>
        <w:pStyle w:val="17"/>
        <w:spacing w:line="360" w:lineRule="auto"/>
        <w:ind w:firstLine="640" w:firstLineChars="200"/>
        <w:rPr>
          <w:rFonts w:ascii="仿宋" w:eastAsia="仿宋"/>
          <w:sz w:val="32"/>
          <w:szCs w:val="32"/>
        </w:rPr>
      </w:pPr>
      <w:r>
        <w:rPr>
          <w:rFonts w:hint="eastAsia" w:ascii="仿宋" w:eastAsia="仿宋"/>
          <w:sz w:val="32"/>
          <w:szCs w:val="32"/>
        </w:rPr>
        <w:t>⑤省级市场监督管理专项补助资金：根据《湖南省市场监督管理局“基层基础年”支持县级基层能力建设的七条措施》，加强基层能力建设，强基固本、提质增效，包括加强基层执法能力建设、基层所标准化规范化建设、基层信息化建设、基层人员培训及鼓励基层干部到上级机关跟班学习等方面。</w:t>
      </w:r>
    </w:p>
    <w:p>
      <w:pPr>
        <w:pStyle w:val="17"/>
        <w:spacing w:line="360" w:lineRule="auto"/>
        <w:ind w:firstLine="640" w:firstLineChars="200"/>
        <w:rPr>
          <w:rFonts w:ascii="仿宋" w:eastAsia="仿宋"/>
          <w:sz w:val="32"/>
          <w:szCs w:val="32"/>
        </w:rPr>
      </w:pPr>
      <w:r>
        <w:rPr>
          <w:rFonts w:hint="eastAsia" w:ascii="仿宋" w:eastAsia="仿宋"/>
          <w:sz w:val="32"/>
          <w:szCs w:val="32"/>
        </w:rPr>
        <w:t>⑥市级专项资金：对预定10个市场监管所的办公地址无法即时投入使用的进行改造、装修维修及搬离原址工作；弥补基层基础建设资金的不足，确保本局执法能力稳步提升、信息化建设顺利开展，各所基本办公条件得到保障；加大流通领域商品的抽样检测力度，增加覆盖面，加强流通领域商品质量的监管。</w:t>
      </w:r>
    </w:p>
    <w:p>
      <w:pPr>
        <w:pStyle w:val="17"/>
        <w:spacing w:line="360" w:lineRule="auto"/>
        <w:ind w:firstLine="640" w:firstLineChars="200"/>
        <w:rPr>
          <w:rFonts w:ascii="仿宋" w:eastAsia="仿宋"/>
          <w:sz w:val="32"/>
          <w:szCs w:val="32"/>
        </w:rPr>
      </w:pPr>
      <w:r>
        <w:rPr>
          <w:rFonts w:hint="eastAsia" w:ascii="仿宋" w:eastAsia="仿宋"/>
          <w:sz w:val="32"/>
          <w:szCs w:val="32"/>
        </w:rPr>
        <w:t>⑦区级专项资金：加强消费维权投诉处理，强化市场监管工作；开展3.15消费者权益日宣传活动；开展12315日常宣传；深入推进注册登记全程电子化；深化商事登记制度改革；做好非洲猪瘟常态化防控工作，</w:t>
      </w:r>
      <w:r>
        <w:rPr>
          <w:rFonts w:hint="eastAsia" w:ascii="仿宋" w:eastAsia="仿宋"/>
          <w:sz w:val="32"/>
          <w:szCs w:val="32"/>
          <w:lang w:eastAsia="zh-CN"/>
        </w:rPr>
        <w:t>加大</w:t>
      </w:r>
      <w:r>
        <w:rPr>
          <w:rFonts w:hint="eastAsia" w:ascii="仿宋" w:eastAsia="仿宋"/>
          <w:sz w:val="32"/>
          <w:szCs w:val="32"/>
        </w:rPr>
        <w:t>白板肉日常巡查监管力度；制定抽检计划，完成2021年抽检计划；完成食品安全省抽计划；做好迎接世界卫生组织对我国疫苗国家监管体系评估的准备工作；组织开展安全生产领域“打非治违”三年行动、怀化市鹤城区市场监管领域安全生产专项整治三年行动；做好禁毒宣传教育；完成2020年1月25日至8月7日新冠疫情防控消毒工作支付工作。</w:t>
      </w:r>
    </w:p>
    <w:p>
      <w:pPr>
        <w:pStyle w:val="17"/>
        <w:spacing w:line="360" w:lineRule="auto"/>
        <w:ind w:firstLine="640" w:firstLineChars="200"/>
        <w:rPr>
          <w:rFonts w:ascii="仿宋" w:eastAsia="仿宋"/>
          <w:sz w:val="32"/>
          <w:szCs w:val="32"/>
        </w:rPr>
      </w:pPr>
      <w:r>
        <w:rPr>
          <w:rFonts w:hint="eastAsia" w:ascii="仿宋" w:eastAsia="仿宋"/>
          <w:sz w:val="32"/>
          <w:szCs w:val="32"/>
        </w:rPr>
        <w:t>⑧非税执收成本：保持执法稽查高压态势，提高执法稽查的公信力和震慑力；加强市场监管综合执法，优化市场营商环境。</w:t>
      </w:r>
    </w:p>
    <w:p>
      <w:pPr>
        <w:pStyle w:val="17"/>
        <w:numPr>
          <w:ilvl w:val="0"/>
          <w:numId w:val="3"/>
        </w:numPr>
        <w:spacing w:line="360" w:lineRule="auto"/>
        <w:ind w:firstLine="640" w:firstLineChars="200"/>
        <w:rPr>
          <w:rFonts w:ascii="仿宋" w:eastAsia="仿宋"/>
          <w:sz w:val="32"/>
          <w:szCs w:val="32"/>
        </w:rPr>
      </w:pPr>
      <w:r>
        <w:rPr>
          <w:rFonts w:hint="eastAsia" w:ascii="仿宋" w:eastAsia="仿宋"/>
          <w:sz w:val="32"/>
          <w:szCs w:val="32"/>
        </w:rPr>
        <w:t>预期主要的生态、社会和经济效益</w:t>
      </w:r>
    </w:p>
    <w:p>
      <w:pPr>
        <w:pStyle w:val="17"/>
        <w:spacing w:line="360" w:lineRule="auto"/>
        <w:rPr>
          <w:rFonts w:ascii="仿宋" w:eastAsia="仿宋"/>
          <w:sz w:val="32"/>
          <w:szCs w:val="32"/>
        </w:rPr>
      </w:pPr>
      <w:r>
        <w:rPr>
          <w:rFonts w:hint="eastAsia" w:ascii="仿宋" w:eastAsia="仿宋"/>
          <w:sz w:val="32"/>
          <w:szCs w:val="32"/>
        </w:rPr>
        <w:t xml:space="preserve">    深化改革、提速增效，改善市场准入环境，进一步激发市场主体活力；进一步加强监管执法工作，提高执法稽查的公信力和震慑力，优化营商环境；聚焦职能、保障民生，进一步强化食药安全管理，引导辖区食品药品产业健康有序发展，杜绝与补助资金相关的重大食品药品安全事故发生，保障公众食品药品安全；主动担当、积极作为，加强业务培训， 依法履职尽责，进一步提升履职尽责能力。</w:t>
      </w:r>
    </w:p>
    <w:p>
      <w:pPr>
        <w:pStyle w:val="17"/>
        <w:spacing w:line="360" w:lineRule="auto"/>
        <w:ind w:firstLine="640" w:firstLineChars="200"/>
        <w:rPr>
          <w:rFonts w:ascii="楷体" w:eastAsia="楷体"/>
          <w:b/>
          <w:sz w:val="32"/>
          <w:szCs w:val="32"/>
        </w:rPr>
      </w:pPr>
      <w:r>
        <w:rPr>
          <w:rFonts w:hint="eastAsia" w:ascii="楷体" w:eastAsia="楷体"/>
          <w:b/>
          <w:sz w:val="32"/>
          <w:szCs w:val="32"/>
        </w:rPr>
        <w:t>二、绩效评价工作情况</w:t>
      </w:r>
    </w:p>
    <w:p>
      <w:pPr>
        <w:pStyle w:val="19"/>
        <w:spacing w:line="560" w:lineRule="exact"/>
        <w:ind w:firstLine="640"/>
        <w:rPr>
          <w:rFonts w:ascii="仿宋" w:eastAsia="仿宋"/>
          <w:sz w:val="32"/>
          <w:szCs w:val="32"/>
        </w:rPr>
      </w:pPr>
      <w:r>
        <w:rPr>
          <w:rFonts w:hint="eastAsia" w:ascii="仿宋" w:eastAsia="仿宋"/>
          <w:sz w:val="32"/>
          <w:szCs w:val="32"/>
        </w:rPr>
        <w:t>根据《怀化市鹤城区财政局关于开展2021年度全区部门整体支出、专项资金绩效自评工作的通知》（鹤财绩〔2022〕8号）文件要求，开展绩效评价工作。</w:t>
      </w:r>
    </w:p>
    <w:p>
      <w:pPr>
        <w:pStyle w:val="19"/>
        <w:spacing w:line="560" w:lineRule="exact"/>
        <w:ind w:firstLine="640"/>
        <w:rPr>
          <w:rFonts w:ascii="仿宋" w:eastAsia="仿宋"/>
          <w:sz w:val="32"/>
          <w:szCs w:val="32"/>
        </w:rPr>
      </w:pPr>
      <w:r>
        <w:rPr>
          <w:rFonts w:hint="eastAsia" w:ascii="仿宋" w:eastAsia="仿宋"/>
          <w:sz w:val="32"/>
          <w:szCs w:val="32"/>
        </w:rPr>
        <w:t>（一）前期准备</w:t>
      </w:r>
    </w:p>
    <w:p>
      <w:pPr>
        <w:pStyle w:val="19"/>
        <w:spacing w:line="560" w:lineRule="exact"/>
        <w:ind w:firstLine="640"/>
        <w:rPr>
          <w:rFonts w:ascii="仿宋" w:hAnsi="仿宋" w:eastAsia="仿宋" w:cs="仿宋"/>
          <w:sz w:val="32"/>
          <w:szCs w:val="32"/>
          <w:shd w:val="clear" w:color="auto" w:fill="FFFFFF"/>
        </w:rPr>
      </w:pPr>
      <w:r>
        <w:rPr>
          <w:rFonts w:hint="eastAsia" w:ascii="仿宋" w:hAnsi="仿宋" w:eastAsia="仿宋" w:cs="仿宋"/>
          <w:sz w:val="32"/>
          <w:szCs w:val="32"/>
          <w:shd w:val="clear" w:color="auto" w:fill="FFFFFF"/>
        </w:rPr>
        <w:t>(1)召开绩效评价工作动员会，学习传达绩效评工作相关要求，听取各股室的意见、建议。</w:t>
      </w:r>
    </w:p>
    <w:p>
      <w:pPr>
        <w:pStyle w:val="17"/>
        <w:spacing w:line="360" w:lineRule="auto"/>
        <w:ind w:firstLine="640" w:firstLineChars="200"/>
        <w:rPr>
          <w:rFonts w:ascii="仿宋" w:hAnsi="仿宋" w:eastAsia="仿宋" w:cs="仿宋"/>
          <w:sz w:val="32"/>
          <w:szCs w:val="32"/>
          <w:shd w:val="clear" w:color="auto" w:fill="FFFFFF"/>
        </w:rPr>
      </w:pPr>
      <w:r>
        <w:rPr>
          <w:rFonts w:hint="eastAsia" w:ascii="仿宋" w:hAnsi="仿宋" w:eastAsia="仿宋" w:cs="仿宋"/>
          <w:sz w:val="32"/>
          <w:szCs w:val="32"/>
          <w:shd w:val="clear" w:color="auto" w:fill="FFFFFF"/>
        </w:rPr>
        <w:t>(2)部署绩效评价工作。按照财政局下发的通知，明确评价目的、评价对象、评价内容、评价任务、评价依据以及评价时间、主要负责人等有关要求事项。</w:t>
      </w:r>
    </w:p>
    <w:p>
      <w:pPr>
        <w:pStyle w:val="17"/>
        <w:spacing w:line="360" w:lineRule="auto"/>
        <w:ind w:firstLine="640" w:firstLineChars="200"/>
        <w:rPr>
          <w:rFonts w:ascii="仿宋" w:hAnsi="仿宋" w:eastAsia="仿宋" w:cs="仿宋"/>
          <w:sz w:val="32"/>
          <w:szCs w:val="32"/>
          <w:shd w:val="clear" w:color="auto" w:fill="FFFFFF"/>
        </w:rPr>
      </w:pPr>
      <w:r>
        <w:rPr>
          <w:rFonts w:hint="eastAsia" w:ascii="仿宋" w:hAnsi="仿宋" w:eastAsia="仿宋" w:cs="仿宋"/>
          <w:sz w:val="32"/>
          <w:szCs w:val="32"/>
          <w:shd w:val="clear" w:color="auto" w:fill="FFFFFF"/>
        </w:rPr>
        <w:t>（二）组织实施</w:t>
      </w:r>
    </w:p>
    <w:p>
      <w:pPr>
        <w:pStyle w:val="17"/>
        <w:spacing w:line="360" w:lineRule="auto"/>
        <w:ind w:firstLine="640" w:firstLineChars="200"/>
        <w:rPr>
          <w:rFonts w:ascii="仿宋" w:hAnsi="仿宋" w:eastAsia="仿宋" w:cs="仿宋"/>
          <w:sz w:val="32"/>
          <w:szCs w:val="32"/>
          <w:shd w:val="clear" w:color="auto" w:fill="FFFFFF"/>
        </w:rPr>
      </w:pPr>
      <w:r>
        <w:rPr>
          <w:rFonts w:hint="eastAsia" w:ascii="仿宋" w:hAnsi="仿宋" w:eastAsia="仿宋" w:cs="仿宋"/>
          <w:sz w:val="32"/>
          <w:szCs w:val="32"/>
          <w:shd w:val="clear" w:color="auto" w:fill="FFFFFF"/>
        </w:rPr>
        <w:t>(1)每个项目相关股室开展自评工作。各股室针对绩效内容、实施情况、社会效益等做出自我评价，做好自评工作。</w:t>
      </w:r>
    </w:p>
    <w:p>
      <w:pPr>
        <w:pStyle w:val="17"/>
        <w:spacing w:line="360" w:lineRule="auto"/>
        <w:ind w:firstLine="640" w:firstLineChars="200"/>
        <w:rPr>
          <w:rFonts w:ascii="仿宋" w:hAnsi="仿宋" w:eastAsia="仿宋" w:cs="仿宋"/>
          <w:sz w:val="32"/>
          <w:szCs w:val="32"/>
          <w:shd w:val="clear" w:color="auto" w:fill="FFFFFF"/>
        </w:rPr>
      </w:pPr>
      <w:r>
        <w:rPr>
          <w:rFonts w:hint="eastAsia" w:ascii="仿宋" w:hAnsi="仿宋" w:eastAsia="仿宋" w:cs="仿宋"/>
          <w:sz w:val="32"/>
          <w:szCs w:val="32"/>
          <w:shd w:val="clear" w:color="auto" w:fill="FFFFFF"/>
        </w:rPr>
        <w:t>(2)收集基础资料。收集各小组填报的绩效报告以及与评价相关的依据材料。</w:t>
      </w:r>
    </w:p>
    <w:p>
      <w:pPr>
        <w:pStyle w:val="17"/>
        <w:spacing w:line="360" w:lineRule="auto"/>
        <w:ind w:firstLine="640" w:firstLineChars="200"/>
        <w:rPr>
          <w:rFonts w:ascii="仿宋" w:hAnsi="仿宋" w:eastAsia="仿宋" w:cs="仿宋"/>
          <w:sz w:val="32"/>
          <w:szCs w:val="32"/>
          <w:shd w:val="clear" w:color="auto" w:fill="FFFFFF"/>
        </w:rPr>
      </w:pPr>
      <w:r>
        <w:rPr>
          <w:rFonts w:hint="eastAsia" w:ascii="仿宋" w:hAnsi="仿宋" w:eastAsia="仿宋" w:cs="仿宋"/>
          <w:sz w:val="32"/>
          <w:szCs w:val="32"/>
          <w:shd w:val="clear" w:color="auto" w:fill="FFFFFF"/>
        </w:rPr>
        <w:t>(3)审核材料。对基础资料进行分类整理，进一步完善每份绩效评价报告内容，并撰写部门专项支出绩效自评报告。</w:t>
      </w:r>
    </w:p>
    <w:p>
      <w:pPr>
        <w:pStyle w:val="17"/>
        <w:spacing w:line="360" w:lineRule="auto"/>
        <w:ind w:firstLine="640" w:firstLineChars="200"/>
        <w:rPr>
          <w:rFonts w:ascii="楷体" w:eastAsia="楷体"/>
          <w:b/>
          <w:sz w:val="32"/>
          <w:szCs w:val="32"/>
        </w:rPr>
      </w:pPr>
      <w:r>
        <w:rPr>
          <w:rFonts w:hint="eastAsia" w:ascii="楷体" w:eastAsia="楷体"/>
          <w:b/>
          <w:sz w:val="32"/>
          <w:szCs w:val="32"/>
        </w:rPr>
        <w:t>三、绩效评价指标分析情况</w:t>
      </w:r>
    </w:p>
    <w:p>
      <w:pPr>
        <w:pStyle w:val="17"/>
        <w:spacing w:line="360" w:lineRule="auto"/>
        <w:ind w:firstLine="640" w:firstLineChars="200"/>
        <w:rPr>
          <w:rFonts w:ascii="楷体" w:eastAsia="楷体"/>
          <w:b/>
          <w:sz w:val="32"/>
          <w:szCs w:val="32"/>
        </w:rPr>
      </w:pPr>
      <w:r>
        <w:rPr>
          <w:rFonts w:hint="eastAsia" w:ascii="楷体" w:eastAsia="楷体"/>
          <w:b/>
          <w:sz w:val="32"/>
          <w:szCs w:val="32"/>
        </w:rPr>
        <w:t>（一）项目资金情况分析</w:t>
      </w:r>
    </w:p>
    <w:p>
      <w:pPr>
        <w:pStyle w:val="17"/>
        <w:spacing w:line="360" w:lineRule="auto"/>
        <w:ind w:firstLine="640" w:firstLineChars="200"/>
        <w:rPr>
          <w:rFonts w:ascii="仿宋" w:eastAsia="仿宋"/>
          <w:sz w:val="32"/>
          <w:szCs w:val="32"/>
        </w:rPr>
      </w:pPr>
      <w:r>
        <w:rPr>
          <w:rFonts w:hint="eastAsia" w:ascii="仿宋" w:eastAsia="仿宋"/>
          <w:sz w:val="32"/>
          <w:szCs w:val="32"/>
        </w:rPr>
        <w:t>1、项目资金到位情况分析</w:t>
      </w:r>
    </w:p>
    <w:p>
      <w:pPr>
        <w:pStyle w:val="17"/>
        <w:spacing w:line="360" w:lineRule="auto"/>
        <w:ind w:firstLine="640" w:firstLineChars="200"/>
        <w:rPr>
          <w:rFonts w:ascii="仿宋" w:eastAsia="仿宋"/>
          <w:sz w:val="32"/>
          <w:szCs w:val="32"/>
        </w:rPr>
      </w:pPr>
      <w:r>
        <w:rPr>
          <w:rFonts w:hint="eastAsia" w:ascii="仿宋" w:eastAsia="仿宋"/>
          <w:sz w:val="32"/>
          <w:szCs w:val="32"/>
        </w:rPr>
        <w:t>2021年怀化市鹤城区市场监督管理局专项资金财政拨款收入624.8万元，非税往来专项资金64.28万元，共计收入689.08万元，全部为财政资金，无自筹资金。资金明细如下：</w:t>
      </w:r>
    </w:p>
    <w:p>
      <w:pPr>
        <w:pStyle w:val="17"/>
        <w:spacing w:line="360" w:lineRule="auto"/>
        <w:ind w:firstLine="640" w:firstLineChars="200"/>
        <w:rPr>
          <w:rFonts w:ascii="仿宋" w:eastAsia="仿宋"/>
          <w:sz w:val="32"/>
          <w:szCs w:val="32"/>
        </w:rPr>
      </w:pPr>
      <w:r>
        <w:rPr>
          <w:rFonts w:hint="eastAsia" w:ascii="仿宋" w:eastAsia="仿宋"/>
          <w:sz w:val="32"/>
          <w:szCs w:val="32"/>
        </w:rPr>
        <w:t>(1)2021年中央食品监管补助资金10万元；(2)2021年中央药品监管补助资金（药械化不良反应监测）2万元；(3)2019年商事制度改革奖励资金25万元；(4)2021年省局拨市场监督管理专项71万元：企业信用监管及双随机一公开监管10万元、商品与网络交易监管8万元、广告监测监管10万元、质量执法办案经费20万元、反垄断及打击传销专项5万元、产商品质量抽查与风险监测8万元、非公党建团建专项5万元、绩效激励（消费维权专项）5万元；(5)省级市场监督管理专项补助资金30万元；(6)市级专项资金：鹤城区市场监督管理局危房改造费用26万元、基层能力建设经费8万元、流通领域商品抽检经费5万元；(7)区级专项资金：12315维权专项7万元、商事登记制度改革专项（含信息化建设）70万元、非洲猪瘟及白板肉整治21万元、流通领域商品质量抽检21万元、市场监督管理局食品抽检专项资金103.42万元、区疫苗国家监管体系评估工作专项经费2万元、安全生产专项整治三年行动工作经费（区安委会办公室）2万元、禁毒专项2万元、区市场监管局新冠消毒经费40万元、区市场监督局新冠防控消毒费用22.28万元；(8)非税执收成本224.38万元。</w:t>
      </w:r>
    </w:p>
    <w:p>
      <w:pPr>
        <w:pStyle w:val="17"/>
        <w:spacing w:line="360" w:lineRule="auto"/>
        <w:ind w:firstLine="640" w:firstLineChars="200"/>
        <w:rPr>
          <w:rFonts w:ascii="仿宋" w:eastAsia="仿宋"/>
          <w:sz w:val="32"/>
          <w:szCs w:val="32"/>
        </w:rPr>
      </w:pPr>
      <w:r>
        <w:rPr>
          <w:rFonts w:hint="eastAsia" w:ascii="仿宋" w:eastAsia="仿宋"/>
          <w:sz w:val="32"/>
          <w:szCs w:val="32"/>
        </w:rPr>
        <w:t>年内全部安排到位，到位率100%。</w:t>
      </w:r>
    </w:p>
    <w:p>
      <w:pPr>
        <w:pStyle w:val="17"/>
        <w:spacing w:line="360" w:lineRule="auto"/>
        <w:ind w:firstLine="640" w:firstLineChars="200"/>
        <w:rPr>
          <w:rFonts w:ascii="仿宋" w:eastAsia="仿宋"/>
          <w:sz w:val="32"/>
          <w:szCs w:val="32"/>
        </w:rPr>
      </w:pPr>
      <w:r>
        <w:rPr>
          <w:rFonts w:hint="eastAsia" w:ascii="仿宋" w:eastAsia="仿宋"/>
          <w:sz w:val="32"/>
          <w:szCs w:val="32"/>
        </w:rPr>
        <w:t>2、项目资金使用情况分析</w:t>
      </w:r>
    </w:p>
    <w:p>
      <w:pPr>
        <w:pStyle w:val="17"/>
        <w:spacing w:line="360" w:lineRule="auto"/>
        <w:ind w:firstLine="640"/>
        <w:rPr>
          <w:rFonts w:ascii="仿宋" w:eastAsia="仿宋"/>
          <w:sz w:val="32"/>
          <w:szCs w:val="32"/>
        </w:rPr>
      </w:pPr>
      <w:r>
        <w:rPr>
          <w:rFonts w:hint="eastAsia" w:ascii="仿宋" w:eastAsia="仿宋"/>
          <w:sz w:val="32"/>
          <w:szCs w:val="32"/>
        </w:rPr>
        <w:t>截止2021年底怀化市鹤城区市场监督管理局专项资金财政拨款支出689.08万元，结余0万元。资金使用率为100%。</w:t>
      </w:r>
    </w:p>
    <w:p>
      <w:pPr>
        <w:pStyle w:val="17"/>
        <w:numPr>
          <w:ilvl w:val="0"/>
          <w:numId w:val="3"/>
        </w:numPr>
        <w:spacing w:line="360" w:lineRule="auto"/>
        <w:ind w:firstLine="640" w:firstLineChars="200"/>
        <w:rPr>
          <w:rFonts w:ascii="仿宋" w:eastAsia="仿宋"/>
          <w:sz w:val="32"/>
          <w:szCs w:val="32"/>
        </w:rPr>
      </w:pPr>
      <w:r>
        <w:rPr>
          <w:rFonts w:hint="eastAsia" w:ascii="仿宋" w:eastAsia="仿宋"/>
          <w:sz w:val="32"/>
          <w:szCs w:val="32"/>
        </w:rPr>
        <w:t>项目资金管理情况分析</w:t>
      </w:r>
    </w:p>
    <w:p>
      <w:pPr>
        <w:pStyle w:val="17"/>
        <w:spacing w:line="360" w:lineRule="auto"/>
        <w:rPr>
          <w:rFonts w:ascii="仿宋" w:eastAsia="仿宋"/>
          <w:sz w:val="32"/>
          <w:szCs w:val="32"/>
        </w:rPr>
      </w:pPr>
      <w:r>
        <w:rPr>
          <w:rFonts w:hint="eastAsia" w:ascii="仿宋" w:hAnsi="仿宋" w:eastAsia="仿宋" w:cs="仿宋"/>
          <w:spacing w:val="-2"/>
          <w:sz w:val="32"/>
          <w:szCs w:val="32"/>
        </w:rPr>
        <w:t>认真落实《湖南省市场监督管理专项资金管理办法》及鹤城区相关财务制度、管理规定，按照专项资金专款专用的原则，以项目库建设为核心，以部门绩效评价为资金分配的依据，建立了财务管理制度和经费开支审批管理办法，严格制度的执行，严格支出审批报销程序，做到了无虚列套取,无截留、挤占、挪用,无开支超预算或超标准等情况。</w:t>
      </w:r>
    </w:p>
    <w:p>
      <w:pPr>
        <w:pStyle w:val="17"/>
        <w:spacing w:line="360" w:lineRule="auto"/>
        <w:ind w:firstLine="640" w:firstLineChars="200"/>
        <w:rPr>
          <w:rFonts w:ascii="楷体" w:eastAsia="楷体"/>
          <w:b/>
          <w:sz w:val="32"/>
          <w:szCs w:val="32"/>
        </w:rPr>
      </w:pPr>
      <w:r>
        <w:rPr>
          <w:rFonts w:hint="eastAsia" w:ascii="楷体" w:eastAsia="楷体"/>
          <w:b/>
          <w:sz w:val="32"/>
          <w:szCs w:val="32"/>
        </w:rPr>
        <w:t>（二）项目实施情况分析</w:t>
      </w:r>
    </w:p>
    <w:p>
      <w:pPr>
        <w:pStyle w:val="17"/>
        <w:spacing w:line="360" w:lineRule="auto"/>
        <w:ind w:left="1278" w:leftChars="304" w:hanging="640" w:hangingChars="200"/>
        <w:rPr>
          <w:rFonts w:ascii="仿宋" w:eastAsia="仿宋"/>
          <w:sz w:val="32"/>
          <w:szCs w:val="32"/>
        </w:rPr>
      </w:pPr>
      <w:r>
        <w:rPr>
          <w:rFonts w:hint="eastAsia" w:ascii="仿宋" w:eastAsia="仿宋"/>
          <w:sz w:val="32"/>
          <w:szCs w:val="32"/>
        </w:rPr>
        <w:t>1、项目组织情况分析</w:t>
      </w:r>
    </w:p>
    <w:p>
      <w:pPr>
        <w:pStyle w:val="17"/>
        <w:spacing w:line="360" w:lineRule="auto"/>
        <w:ind w:firstLine="640" w:firstLineChars="200"/>
        <w:rPr>
          <w:rFonts w:ascii="仿宋" w:eastAsia="仿宋"/>
          <w:sz w:val="32"/>
          <w:szCs w:val="32"/>
        </w:rPr>
      </w:pPr>
      <w:r>
        <w:rPr>
          <w:rFonts w:hint="eastAsia" w:ascii="仿宋" w:eastAsia="仿宋"/>
          <w:sz w:val="32"/>
          <w:szCs w:val="32"/>
        </w:rPr>
        <w:t>一是开展专项整治行动，通过各项食品安全专项整治行动、对校外培训机构利用不公平格式条款侵害消费者权益违法行为开展集中整治、开展电商领域借庆祝名义从事商业谋利活动专项整治等专项整治行动，强化市场监管综合执法和市场监管，保护人民群众合法权益；二是通过事先制定计划，政府招标等方式，有效规范地完成了食品安全省抽任务及商品质量抽检计划；三是以上级任务为导向，做好药械化不良反应监测、基层能力建设、双随机一公开监管、网络交易监管等工作；四是加强日常市场监管工作，按时完成市场主体年报、12315投诉处理，推进市场主体登记便利化等工作。</w:t>
      </w:r>
    </w:p>
    <w:p>
      <w:pPr>
        <w:pStyle w:val="17"/>
        <w:numPr>
          <w:ilvl w:val="0"/>
          <w:numId w:val="4"/>
        </w:numPr>
        <w:spacing w:line="360" w:lineRule="auto"/>
        <w:ind w:firstLine="640" w:firstLineChars="200"/>
        <w:rPr>
          <w:rFonts w:ascii="仿宋" w:eastAsia="仿宋"/>
          <w:sz w:val="32"/>
          <w:szCs w:val="32"/>
        </w:rPr>
      </w:pPr>
      <w:r>
        <w:rPr>
          <w:rFonts w:hint="eastAsia" w:ascii="仿宋" w:eastAsia="仿宋"/>
          <w:sz w:val="32"/>
          <w:szCs w:val="32"/>
        </w:rPr>
        <w:t>项目管理情况分析</w:t>
      </w:r>
    </w:p>
    <w:p>
      <w:pPr>
        <w:pStyle w:val="17"/>
        <w:spacing w:line="360" w:lineRule="auto"/>
        <w:ind w:firstLine="640" w:firstLineChars="200"/>
        <w:rPr>
          <w:rFonts w:ascii="仿宋" w:eastAsia="仿宋"/>
          <w:sz w:val="32"/>
          <w:szCs w:val="32"/>
        </w:rPr>
      </w:pPr>
      <w:r>
        <w:rPr>
          <w:rFonts w:hint="eastAsia" w:ascii="仿宋" w:eastAsia="仿宋"/>
          <w:sz w:val="32"/>
          <w:szCs w:val="32"/>
        </w:rPr>
        <w:t>为加强项目资金的规范化、科学化管理，提高项目管理和实施成效，我局严格按照部门“三定”职责，贯彻落实上级文件精神，认真执行省、市、区的工作部署。</w:t>
      </w:r>
    </w:p>
    <w:p>
      <w:pPr>
        <w:pStyle w:val="17"/>
        <w:spacing w:line="360" w:lineRule="auto"/>
        <w:ind w:firstLine="640" w:firstLineChars="200"/>
        <w:rPr>
          <w:rFonts w:ascii="仿宋" w:eastAsia="仿宋"/>
          <w:sz w:val="32"/>
          <w:szCs w:val="32"/>
        </w:rPr>
      </w:pPr>
      <w:r>
        <w:rPr>
          <w:rFonts w:hint="eastAsia" w:ascii="仿宋" w:eastAsia="仿宋"/>
          <w:sz w:val="32"/>
          <w:szCs w:val="32"/>
        </w:rPr>
        <w:t>一是建立工作推进制度。每月召开一次局务会，其余时间可以根据工作需要召开，根据工作开展情况及时研究各项工作进展情况，督促加快每项工作进程，确保各项工作稳步推进，并按照工作开展情况及时进行报账。</w:t>
      </w:r>
    </w:p>
    <w:p>
      <w:pPr>
        <w:pStyle w:val="17"/>
        <w:spacing w:line="360" w:lineRule="auto"/>
        <w:ind w:firstLine="640" w:firstLineChars="200"/>
        <w:rPr>
          <w:rFonts w:ascii="仿宋" w:eastAsia="仿宋"/>
          <w:sz w:val="32"/>
          <w:szCs w:val="32"/>
        </w:rPr>
      </w:pPr>
      <w:r>
        <w:rPr>
          <w:rFonts w:hint="eastAsia" w:ascii="仿宋" w:eastAsia="仿宋"/>
          <w:sz w:val="32"/>
          <w:szCs w:val="32"/>
        </w:rPr>
        <w:t>二是坚持财务管理制度。按照我局财务管理规定，坚持谁经手谁报销、实报实销的原则，严格管理项目资金，提高资金使用效率。</w:t>
      </w:r>
    </w:p>
    <w:p>
      <w:pPr>
        <w:pStyle w:val="17"/>
        <w:spacing w:line="360" w:lineRule="auto"/>
        <w:ind w:firstLine="640" w:firstLineChars="200"/>
        <w:rPr>
          <w:rFonts w:ascii="仿宋" w:eastAsia="仿宋"/>
          <w:sz w:val="32"/>
          <w:szCs w:val="32"/>
        </w:rPr>
      </w:pPr>
      <w:r>
        <w:rPr>
          <w:rFonts w:hint="eastAsia" w:ascii="仿宋" w:eastAsia="仿宋"/>
          <w:sz w:val="32"/>
          <w:szCs w:val="32"/>
        </w:rPr>
        <w:t>三是重视预算支出绩效评估工作，强化了各股室的预算管理意识，加强了全年预算管理。</w:t>
      </w:r>
    </w:p>
    <w:p>
      <w:pPr>
        <w:pStyle w:val="17"/>
        <w:spacing w:line="360" w:lineRule="auto"/>
        <w:ind w:firstLine="640" w:firstLineChars="200"/>
        <w:rPr>
          <w:rFonts w:ascii="楷体" w:eastAsia="楷体"/>
          <w:b/>
          <w:sz w:val="32"/>
          <w:szCs w:val="32"/>
        </w:rPr>
      </w:pPr>
      <w:r>
        <w:rPr>
          <w:rFonts w:hint="eastAsia" w:ascii="楷体" w:eastAsia="楷体"/>
          <w:b/>
          <w:sz w:val="32"/>
          <w:szCs w:val="32"/>
        </w:rPr>
        <w:t xml:space="preserve">（三）项目绩效情况分析 </w:t>
      </w:r>
    </w:p>
    <w:p>
      <w:pPr>
        <w:pStyle w:val="17"/>
        <w:spacing w:line="360" w:lineRule="auto"/>
        <w:ind w:firstLine="640" w:firstLineChars="200"/>
        <w:rPr>
          <w:rFonts w:ascii="楷体" w:eastAsia="楷体"/>
          <w:b/>
          <w:sz w:val="32"/>
          <w:szCs w:val="32"/>
        </w:rPr>
      </w:pPr>
      <w:r>
        <w:rPr>
          <w:rFonts w:hint="eastAsia" w:ascii="楷体" w:eastAsia="楷体"/>
          <w:b/>
          <w:sz w:val="32"/>
          <w:szCs w:val="32"/>
        </w:rPr>
        <w:t>1、项目经济性分析</w:t>
      </w:r>
    </w:p>
    <w:p>
      <w:pPr>
        <w:pStyle w:val="17"/>
        <w:spacing w:line="360" w:lineRule="auto"/>
        <w:ind w:firstLine="640" w:firstLineChars="200"/>
        <w:rPr>
          <w:rFonts w:ascii="仿宋" w:eastAsia="仿宋"/>
          <w:sz w:val="32"/>
          <w:szCs w:val="32"/>
        </w:rPr>
      </w:pPr>
      <w:r>
        <w:rPr>
          <w:rFonts w:hint="eastAsia" w:ascii="仿宋" w:eastAsia="仿宋"/>
          <w:sz w:val="32"/>
          <w:szCs w:val="32"/>
        </w:rPr>
        <w:t>（1）项目成本（预算）控制情况</w:t>
      </w:r>
    </w:p>
    <w:p>
      <w:pPr>
        <w:pStyle w:val="17"/>
        <w:spacing w:line="360" w:lineRule="auto"/>
        <w:ind w:firstLine="640" w:firstLineChars="200"/>
        <w:rPr>
          <w:rFonts w:ascii="仿宋" w:eastAsia="仿宋"/>
          <w:sz w:val="32"/>
          <w:szCs w:val="32"/>
        </w:rPr>
      </w:pPr>
      <w:r>
        <w:rPr>
          <w:rFonts w:hint="eastAsia" w:ascii="仿宋" w:eastAsia="仿宋"/>
          <w:sz w:val="32"/>
          <w:szCs w:val="32"/>
        </w:rPr>
        <w:t>2020年项目按照财政专项资金管理办法进行管理，专项经费均控制在预算之内，未出现超出预算的情况。</w:t>
      </w:r>
    </w:p>
    <w:p>
      <w:pPr>
        <w:pStyle w:val="17"/>
        <w:numPr>
          <w:ilvl w:val="0"/>
          <w:numId w:val="5"/>
        </w:numPr>
        <w:spacing w:line="360" w:lineRule="auto"/>
        <w:ind w:firstLine="640" w:firstLineChars="200"/>
        <w:rPr>
          <w:rFonts w:ascii="仿宋" w:eastAsia="仿宋"/>
          <w:sz w:val="32"/>
          <w:szCs w:val="32"/>
        </w:rPr>
      </w:pPr>
      <w:r>
        <w:rPr>
          <w:rFonts w:hint="eastAsia" w:ascii="仿宋" w:eastAsia="仿宋"/>
          <w:sz w:val="32"/>
          <w:szCs w:val="32"/>
        </w:rPr>
        <w:t>项目成本（预算）节约情况</w:t>
      </w:r>
    </w:p>
    <w:p>
      <w:pPr>
        <w:pStyle w:val="17"/>
        <w:spacing w:line="360" w:lineRule="auto"/>
        <w:rPr>
          <w:rFonts w:ascii="仿宋" w:eastAsia="仿宋"/>
          <w:sz w:val="32"/>
          <w:szCs w:val="32"/>
        </w:rPr>
      </w:pPr>
      <w:r>
        <w:rPr>
          <w:rFonts w:hint="eastAsia" w:ascii="仿宋" w:eastAsia="仿宋"/>
          <w:sz w:val="32"/>
          <w:szCs w:val="32"/>
        </w:rPr>
        <w:t xml:space="preserve">    根据《党政机关厉行节约反对浪费条例》及相关财务规定，</w:t>
      </w:r>
      <w:r>
        <w:rPr>
          <w:rFonts w:hint="eastAsia" w:ascii="仿宋" w:hAnsi="仿宋" w:eastAsia="仿宋" w:cs="仿宋"/>
          <w:spacing w:val="-2"/>
          <w:sz w:val="32"/>
          <w:szCs w:val="32"/>
        </w:rPr>
        <w:t>以及区局财务管理制度和经费开支审批管理制度，</w:t>
      </w:r>
      <w:r>
        <w:rPr>
          <w:rFonts w:hint="eastAsia" w:ascii="仿宋" w:eastAsia="仿宋"/>
          <w:sz w:val="32"/>
          <w:szCs w:val="32"/>
        </w:rPr>
        <w:t>先有预算再有支出，专款专用，合理合法开支，厉行节约。</w:t>
      </w:r>
    </w:p>
    <w:p>
      <w:pPr>
        <w:pStyle w:val="17"/>
        <w:spacing w:line="360" w:lineRule="auto"/>
        <w:ind w:firstLine="640" w:firstLineChars="200"/>
        <w:rPr>
          <w:rFonts w:ascii="楷体" w:eastAsia="楷体"/>
          <w:b/>
          <w:sz w:val="32"/>
          <w:szCs w:val="32"/>
        </w:rPr>
      </w:pPr>
      <w:r>
        <w:rPr>
          <w:rFonts w:hint="eastAsia" w:ascii="楷体" w:eastAsia="楷体"/>
          <w:b/>
          <w:sz w:val="32"/>
          <w:szCs w:val="32"/>
        </w:rPr>
        <w:t>2、项目的效率性分析</w:t>
      </w:r>
    </w:p>
    <w:p>
      <w:pPr>
        <w:pStyle w:val="17"/>
        <w:spacing w:line="360" w:lineRule="auto"/>
        <w:ind w:firstLine="640" w:firstLineChars="200"/>
        <w:rPr>
          <w:rFonts w:ascii="仿宋" w:eastAsia="仿宋"/>
          <w:sz w:val="32"/>
          <w:szCs w:val="32"/>
        </w:rPr>
      </w:pPr>
      <w:r>
        <w:rPr>
          <w:rFonts w:hint="eastAsia" w:ascii="仿宋" w:eastAsia="仿宋"/>
          <w:sz w:val="32"/>
          <w:szCs w:val="32"/>
        </w:rPr>
        <w:t>（1）项目的实施进度</w:t>
      </w:r>
    </w:p>
    <w:p>
      <w:pPr>
        <w:pStyle w:val="17"/>
        <w:spacing w:line="360" w:lineRule="auto"/>
        <w:ind w:firstLine="640" w:firstLineChars="200"/>
        <w:rPr>
          <w:rFonts w:ascii="仿宋" w:eastAsia="仿宋"/>
          <w:sz w:val="32"/>
          <w:szCs w:val="32"/>
        </w:rPr>
      </w:pPr>
      <w:r>
        <w:rPr>
          <w:rFonts w:hint="eastAsia" w:ascii="仿宋" w:eastAsia="仿宋"/>
          <w:sz w:val="32"/>
          <w:szCs w:val="32"/>
        </w:rPr>
        <w:t>2021年各项年度业务工作均在2021年底前完成。</w:t>
      </w:r>
    </w:p>
    <w:p>
      <w:pPr>
        <w:pStyle w:val="17"/>
        <w:numPr>
          <w:ilvl w:val="0"/>
          <w:numId w:val="6"/>
        </w:numPr>
        <w:spacing w:line="360" w:lineRule="auto"/>
        <w:ind w:firstLine="640" w:firstLineChars="200"/>
        <w:rPr>
          <w:rFonts w:ascii="仿宋" w:eastAsia="仿宋"/>
          <w:sz w:val="32"/>
          <w:szCs w:val="32"/>
        </w:rPr>
      </w:pPr>
      <w:r>
        <w:rPr>
          <w:rFonts w:hint="eastAsia" w:ascii="仿宋" w:eastAsia="仿宋"/>
          <w:sz w:val="32"/>
          <w:szCs w:val="32"/>
        </w:rPr>
        <w:t>项目完成质量</w:t>
      </w:r>
    </w:p>
    <w:p>
      <w:pPr>
        <w:pStyle w:val="17"/>
        <w:spacing w:line="360" w:lineRule="auto"/>
        <w:rPr>
          <w:rFonts w:ascii="仿宋" w:eastAsia="仿宋"/>
          <w:sz w:val="32"/>
          <w:szCs w:val="32"/>
        </w:rPr>
      </w:pPr>
      <w:r>
        <w:rPr>
          <w:rFonts w:hint="eastAsia" w:ascii="仿宋" w:eastAsia="仿宋"/>
          <w:sz w:val="32"/>
          <w:szCs w:val="32"/>
        </w:rPr>
        <w:t xml:space="preserve">    整体质量指标均达标，保证项目的高完成率的同时也保证项目的高水平，高质量。</w:t>
      </w:r>
    </w:p>
    <w:p>
      <w:pPr>
        <w:pStyle w:val="17"/>
        <w:spacing w:line="360" w:lineRule="auto"/>
        <w:ind w:firstLine="640" w:firstLineChars="200"/>
        <w:rPr>
          <w:rFonts w:ascii="楷体" w:eastAsia="楷体"/>
          <w:b/>
          <w:sz w:val="32"/>
          <w:szCs w:val="32"/>
        </w:rPr>
      </w:pPr>
      <w:r>
        <w:rPr>
          <w:rFonts w:hint="eastAsia" w:ascii="楷体" w:eastAsia="楷体"/>
          <w:b/>
          <w:sz w:val="32"/>
          <w:szCs w:val="32"/>
        </w:rPr>
        <w:t>3、项目的效益性分析</w:t>
      </w:r>
    </w:p>
    <w:p>
      <w:pPr>
        <w:pStyle w:val="17"/>
        <w:spacing w:line="360" w:lineRule="auto"/>
        <w:ind w:firstLine="640" w:firstLineChars="200"/>
        <w:rPr>
          <w:rFonts w:ascii="仿宋" w:eastAsia="仿宋"/>
          <w:sz w:val="32"/>
          <w:szCs w:val="32"/>
        </w:rPr>
      </w:pPr>
      <w:r>
        <w:rPr>
          <w:rFonts w:hint="eastAsia" w:ascii="仿宋" w:eastAsia="仿宋"/>
          <w:sz w:val="32"/>
          <w:szCs w:val="32"/>
        </w:rPr>
        <w:t>（1）项目预期目标完成程度</w:t>
      </w:r>
    </w:p>
    <w:p>
      <w:pPr>
        <w:pStyle w:val="17"/>
        <w:spacing w:line="360" w:lineRule="auto"/>
        <w:ind w:firstLine="640" w:firstLineChars="200"/>
        <w:rPr>
          <w:rFonts w:ascii="仿宋" w:eastAsia="仿宋"/>
          <w:sz w:val="32"/>
          <w:szCs w:val="32"/>
        </w:rPr>
      </w:pPr>
      <w:r>
        <w:rPr>
          <w:rFonts w:hint="eastAsia" w:ascii="仿宋" w:eastAsia="仿宋"/>
          <w:sz w:val="32"/>
          <w:szCs w:val="32"/>
        </w:rPr>
        <w:t>①2021年中央食品监管补助资金：一是开展食品安全年关守护行动。针对辖区内的食品生产企业及食品生产加工小作坊，重点检查企业从原辅料进货验收、生产过程控制、产品出厂检验到储存、运输全过程的食品安全规章制度执行情况，加强流通环节食品质量安全监管，1月13日开展了酒类打假整治，共检查酒类经营主体13户，发现销售假冒知名品牌的酒类经营户3户，查封扣押国窖1573酒2瓶，小糊涂仙酒42瓶，泸州特曲26瓶；切实规范猪肉市场经营行为，继续加强非洲猪瘟防控工作，有效防范食品安全隐患，确保群众放心吃肉，开展打击“白板肉”联合执法行动，猪肉必须持有“两证两章一报告”，“年关守护期间”已开展联合执法5次，出动执法人员123人次，检查农贸市场14家次，猪肉经营户196户次，没收未经检疫检验的猪肉产品700余斤，暂封存于佳惠冻库，待进一步处理。</w:t>
      </w:r>
    </w:p>
    <w:p>
      <w:pPr>
        <w:pStyle w:val="17"/>
        <w:spacing w:line="360" w:lineRule="auto"/>
        <w:ind w:firstLine="640" w:firstLineChars="200"/>
        <w:rPr>
          <w:rFonts w:ascii="仿宋" w:eastAsia="仿宋"/>
          <w:sz w:val="32"/>
          <w:szCs w:val="32"/>
        </w:rPr>
      </w:pPr>
      <w:r>
        <w:rPr>
          <w:rFonts w:hint="eastAsia" w:ascii="仿宋" w:eastAsia="仿宋"/>
          <w:sz w:val="32"/>
          <w:szCs w:val="32"/>
        </w:rPr>
        <w:t>二是开展春季、秋季两次食品安全“护苗”行动。以深入推进党史学习教育“我为群众办实事”实践活动为契机，对怀化四中、太平桥小学、大汉龙城幼儿园、大汉小学等学校食堂及校园周边食品经营户进行食品安全检查。对学校食堂食品安全管理制度落实情况进行检查，重点查看了食品、原料、食品添加剂及食品相关产品落实进货查验、索证索票情况，对采购记录台账、出库登记台账、食品留样及“三防”设施进行仔细检查；对校园周边食品经营户存在的食品存储不规范、超范围经营、索证索票不规范等情况，要求经营者严格落实主体责任，立即整改到位。今年来，共出动执法人员480人次，检查学校（含幼儿园、幼托机构）食堂108家，学校周边食品经营户（含餐饮店）122家，下达责令整改通知书15份、立案查处6起，有效规范校园及周边食品经营秩序，全力保障广大师生吃得安全、放心。</w:t>
      </w:r>
    </w:p>
    <w:p>
      <w:pPr>
        <w:pStyle w:val="17"/>
        <w:spacing w:line="360" w:lineRule="auto"/>
        <w:ind w:firstLine="640" w:firstLineChars="200"/>
        <w:rPr>
          <w:rFonts w:ascii="仿宋" w:eastAsia="仿宋"/>
          <w:sz w:val="32"/>
          <w:szCs w:val="32"/>
        </w:rPr>
      </w:pPr>
      <w:r>
        <w:rPr>
          <w:rFonts w:hint="eastAsia" w:ascii="仿宋" w:eastAsia="仿宋"/>
          <w:sz w:val="32"/>
          <w:szCs w:val="32"/>
        </w:rPr>
        <w:t>三是开展进口冷链食品监管工作。加大对食品生产经营企业、商场超市、餐饮、食品贮存第三方冷库等单位排查力度，摸清冷链食品生产经营主体底数、经营从业人员底数、生产经营销售力底数，</w:t>
      </w:r>
      <w:r>
        <w:rPr>
          <w:rFonts w:hint="eastAsia" w:ascii="仿宋" w:eastAsia="仿宋"/>
          <w:sz w:val="32"/>
          <w:szCs w:val="32"/>
          <w:lang w:eastAsia="zh-CN"/>
        </w:rPr>
        <w:t>建立台账</w:t>
      </w:r>
      <w:r>
        <w:rPr>
          <w:rFonts w:hint="eastAsia" w:ascii="仿宋" w:eastAsia="仿宋"/>
          <w:sz w:val="32"/>
          <w:szCs w:val="32"/>
        </w:rPr>
        <w:t>，分类实施，加强监管，做到进口冷链食品销售“五不得”（没有检验检疫证明、没有核酸检测报告、没有消毒证明、没有追溯信息、没有集中监管仓证明的不得上市销售）；严格做好销售台账登记，做到来可溯源、去可追踪。截至目前，共检查冷链食品经营市场主体超过900户次，出动人员115人次，出动车辆32台次，其中采集冷链食品核酸样品拭子共计1572份，核酸检测结果均为阴性。有效防范冷链食品新冠病毒污染风险。</w:t>
      </w:r>
    </w:p>
    <w:p>
      <w:pPr>
        <w:pStyle w:val="17"/>
        <w:spacing w:line="360" w:lineRule="auto"/>
        <w:ind w:firstLine="640" w:firstLineChars="200"/>
        <w:rPr>
          <w:rFonts w:ascii="仿宋" w:eastAsia="仿宋"/>
          <w:sz w:val="32"/>
          <w:szCs w:val="32"/>
        </w:rPr>
      </w:pPr>
      <w:r>
        <w:rPr>
          <w:rFonts w:hint="eastAsia" w:ascii="仿宋" w:eastAsia="仿宋"/>
          <w:sz w:val="32"/>
          <w:szCs w:val="32"/>
        </w:rPr>
        <w:t>四是强化食品安全科普宣传。6月24日上午9:00，参加了由怀化市市政府主办、鹤城区人民政府承办的2021年全国食品安全宣传周 (怀化 )启动仪式，仪式上鹤城区人民政府副区长尹安伟就鹤城区在食品安全工作方面开展的工作、存在的缺点及下一步计划做了简要致辞，在仪式现场以横幅、展板、发放宣传材料、现场咨询等形式，向过往群众宣传食品安全法律法规、食品安全科普知识，共发放宣传材料2000余份，咨询服务群众700余人次，收到了良好的宣传作用；多次在凉亭坳乡、黄金坳镇设立宣传点，重点向老年人及农村地区人群讲解目前长江禁捕知识、毒蘑菇预防知识、保健食品常见欺诈套路、典型案例和注意事项；介绍消费维权渠道，增强消费者自主防范意识，引导消费者正确认识、理性消费食品。此次活动共出动50人次，摆放宣传展板6块，悬挂宣传横幅10条，发放宣传单4000余份、宣传手册5000余份，向乡镇群众广泛普及了保健食品安全知识。</w:t>
      </w:r>
    </w:p>
    <w:p>
      <w:pPr>
        <w:pStyle w:val="17"/>
        <w:spacing w:line="360" w:lineRule="auto"/>
        <w:ind w:firstLine="640" w:firstLineChars="200"/>
        <w:rPr>
          <w:rFonts w:ascii="仿宋" w:eastAsia="仿宋"/>
          <w:sz w:val="32"/>
          <w:szCs w:val="32"/>
        </w:rPr>
      </w:pPr>
      <w:r>
        <w:rPr>
          <w:rFonts w:hint="eastAsia" w:ascii="仿宋" w:eastAsia="仿宋"/>
          <w:sz w:val="32"/>
          <w:szCs w:val="32"/>
        </w:rPr>
        <w:t>五是强化防控毒蘑菇中毒宣传。组织10个市场监管所执法人员到各大农贸市场、超市等人流密集区域张贴宣传海报，分发宣传单页，详细介绍毒蘑菇的特征、危害以及急救方法等，告诫广大人民群众不采、不买、不吃野生蘑菇。同时，结合“护苗行动”对学校食堂进行全面检查，发动学校对学生开展毒蘑菇安全教育。共张贴宣传海报1000余份，发放宣传单800余张。进一步提升广大人民群众食品风险防范和健康饮食意识，严防误食毒蘑菇中毒事故。</w:t>
      </w:r>
    </w:p>
    <w:p>
      <w:pPr>
        <w:pStyle w:val="17"/>
        <w:spacing w:line="360" w:lineRule="auto"/>
        <w:ind w:firstLine="640" w:firstLineChars="200"/>
        <w:rPr>
          <w:rFonts w:ascii="仿宋" w:eastAsia="仿宋"/>
          <w:sz w:val="32"/>
          <w:szCs w:val="32"/>
        </w:rPr>
      </w:pPr>
      <w:r>
        <w:rPr>
          <w:rFonts w:hint="eastAsia" w:ascii="仿宋" w:eastAsia="仿宋"/>
          <w:sz w:val="32"/>
          <w:szCs w:val="32"/>
        </w:rPr>
        <w:t>六是开展食品安全“护老行动”工作。排查食品保健食品生产经营企业，落实企业主体责任。我局从全面落实“四个最严”的高度出发，对辖区内食品保健食品生产经营企业进行全面监督检查。截至2021年8月底，共开展执法行动34次，出动执法人员98人次，具体检查情况如下：1.辖区保健食品经营单位数量147 家；2.检查保健食品经营单位221家次；3.会议营销单位整治工作开展42家次;4.开展科普宣传4次，发放宣传资料2400份；5.开展监管人员培训16人次，培训食品安全管理人员327人次；6.查处6户存在问题的保健食品经营户，下达了6份行政处罚决定书。</w:t>
      </w:r>
    </w:p>
    <w:p>
      <w:pPr>
        <w:pStyle w:val="17"/>
        <w:spacing w:line="360" w:lineRule="auto"/>
        <w:ind w:firstLine="640" w:firstLineChars="200"/>
        <w:rPr>
          <w:rFonts w:ascii="仿宋" w:eastAsia="仿宋"/>
          <w:sz w:val="32"/>
          <w:szCs w:val="32"/>
        </w:rPr>
      </w:pPr>
      <w:r>
        <w:rPr>
          <w:rFonts w:hint="eastAsia" w:ascii="仿宋" w:eastAsia="仿宋"/>
          <w:sz w:val="32"/>
          <w:szCs w:val="32"/>
        </w:rPr>
        <w:t>②2021年中央药品监管补助资金（药械化不良反应监测）：我局对辖区内药械零售企业和使用单位上报的药品不良反应、医疗器械不良事件、化妆品不良反应报告进行评价，纠正信息不全、有明显无关联的错误报告，</w:t>
      </w:r>
      <w:r>
        <w:rPr>
          <w:rFonts w:hint="eastAsia" w:ascii="仿宋_GB2312" w:hAnsi="仿宋_GB2312" w:eastAsia="仿宋_GB2312" w:cs="仿宋_GB2312"/>
          <w:kern w:val="0"/>
          <w:sz w:val="32"/>
          <w:szCs w:val="32"/>
        </w:rPr>
        <w:t>截止2021年底，药品不良反应报告数量80份，医疗器械不良事件报告数量40份，化妆品不良反应报告数量28份，</w:t>
      </w:r>
      <w:r>
        <w:rPr>
          <w:rFonts w:hint="eastAsia" w:ascii="仿宋" w:eastAsia="仿宋"/>
          <w:sz w:val="32"/>
          <w:szCs w:val="32"/>
        </w:rPr>
        <w:t>我局将进一步加大力度，督促企业、使用单位按要求上报药械化不良反应报告。</w:t>
      </w:r>
    </w:p>
    <w:p>
      <w:pPr>
        <w:pStyle w:val="17"/>
        <w:spacing w:line="360" w:lineRule="auto"/>
        <w:ind w:firstLine="640" w:firstLineChars="200"/>
        <w:rPr>
          <w:rFonts w:ascii="仿宋" w:eastAsia="仿宋"/>
          <w:sz w:val="32"/>
          <w:szCs w:val="32"/>
        </w:rPr>
      </w:pPr>
      <w:r>
        <w:rPr>
          <w:rFonts w:hint="eastAsia" w:ascii="仿宋" w:eastAsia="仿宋"/>
          <w:sz w:val="32"/>
          <w:szCs w:val="32"/>
        </w:rPr>
        <w:t>③2019年商事制度改革奖励资金：深入商事登记制度改革，落实注册资本认缴制、先证后照、多证合一、简易注销、名称自主申报、全程电子化登记，提高审批效率，优化营商环境，提升企业注销便利化程度，全年新增市场主体6970户，办理全程电子化登记业务2522件、电子化登记受理时间在1个工作日内，简易注销企业数量296家。</w:t>
      </w:r>
    </w:p>
    <w:p>
      <w:pPr>
        <w:adjustRightInd w:val="0"/>
        <w:snapToGrid w:val="0"/>
        <w:spacing w:line="560" w:lineRule="exact"/>
        <w:ind w:firstLine="640" w:firstLineChars="200"/>
        <w:rPr>
          <w:rFonts w:ascii="仿宋" w:eastAsia="仿宋"/>
          <w:sz w:val="32"/>
          <w:szCs w:val="32"/>
        </w:rPr>
      </w:pPr>
      <w:r>
        <w:rPr>
          <w:rFonts w:hint="eastAsia" w:ascii="仿宋" w:eastAsia="仿宋"/>
          <w:sz w:val="32"/>
          <w:szCs w:val="32"/>
        </w:rPr>
        <w:t>④省级市场监管专项资金：开展市场主体年报公示工作。为加大年报宣传，先后在怀化市鹤城区政府网站发布2020年度市场主体年报公告。同时，由市局统一通过第三方平台分期分类精准定向为未年报企业、农民专业合作社发送年报短信提醒服务2.2万条，电话通知市场主体1万余次；印制年报宣传册、宣传海报，在各政务窗口进行发放宣传资料5000余份；在城区主要路口的电子显示屏及各主要路口的公交站台广告位全天滚动播放年报提醒信息1000余次。2021年，在城区内各主要街道路口的电子LED广告显示屏及各主要路口的公交站台广告位发布了关于怀化市鹤城区“双随机、一公开”抽查监管工作的宣传广告，邮寄“双随机、一公开”被抽查企业告知书500余份，送达至各被抽查企业登记住所，对被抽查企业起到了良好的警示作用。强化培训指导。一是组织开展本级“双随机、一公开”监管工作，制定了《怀化市鹤城区市场监督管理局2021年度“双随机、一公开”监管检查抽查工作计划》《怀化市鹤城区市场监督管理局信用监管2021年度“双随机、一公开”抽查方案》。二是牵头开展区级部门联合“双随机、一公开”监管工作，组织召开部门联合“双随机、一公开”监管工作部署会、平台培训会、联席会议成员单位协调部署会、工作推进会，全面规范和指导随机抽查事项，进一步明确随机抽查各部门的职责边界、抽查事项、抽查职责等问题。制定了《怀化市鹤城区全面推行市场监管领域“双随机、一公开”监管工作方案》《2021年度怀化市鹤城区市场监管领域区级部门联合“双随机、一公开”监管抽查工作计划》《怀化市鹤城区全面推行市场监管领域“双随机、一公开”工作联席会议办公室议事规则》《2021年怀化市鹤城区全面推行市场监管领域“双随机、一公开”监管工作考核方案》《2021年怀化市鹤城区市场监管领域“双随机、一公开”监管推进情况督查方案》，进一步完善部门联合“双随机、一公开”机制。深入开展“双随机、一公开”监管工作。今年以来，我局制定或接收的“双随机、一公开”抽查任务数11项，应检查对象855户，已检查并公示对象855户，公示率100%。全区部门联合“双随机、一公开”成员单位共制定或接收抽查任务40项，完成40项，对995户检查对象开展检查，并将检查结果进行录入和公示，公示率达100%。加大市场主体清理整治。2021年，我局指导企业完成信用修复1起；列入经营异常名录企业184户，移出经营异常名录企业72户；标记经营异常状态7157户，恢复正常记载状态个体工商户225户；协助人民法院限制被执行人14起，协助人民法院信用预警1起；协助怀化市公安局鹤城分局限制被执行人1起；协助人民检察院信用预警2起。强化督查指导。对各股（室）、队、所落实信用监管工作情况采取实地检查、随机抽查的方式进行专项督查指导。</w:t>
      </w:r>
      <w:r>
        <w:rPr>
          <w:rFonts w:hint="eastAsia" w:ascii="仿宋" w:hAnsi="仿宋" w:eastAsia="仿宋" w:cs="仿宋"/>
          <w:sz w:val="32"/>
          <w:szCs w:val="32"/>
        </w:rPr>
        <w:t>加强合同检查，</w:t>
      </w:r>
      <w:r>
        <w:rPr>
          <w:rFonts w:hint="eastAsia" w:ascii="仿宋" w:hAnsi="Times New Roman" w:eastAsia="仿宋" w:cs="Times New Roman"/>
          <w:sz w:val="32"/>
          <w:szCs w:val="32"/>
        </w:rPr>
        <w:t>组织开展合同格式条款专项整治行动2次。</w:t>
      </w:r>
      <w:r>
        <w:rPr>
          <w:rFonts w:hint="eastAsia" w:ascii="仿宋" w:hAnsi="仿宋" w:eastAsia="仿宋" w:cs="仿宋_GB2312"/>
          <w:kern w:val="0"/>
          <w:sz w:val="32"/>
          <w:szCs w:val="32"/>
          <w:shd w:val="clear" w:color="auto" w:fill="FFFFFF"/>
        </w:rPr>
        <w:t>制定《2021年网络市场监管专项行动（网剑行动）方案》，</w:t>
      </w:r>
      <w:r>
        <w:rPr>
          <w:rFonts w:hint="eastAsia" w:ascii="仿宋" w:hAnsi="Times New Roman" w:eastAsia="仿宋" w:cs="Times New Roman"/>
          <w:sz w:val="32"/>
          <w:szCs w:val="32"/>
        </w:rPr>
        <w:t>开展网络市场监管专项行动1次，</w:t>
      </w:r>
      <w:r>
        <w:rPr>
          <w:rFonts w:hint="eastAsia" w:ascii="仿宋" w:hAnsi="仿宋" w:eastAsia="仿宋" w:cs="仿宋_GB2312"/>
          <w:kern w:val="0"/>
          <w:sz w:val="32"/>
          <w:szCs w:val="32"/>
          <w:shd w:val="clear" w:color="auto" w:fill="FFFFFF"/>
        </w:rPr>
        <w:t>立案3起，罚没合计5万元。先后办理了省信访局转来网络投诉1件、区网信办转来网络消费投诉1件</w:t>
      </w:r>
      <w:r>
        <w:rPr>
          <w:rFonts w:hint="eastAsia" w:ascii="仿宋" w:hAnsi="Times New Roman" w:eastAsia="仿宋" w:cs="Times New Roman"/>
          <w:sz w:val="32"/>
          <w:szCs w:val="32"/>
        </w:rPr>
        <w:t>。开展网络交易普法宣传1次。实地走访该项目网络经营户11户。</w:t>
      </w:r>
      <w:r>
        <w:rPr>
          <w:rFonts w:hint="eastAsia" w:ascii="仿宋" w:hAnsi="仿宋" w:eastAsia="仿宋" w:cs="Times New Roman"/>
          <w:sz w:val="32"/>
          <w:szCs w:val="32"/>
        </w:rPr>
        <w:t>截止2021年12月31日共受理涉及网络消费申投诉案件348起，12315申诉、举报办结率达到了100%，在线率100%。</w:t>
      </w:r>
      <w:r>
        <w:rPr>
          <w:rFonts w:hint="eastAsia" w:ascii="仿宋_GB2312" w:hAnsi="仿宋_GB2312" w:eastAsia="仿宋_GB2312" w:cs="仿宋_GB2312"/>
          <w:sz w:val="32"/>
          <w:szCs w:val="32"/>
        </w:rPr>
        <w:t>截止2021年年底，共开展了对</w:t>
      </w:r>
      <w:r>
        <w:rPr>
          <w:rFonts w:hint="eastAsia" w:ascii="仿宋_GB2312" w:hAnsi="仿宋_GB2312" w:eastAsia="仿宋_GB2312" w:cs="仿宋_GB2312"/>
          <w:kern w:val="0"/>
          <w:sz w:val="32"/>
          <w:szCs w:val="32"/>
        </w:rPr>
        <w:t>违法违规商业营销宣传集中整治、“护苗助老”、</w:t>
      </w:r>
      <w:r>
        <w:rPr>
          <w:rFonts w:hint="eastAsia" w:ascii="仿宋_GB2312" w:hAnsi="仿宋_GB2312" w:eastAsia="仿宋_GB2312" w:cs="仿宋_GB2312"/>
          <w:sz w:val="32"/>
          <w:szCs w:val="32"/>
        </w:rPr>
        <w:t>恒大集团“0元购”相关广告进行排查，开展助力2021年高考考试环境综合整治、</w:t>
      </w:r>
      <w:r>
        <w:rPr>
          <w:rFonts w:hint="eastAsia" w:ascii="仿宋_GB2312" w:hAnsi="仿宋_GB2312" w:eastAsia="仿宋_GB2312" w:cs="仿宋_GB2312"/>
          <w:kern w:val="0"/>
          <w:sz w:val="32"/>
          <w:szCs w:val="32"/>
        </w:rPr>
        <w:t>清理整治知名医院被冒牌问题、农村户外广告、校外培训机构广告整治、高等学历继续教育广告发布管理及公务员考试培训广告监管、高价月饼市场监管、建立健全广告业务承接登记审核档案管理制度、儿童青少年近视防控产品违法违规商业营销宣传专项整治、开</w:t>
      </w:r>
      <w:r>
        <w:rPr>
          <w:rFonts w:hint="eastAsia" w:ascii="仿宋_GB2312" w:hAnsi="仿宋_GB2312" w:eastAsia="仿宋_GB2312" w:cs="仿宋_GB2312"/>
          <w:sz w:val="32"/>
          <w:szCs w:val="32"/>
        </w:rPr>
        <w:t>展“蟹卡”等时令商品专项整治</w:t>
      </w:r>
      <w:r>
        <w:rPr>
          <w:rFonts w:hint="eastAsia" w:ascii="仿宋_GB2312" w:hAnsi="仿宋_GB2312" w:eastAsia="仿宋_GB2312" w:cs="仿宋_GB2312"/>
          <w:kern w:val="0"/>
          <w:sz w:val="32"/>
          <w:szCs w:val="32"/>
        </w:rPr>
        <w:t>共计</w:t>
      </w:r>
      <w:r>
        <w:rPr>
          <w:rFonts w:hint="eastAsia" w:ascii="仿宋_GB2312" w:hAnsi="仿宋_GB2312" w:eastAsia="仿宋_GB2312" w:cs="仿宋_GB2312"/>
          <w:sz w:val="32"/>
          <w:szCs w:val="32"/>
        </w:rPr>
        <w:t>12项专项或临时性广告整治行动。</w:t>
      </w:r>
      <w:r>
        <w:rPr>
          <w:rFonts w:hint="eastAsia" w:ascii="仿宋_GB2312" w:hAnsi="Times New Roman" w:eastAsia="仿宋_GB2312" w:cs="Times New Roman"/>
          <w:sz w:val="32"/>
          <w:szCs w:val="32"/>
        </w:rPr>
        <w:t>其中</w:t>
      </w:r>
      <w:r>
        <w:rPr>
          <w:rFonts w:hint="eastAsia" w:ascii="仿宋_GB2312" w:hAnsi="仿宋_GB2312" w:eastAsia="仿宋_GB2312" w:cs="仿宋_GB2312"/>
          <w:sz w:val="32"/>
          <w:szCs w:val="32"/>
        </w:rPr>
        <w:t>违法违规商业营销宣传集中整治行动期间，户外广告平台共监测各类广告7085</w:t>
      </w:r>
      <w:r>
        <w:rPr>
          <w:rFonts w:hint="eastAsia" w:cs="仿宋_GB2312"/>
          <w:sz w:val="32"/>
          <w:szCs w:val="32"/>
        </w:rPr>
        <w:t>余</w:t>
      </w:r>
      <w:r>
        <w:rPr>
          <w:rFonts w:hint="eastAsia" w:ascii="仿宋_GB2312" w:hAnsi="仿宋_GB2312" w:eastAsia="仿宋_GB2312" w:cs="仿宋_GB2312"/>
          <w:sz w:val="32"/>
          <w:szCs w:val="32"/>
        </w:rPr>
        <w:t>条次，未监测到借庆祝建党100周年名义从事商业炒作牟利等涉嫌违法违规营销宣传类广告。</w:t>
      </w:r>
      <w:r>
        <w:rPr>
          <w:rFonts w:hint="eastAsia" w:ascii="仿宋_GB2312" w:hAnsi="Times New Roman" w:eastAsia="仿宋_GB2312" w:cs="宋体"/>
          <w:kern w:val="0"/>
          <w:sz w:val="32"/>
          <w:szCs w:val="32"/>
        </w:rPr>
        <w:t xml:space="preserve">该次整治行动我局共出动执法人员1880余人次，共出动执法车辆510余车次，对一起在T恤上印制建党100周年标识并进行营销宣传行为立案查处，处0.8万元罚款。其中自4月至11月，以 </w:t>
      </w:r>
      <w:r>
        <w:rPr>
          <w:rFonts w:hint="eastAsia" w:ascii="仿宋_GB2312" w:hAnsi="Times New Roman" w:eastAsia="仿宋_GB2312" w:cs="宋体"/>
          <w:kern w:val="0"/>
          <w:sz w:val="32"/>
          <w:szCs w:val="32"/>
          <w:lang w:val="zh-CN"/>
        </w:rPr>
        <w:t>“护苗</w:t>
      </w:r>
      <w:r>
        <w:rPr>
          <w:rFonts w:hint="eastAsia" w:ascii="仿宋_GB2312" w:hAnsi="Times New Roman" w:eastAsia="仿宋_GB2312" w:cs="宋体"/>
          <w:kern w:val="0"/>
          <w:sz w:val="32"/>
          <w:szCs w:val="32"/>
        </w:rPr>
        <w:t>助老”为主题的医疗、药品、保健食品虚假违法广告整治行动及教育培训类广告清理整治行动，我局共出动840余人次，出动执法车辆180余车次，在广告监测中，“守护夕阳红”相关广告条次1169条次，监测“呵护青少年健康成长”相关广告条次81条次。在整个行动过程中，我局未办理有关医疗、药品、保健食品虚假违法广告案件，办理2起教育培训广告立案查处，罚没2.44万元。</w:t>
      </w:r>
      <w:r>
        <w:rPr>
          <w:rFonts w:hint="eastAsia" w:ascii="仿宋_GB2312" w:hAnsi="仿宋_GB2312" w:eastAsia="仿宋_GB2312" w:cs="仿宋_GB2312"/>
          <w:sz w:val="32"/>
          <w:szCs w:val="32"/>
        </w:rPr>
        <w:t>加大鹤城区广告审查力度，审查范围覆盖了整个辖区，共完成对全区户外广告监测条次9835条。</w:t>
      </w:r>
      <w:r>
        <w:rPr>
          <w:rFonts w:hint="eastAsia" w:ascii="仿宋" w:hAnsi="Times New Roman" w:eastAsia="仿宋" w:cs="Times New Roman"/>
          <w:sz w:val="32"/>
          <w:szCs w:val="32"/>
        </w:rPr>
        <w:t>截止2021年年底，我局质量执法案件查处完成数量55起，完成年初指标值110%，区局质量执法案件处置率100%，</w:t>
      </w:r>
      <w:r>
        <w:rPr>
          <w:rFonts w:hint="eastAsia" w:ascii="仿宋" w:hAnsi="仿宋" w:eastAsia="仿宋"/>
          <w:sz w:val="32"/>
          <w:szCs w:val="32"/>
        </w:rPr>
        <w:t>个案办结时间从立案之日起计算均小于90天</w:t>
      </w:r>
      <w:r>
        <w:rPr>
          <w:rFonts w:hint="eastAsia" w:ascii="仿宋" w:hAnsi="Times New Roman" w:eastAsia="仿宋" w:cs="Times New Roman"/>
          <w:sz w:val="32"/>
          <w:szCs w:val="32"/>
        </w:rPr>
        <w:t>。加强农资及重点商品质量监督，配合省、市局抽查肥料样品8个，共办结化肥不合格案件1起，罚没1万元。对辖区涉嫌销售不合格的钢材经营户立案1件，结案1件，罚没1.3万元。对辖区涉嫌销售国家明令淘汰并禁止销售的非道路移动机械经营户立案3起，罚没6万元。开展了“质量月”宣传活动，营造人人关注质量、牢固树立“质量第一”意识的市场环境。根据《鹤城区开展创建无传销社区、乡镇活动方案》、《2021年鹤城区打击传销宣传活动方案》共开展打击传销宣传活动两次，</w:t>
      </w:r>
      <w:r>
        <w:rPr>
          <w:rFonts w:hint="eastAsia" w:ascii="仿宋" w:hAnsi="仿宋" w:eastAsia="仿宋" w:cs="Times New Roman"/>
          <w:sz w:val="32"/>
          <w:szCs w:val="32"/>
        </w:rPr>
        <w:t>根据《鹤城区2021年打击传销专项整治行动实施方案》要求</w:t>
      </w:r>
      <w:r>
        <w:rPr>
          <w:rFonts w:hint="eastAsia" w:ascii="仿宋" w:hAnsi="Times New Roman" w:eastAsia="仿宋" w:cs="Times New Roman"/>
          <w:sz w:val="32"/>
          <w:szCs w:val="32"/>
        </w:rPr>
        <w:t>开展集中打击传销专项行动一次，开展专项行动以来，我局共出动执法人员200余次，执法车辆50台次，共捣毁传销窝点3个，遣散传销人员27人，解救被骗入传销窝点人员3人。移送公安部门案件1起，核查处理举报投诉12起，</w:t>
      </w:r>
      <w:r>
        <w:rPr>
          <w:rFonts w:hint="eastAsia" w:ascii="仿宋" w:hAnsi="仿宋" w:eastAsia="仿宋"/>
          <w:sz w:val="32"/>
          <w:szCs w:val="32"/>
        </w:rPr>
        <w:t>区市场监管局、区公安分局积极配合，通力合作，</w:t>
      </w:r>
      <w:r>
        <w:rPr>
          <w:rFonts w:hint="eastAsia" w:ascii="仿宋" w:hAnsi="Times New Roman" w:eastAsia="仿宋" w:cs="Times New Roman"/>
          <w:sz w:val="32"/>
          <w:szCs w:val="32"/>
        </w:rPr>
        <w:t>查办案件1起。2021年，</w:t>
      </w:r>
      <w:r>
        <w:rPr>
          <w:rFonts w:hint="eastAsia" w:ascii="仿宋" w:hAnsi="仿宋" w:eastAsia="仿宋"/>
          <w:sz w:val="32"/>
          <w:szCs w:val="32"/>
        </w:rPr>
        <w:t>我局结合省局对产商品质量抽查与风险监测相关工作要求及本辖区实际情况，有条不紊、按时有序地开展了产商品质量抽查</w:t>
      </w:r>
      <w:r>
        <w:rPr>
          <w:rFonts w:hint="eastAsia" w:ascii="仿宋" w:hAnsi="Times New Roman" w:eastAsia="仿宋" w:cs="Times New Roman"/>
          <w:sz w:val="32"/>
          <w:szCs w:val="32"/>
        </w:rPr>
        <w:t>，对辖区内9大类共43批次产商品进行了质量抽检。召开了2021年鹤城区非公综合党委工作会议、2021年鹤城区非公综合党委指导员培训会议2次会议。联合湖南辉创医疗设备有限公司联合党支部开展了走访慰问暖人心活动，为贫困群众送去党的温暖和真诚的祝福，积极践行了“我为群众办实事”的承诺，通过鹤城区人民政府网站发表。直属23个党支部，22个“五化建设”达标，达标率95.6%。切实加强对派驻非公有制企业党建工作指导员的管理，按照中共怀化市鹤城区委组织部《关于印发&lt;怀化市鹤城区非公有制经济组织和社会组织党建工作指导员选派管理办法（试行）&gt;的通知》（鹤组发〔2020〕4号）文件精神，所派指导员每月按要求到非公企业党支部开展指导工作，覆盖面100%。2021年，我局认真履行部门职责，强化消费维权工作，及时受理、处理消费者投诉、举报。2021年度我局共受理消费者投诉、举报3416起，均按照市场监督管理投诉举报处理暂行办法自我局收到投诉之日起七个工作日内作出受理或者不予受理的决定，截止2021年底消费投诉处理率达到100%。</w:t>
      </w:r>
    </w:p>
    <w:p>
      <w:pPr>
        <w:pStyle w:val="17"/>
        <w:spacing w:line="360" w:lineRule="auto"/>
        <w:ind w:firstLine="640" w:firstLineChars="200"/>
        <w:rPr>
          <w:rFonts w:ascii="仿宋" w:eastAsia="仿宋"/>
          <w:sz w:val="32"/>
          <w:szCs w:val="32"/>
        </w:rPr>
      </w:pPr>
      <w:r>
        <w:rPr>
          <w:rFonts w:hint="eastAsia" w:ascii="仿宋" w:eastAsia="仿宋"/>
          <w:sz w:val="32"/>
          <w:szCs w:val="32"/>
        </w:rPr>
        <w:t>⑤省级市场监督管理专项补助资金：完善了10个基层市场监管所的办公条件、标志标识，建立起规范化标准化的市场监管所；鼓励和支持业务骨干参与学习，加强基层执法人员职业素养及业务能力；做好基层网络维护和建设工作，完善市场监管业务专网。</w:t>
      </w:r>
    </w:p>
    <w:p>
      <w:pPr>
        <w:pStyle w:val="17"/>
        <w:spacing w:line="360" w:lineRule="auto"/>
        <w:ind w:firstLine="640" w:firstLineChars="200"/>
        <w:rPr>
          <w:rFonts w:ascii="仿宋" w:eastAsia="仿宋"/>
          <w:sz w:val="32"/>
          <w:szCs w:val="32"/>
        </w:rPr>
      </w:pPr>
      <w:r>
        <w:rPr>
          <w:rFonts w:hint="eastAsia" w:ascii="仿宋" w:eastAsia="仿宋"/>
          <w:sz w:val="32"/>
          <w:szCs w:val="32"/>
        </w:rPr>
        <w:t>⑥市级专项资金：合理规划机构改革后原食药所和原工商所合并组建的10个市场监管所的办公地址，房屋改造工作已完成，市场监管所改善完成率100%，并对过程中鉴定为危房的房屋进行了搬离工作；完善了基层市场监管所的办公条件，投入业务学习资金，支持建立规范化标准化的市场监管所，加强执法能力建设；完成21批商品质量抽检计划，不合格产品处置率100%，震慑潜在的不法商贩，持续促进本区产品质量安全水平趋势向上。</w:t>
      </w:r>
    </w:p>
    <w:p>
      <w:pPr>
        <w:pStyle w:val="17"/>
        <w:spacing w:line="360" w:lineRule="auto"/>
        <w:ind w:firstLine="640" w:firstLineChars="200"/>
        <w:rPr>
          <w:rFonts w:ascii="仿宋" w:eastAsia="仿宋"/>
          <w:sz w:val="32"/>
          <w:szCs w:val="32"/>
        </w:rPr>
      </w:pPr>
      <w:r>
        <w:rPr>
          <w:rFonts w:hint="eastAsia" w:ascii="仿宋" w:eastAsia="仿宋"/>
          <w:sz w:val="32"/>
          <w:szCs w:val="32"/>
        </w:rPr>
        <w:t>⑦区级专项资金：</w:t>
      </w:r>
      <w:r>
        <w:rPr>
          <w:rFonts w:hint="eastAsia" w:ascii="仿宋" w:hAnsi="Times New Roman" w:eastAsia="仿宋"/>
          <w:sz w:val="32"/>
          <w:szCs w:val="32"/>
        </w:rPr>
        <w:t>2021年度我局共受理消费者投诉、举报3416起，均按照市场监督管理投诉举报处理暂行办法自我局收到投诉之日起七个工作日内作出受理或者不予受理的决定，截止2021年底消费投诉处理率达到100%</w:t>
      </w:r>
      <w:r>
        <w:rPr>
          <w:rFonts w:hint="eastAsia" w:ascii="仿宋" w:eastAsia="仿宋"/>
          <w:sz w:val="32"/>
          <w:szCs w:val="32"/>
        </w:rPr>
        <w:t>；开展3.15消费者权益日宣传活动；2021年</w:t>
      </w:r>
      <w:r>
        <w:rPr>
          <w:rFonts w:hint="eastAsia" w:ascii="仿宋" w:hAnsi="仿宋" w:eastAsia="仿宋" w:cs="仿宋"/>
          <w:sz w:val="32"/>
          <w:szCs w:val="32"/>
        </w:rPr>
        <w:t>办理注册登记全程电子化业务</w:t>
      </w:r>
      <w:r>
        <w:rPr>
          <w:rFonts w:hint="eastAsia" w:ascii="仿宋" w:eastAsia="仿宋"/>
          <w:sz w:val="32"/>
          <w:szCs w:val="32"/>
        </w:rPr>
        <w:t>2522</w:t>
      </w:r>
      <w:r>
        <w:rPr>
          <w:rFonts w:hint="eastAsia" w:ascii="仿宋" w:hAnsi="仿宋" w:eastAsia="仿宋" w:cs="仿宋"/>
          <w:sz w:val="32"/>
          <w:szCs w:val="32"/>
        </w:rPr>
        <w:t>户，简易注销登记</w:t>
      </w:r>
      <w:r>
        <w:rPr>
          <w:rFonts w:hint="eastAsia" w:ascii="仿宋" w:eastAsia="仿宋"/>
          <w:sz w:val="32"/>
          <w:szCs w:val="32"/>
        </w:rPr>
        <w:t>296</w:t>
      </w:r>
      <w:r>
        <w:rPr>
          <w:rFonts w:hint="eastAsia" w:ascii="仿宋" w:hAnsi="仿宋" w:eastAsia="仿宋" w:cs="仿宋"/>
          <w:sz w:val="32"/>
          <w:szCs w:val="32"/>
        </w:rPr>
        <w:t>户，跨省通办业务1件、跨域通办业务65件、全区通办业务1120件</w:t>
      </w:r>
      <w:r>
        <w:rPr>
          <w:rFonts w:hint="eastAsia" w:ascii="仿宋" w:eastAsia="仿宋"/>
          <w:sz w:val="32"/>
          <w:szCs w:val="32"/>
        </w:rPr>
        <w:t>；</w:t>
      </w:r>
      <w:r>
        <w:rPr>
          <w:rFonts w:hint="eastAsia" w:ascii="仿宋" w:hAnsi="仿宋" w:eastAsia="仿宋" w:cs="仿宋"/>
          <w:sz w:val="32"/>
          <w:szCs w:val="32"/>
        </w:rPr>
        <w:t>为切实规范猪肉市场经营行为，确保群众放心吃肉，区局在辖区深入开展打击“白板肉”联合执法行动，</w:t>
      </w:r>
      <w:r>
        <w:rPr>
          <w:rFonts w:hint="eastAsia" w:ascii="仿宋" w:eastAsia="仿宋"/>
          <w:sz w:val="32"/>
          <w:szCs w:val="32"/>
        </w:rPr>
        <w:t>猪肉必须持有“两证两章一报告”，“年关守护期间”已开展联合执法5次，出动执法人员123人次，检查农贸市场14家次，猪肉经营户196户次，没收未经检疫检验的猪肉产品700余斤，暂封存于佳惠冻库，待进一步处理；完成2021年抽检计划23批次；根据《怀化市2021年食品安全工作评议考核方案》完成食品安全省抽计划1340批次；按照国家药监局的部署安排，完成2021年疫苗国家监管体系职能评估准备工作；开展了安全生产领域“打非治违”三年行动、怀化市鹤城区市场监管领域安全生产专项整治三年行动；开展禁毒宣传教育工作，统筹群众力量有效遏制毒品滋生蔓延势头，确保本辖区毒情形势总体稳定中向好发展；完成2020年1月25日至8月7日新冠疫情防控消毒工作费用支付。</w:t>
      </w:r>
    </w:p>
    <w:p>
      <w:pPr>
        <w:pStyle w:val="17"/>
        <w:spacing w:line="360" w:lineRule="auto"/>
        <w:ind w:firstLine="640" w:firstLineChars="200"/>
        <w:rPr>
          <w:rFonts w:ascii="仿宋" w:eastAsia="仿宋"/>
          <w:sz w:val="32"/>
          <w:szCs w:val="32"/>
        </w:rPr>
      </w:pPr>
      <w:r>
        <w:rPr>
          <w:rFonts w:hint="eastAsia" w:ascii="仿宋" w:eastAsia="仿宋"/>
          <w:sz w:val="32"/>
          <w:szCs w:val="32"/>
        </w:rPr>
        <w:t>⑧非税执收成本：弥补公用经费和业务工作经费的不足，保持执法稽查高压态势，提高执法稽查的公信力和震慑力；加强市场监管综合执法，优化市场营商环境。全年本局共计办理案件数量272起，上缴罚没收入369.15万元。</w:t>
      </w:r>
    </w:p>
    <w:p>
      <w:pPr>
        <w:pStyle w:val="17"/>
        <w:spacing w:line="360" w:lineRule="auto"/>
        <w:ind w:firstLine="640" w:firstLineChars="200"/>
        <w:rPr>
          <w:rFonts w:ascii="仿宋" w:eastAsia="仿宋"/>
          <w:sz w:val="32"/>
          <w:szCs w:val="32"/>
        </w:rPr>
      </w:pPr>
      <w:r>
        <w:rPr>
          <w:rFonts w:hint="eastAsia" w:ascii="仿宋" w:eastAsia="仿宋"/>
          <w:sz w:val="32"/>
          <w:szCs w:val="32"/>
        </w:rPr>
        <w:t>（2）项目实施对经济和社会的影响</w:t>
      </w:r>
    </w:p>
    <w:p>
      <w:pPr>
        <w:pStyle w:val="17"/>
        <w:spacing w:line="360" w:lineRule="auto"/>
        <w:rPr>
          <w:rFonts w:ascii="仿宋" w:eastAsia="仿宋"/>
          <w:sz w:val="32"/>
          <w:szCs w:val="32"/>
        </w:rPr>
      </w:pPr>
      <w:r>
        <w:rPr>
          <w:rFonts w:hint="eastAsia" w:ascii="仿宋" w:eastAsia="仿宋"/>
          <w:sz w:val="32"/>
          <w:szCs w:val="32"/>
        </w:rPr>
        <w:t xml:space="preserve">    一是为加强食品管理，保证食品质量，保障公众饮食安全和合法权益，保护和促进公众健康；二是提高人民群众“两品一械”安全科普知识，“两品一械”总体安全水平不断提升；三是提高行政审批效率，优化营商环境，改善市场准入、竞争、消费环境，提升企业注销便利化程度，增强社会公众商事登记制度改革政策了解，提升增长率；四是逐步提高企业自主年报意识，切实减轻企业负担，提高监管效能；以“双随机、一公开”监管为基本手段，以重点监管为补充，以信用监管为基础的市场监管新机制；重点领域不公平合同格式条款现象得到遏制；净化全区网络交易环境，维护网络消费者合法权益；优化广告业营商环境，鹤城区广告行业监管水平；通过大量的宣传和制度建设，提高人民群众对传销的防范意识；通过打击传销长效机制的建立健全，提高民众、企业获得感和满意度；发现产品质量安全问题，化解安全风险，</w:t>
      </w:r>
    </w:p>
    <w:p>
      <w:pPr>
        <w:pStyle w:val="17"/>
        <w:spacing w:line="360" w:lineRule="auto"/>
        <w:rPr>
          <w:rFonts w:ascii="仿宋" w:eastAsia="仿宋"/>
          <w:sz w:val="32"/>
          <w:szCs w:val="32"/>
        </w:rPr>
      </w:pPr>
      <w:r>
        <w:rPr>
          <w:rFonts w:hint="eastAsia" w:ascii="仿宋" w:eastAsia="仿宋"/>
          <w:sz w:val="32"/>
          <w:szCs w:val="32"/>
        </w:rPr>
        <w:t>持续促进本区产品质量安全水平趋势向上；构建和谐的新型劳动关系，促进非公经济党组织高质量发展；营造安全放心的消费环境，提升消费维权业务能力；五是提高办公效率，持续提升基层执法能力，规范基层所标志标识，提升监管文化认知；六是开展非洲猪瘟防控宣传工作，增强群众自主防范意识；杜绝辖区内重大食品安全事故的发生，促进辖区食品行业健康有序发展，保障公众食品安全；有效遏制毒品滋生蔓延势头，确保本辖区毒情形势总体稳定中向好发展；常态化疫情防控，确保老百姓生命安全和一方平安；七是保持执法稽查高压态势，提高执法稽查的公信力和震慑力；加强市场监管综合执法，优化市场营商环境。</w:t>
      </w:r>
    </w:p>
    <w:p>
      <w:pPr>
        <w:pStyle w:val="17"/>
        <w:numPr>
          <w:ilvl w:val="0"/>
          <w:numId w:val="7"/>
        </w:numPr>
        <w:spacing w:line="360" w:lineRule="auto"/>
        <w:ind w:firstLine="640" w:firstLineChars="200"/>
        <w:rPr>
          <w:rFonts w:ascii="楷体" w:eastAsia="楷体"/>
          <w:b/>
          <w:sz w:val="32"/>
          <w:szCs w:val="32"/>
        </w:rPr>
      </w:pPr>
      <w:r>
        <w:rPr>
          <w:rFonts w:hint="eastAsia" w:ascii="楷体" w:eastAsia="楷体"/>
          <w:b/>
          <w:sz w:val="32"/>
          <w:szCs w:val="32"/>
        </w:rPr>
        <w:t>综合评价情况及评价结论（附相关评分表）</w:t>
      </w:r>
    </w:p>
    <w:p>
      <w:pPr>
        <w:pStyle w:val="17"/>
        <w:spacing w:line="360" w:lineRule="auto"/>
        <w:rPr>
          <w:rFonts w:ascii="楷体" w:eastAsia="楷体"/>
          <w:b/>
          <w:sz w:val="32"/>
          <w:szCs w:val="32"/>
        </w:rPr>
      </w:pPr>
      <w:r>
        <w:rPr>
          <w:rFonts w:hint="eastAsia" w:ascii="仿宋" w:eastAsia="仿宋"/>
          <w:sz w:val="32"/>
          <w:szCs w:val="32"/>
        </w:rPr>
        <w:t>我局建立健全了内部控制制度，有完善的专项经费管理制度，并能有效地执行，从而保证了专项资金的专款专用。从以上经费的使用及完成情况来看，各专项经费都已使用完毕并都取得了较好的社会效益，有效地控制了各类疫情的暴发和流行，食品和水质安全也得到了有力保障。自我填报《财政专项资金绩效评价共性指标表》，得分100分。</w:t>
      </w:r>
    </w:p>
    <w:p>
      <w:pPr>
        <w:pStyle w:val="17"/>
        <w:numPr>
          <w:ilvl w:val="0"/>
          <w:numId w:val="7"/>
        </w:numPr>
        <w:spacing w:line="360" w:lineRule="auto"/>
        <w:ind w:firstLine="640" w:firstLineChars="200"/>
        <w:rPr>
          <w:rFonts w:ascii="楷体" w:eastAsia="楷体"/>
          <w:b/>
          <w:sz w:val="32"/>
          <w:szCs w:val="32"/>
        </w:rPr>
      </w:pPr>
      <w:r>
        <w:rPr>
          <w:rFonts w:hint="eastAsia" w:ascii="楷体" w:eastAsia="楷体"/>
          <w:b/>
          <w:sz w:val="32"/>
          <w:szCs w:val="32"/>
        </w:rPr>
        <w:t>绩效评价结果应用建议</w:t>
      </w:r>
    </w:p>
    <w:p>
      <w:pPr>
        <w:pStyle w:val="17"/>
        <w:spacing w:line="360" w:lineRule="auto"/>
        <w:ind w:firstLine="642"/>
        <w:rPr>
          <w:rFonts w:ascii="仿宋" w:eastAsia="仿宋"/>
          <w:sz w:val="32"/>
          <w:szCs w:val="32"/>
        </w:rPr>
      </w:pPr>
      <w:r>
        <w:rPr>
          <w:rFonts w:hint="eastAsia" w:ascii="仿宋" w:eastAsia="仿宋"/>
          <w:sz w:val="32"/>
          <w:szCs w:val="32"/>
        </w:rPr>
        <w:t>各级项目经费的预算安排建议对接项目执行单位的相应股室，有利于单位及时掌握信息，安排工作。</w:t>
      </w:r>
    </w:p>
    <w:p>
      <w:pPr>
        <w:pStyle w:val="17"/>
        <w:spacing w:line="360" w:lineRule="auto"/>
        <w:ind w:firstLine="642"/>
        <w:rPr>
          <w:rFonts w:ascii="楷体" w:eastAsia="楷体"/>
          <w:b/>
          <w:sz w:val="32"/>
          <w:szCs w:val="32"/>
        </w:rPr>
      </w:pPr>
      <w:r>
        <w:rPr>
          <w:rFonts w:hint="eastAsia" w:ascii="仿宋" w:eastAsia="仿宋"/>
          <w:sz w:val="32"/>
          <w:szCs w:val="32"/>
        </w:rPr>
        <w:t>建议评价结果与下一年度预算安排、项目立项和项目责任人年度绩效考核挂钩。对存在失职失责、财政资金闲置、低效无效、损失浪费和截留挪用等行为的资金使用单位及其责任人员，将缩减以后年度的预算额度。</w:t>
      </w:r>
    </w:p>
    <w:p>
      <w:pPr>
        <w:pStyle w:val="17"/>
        <w:numPr>
          <w:ilvl w:val="0"/>
          <w:numId w:val="7"/>
        </w:numPr>
        <w:spacing w:line="360" w:lineRule="auto"/>
        <w:ind w:firstLine="640" w:firstLineChars="200"/>
        <w:rPr>
          <w:rFonts w:ascii="楷体" w:eastAsia="楷体"/>
          <w:b/>
          <w:sz w:val="32"/>
          <w:szCs w:val="32"/>
        </w:rPr>
      </w:pPr>
      <w:r>
        <w:rPr>
          <w:rFonts w:hint="eastAsia" w:ascii="楷体" w:eastAsia="楷体"/>
          <w:b/>
          <w:sz w:val="32"/>
          <w:szCs w:val="32"/>
        </w:rPr>
        <w:t>主要经验及做法、存在的问题和建议</w:t>
      </w:r>
    </w:p>
    <w:p>
      <w:pPr>
        <w:pStyle w:val="17"/>
        <w:spacing w:line="360" w:lineRule="auto"/>
        <w:ind w:firstLine="640" w:firstLineChars="200"/>
        <w:rPr>
          <w:rFonts w:ascii="仿宋" w:eastAsia="仿宋"/>
          <w:sz w:val="32"/>
          <w:szCs w:val="32"/>
        </w:rPr>
      </w:pPr>
      <w:r>
        <w:rPr>
          <w:rFonts w:hint="eastAsia" w:ascii="仿宋" w:eastAsia="仿宋"/>
          <w:sz w:val="32"/>
          <w:szCs w:val="32"/>
        </w:rPr>
        <w:t>一是领导高度重视。专项资金预算下拨后，主要领导和分管领导高度重视，落实责任分工，确保项目顺利进行。</w:t>
      </w:r>
    </w:p>
    <w:p>
      <w:pPr>
        <w:pStyle w:val="17"/>
        <w:spacing w:line="360" w:lineRule="auto"/>
        <w:ind w:firstLine="642"/>
        <w:rPr>
          <w:rFonts w:ascii="楷体" w:eastAsia="楷体"/>
          <w:b/>
          <w:sz w:val="32"/>
          <w:szCs w:val="32"/>
        </w:rPr>
      </w:pPr>
      <w:r>
        <w:rPr>
          <w:rFonts w:hint="eastAsia" w:ascii="仿宋" w:eastAsia="仿宋"/>
          <w:sz w:val="32"/>
          <w:szCs w:val="32"/>
        </w:rPr>
        <w:t>二是管理愈加规范。制定专项资金管理制度，项目资金实行专账管理、专项专管的管理模式，统一资金申请手续，做到了层层审核、层层负责、层层把关。严格实行政府采购制度。</w:t>
      </w:r>
    </w:p>
    <w:p>
      <w:pPr>
        <w:pStyle w:val="17"/>
        <w:numPr>
          <w:ilvl w:val="0"/>
          <w:numId w:val="7"/>
        </w:numPr>
        <w:spacing w:line="360" w:lineRule="auto"/>
        <w:ind w:firstLine="640" w:firstLineChars="200"/>
        <w:rPr>
          <w:rFonts w:ascii="楷体" w:eastAsia="楷体"/>
          <w:b/>
          <w:sz w:val="32"/>
          <w:szCs w:val="32"/>
        </w:rPr>
      </w:pPr>
      <w:r>
        <w:rPr>
          <w:rFonts w:hint="eastAsia" w:ascii="楷体" w:eastAsia="楷体"/>
          <w:b/>
          <w:sz w:val="32"/>
          <w:szCs w:val="32"/>
        </w:rPr>
        <w:t>其他需要说明的问题</w:t>
      </w:r>
    </w:p>
    <w:p>
      <w:pPr>
        <w:pStyle w:val="17"/>
        <w:spacing w:line="360" w:lineRule="auto"/>
        <w:ind w:firstLine="642"/>
        <w:rPr>
          <w:rFonts w:ascii="仿宋" w:eastAsia="仿宋"/>
          <w:sz w:val="32"/>
          <w:szCs w:val="32"/>
        </w:rPr>
      </w:pPr>
      <w:r>
        <w:rPr>
          <w:rFonts w:hint="eastAsia" w:ascii="仿宋" w:eastAsia="仿宋"/>
          <w:sz w:val="32"/>
          <w:szCs w:val="32"/>
        </w:rPr>
        <w:t>无。</w:t>
      </w:r>
    </w:p>
    <w:p>
      <w:pPr>
        <w:rPr>
          <w:rFonts w:ascii="仿宋" w:eastAsia="仿宋" w:cs="Times New Roman"/>
          <w:sz w:val="32"/>
          <w:szCs w:val="32"/>
        </w:rPr>
      </w:pPr>
      <w:r>
        <w:rPr>
          <w:rFonts w:hint="eastAsia" w:ascii="仿宋" w:eastAsia="仿宋" w:cs="Times New Roman"/>
          <w:sz w:val="32"/>
          <w:szCs w:val="32"/>
        </w:rPr>
        <w:br w:type="page"/>
      </w:r>
    </w:p>
    <w:p>
      <w:pPr>
        <w:spacing w:line="560" w:lineRule="exact"/>
        <w:jc w:val="center"/>
        <w:rPr>
          <w:rFonts w:ascii="黑体" w:hAnsi="宋体" w:eastAsia="黑体" w:cs="宋体"/>
          <w:kern w:val="0"/>
          <w:sz w:val="32"/>
          <w:szCs w:val="32"/>
        </w:rPr>
      </w:pPr>
      <w:r>
        <w:rPr>
          <w:rFonts w:hint="eastAsia" w:ascii="黑体" w:hAnsi="宋体" w:eastAsia="黑体" w:cs="宋体"/>
          <w:kern w:val="0"/>
          <w:sz w:val="32"/>
          <w:szCs w:val="32"/>
        </w:rPr>
        <w:t>专项资金绩效目标自评表1</w:t>
      </w:r>
    </w:p>
    <w:tbl>
      <w:tblPr>
        <w:tblStyle w:val="9"/>
        <w:tblW w:w="10060" w:type="dxa"/>
        <w:jc w:val="center"/>
        <w:tblLayout w:type="fixed"/>
        <w:tblCellMar>
          <w:top w:w="0" w:type="dxa"/>
          <w:left w:w="108" w:type="dxa"/>
          <w:bottom w:w="0" w:type="dxa"/>
          <w:right w:w="108" w:type="dxa"/>
        </w:tblCellMar>
      </w:tblPr>
      <w:tblGrid>
        <w:gridCol w:w="769"/>
        <w:gridCol w:w="675"/>
        <w:gridCol w:w="709"/>
        <w:gridCol w:w="1701"/>
        <w:gridCol w:w="1843"/>
        <w:gridCol w:w="1276"/>
        <w:gridCol w:w="1073"/>
        <w:gridCol w:w="31"/>
        <w:gridCol w:w="1983"/>
      </w:tblGrid>
      <w:tr>
        <w:tblPrEx>
          <w:tblCellMar>
            <w:top w:w="0" w:type="dxa"/>
            <w:left w:w="108" w:type="dxa"/>
            <w:bottom w:w="0" w:type="dxa"/>
            <w:right w:w="108" w:type="dxa"/>
          </w:tblCellMar>
        </w:tblPrEx>
        <w:trPr>
          <w:trHeight w:val="98" w:hRule="atLeast"/>
          <w:jc w:val="center"/>
        </w:trPr>
        <w:tc>
          <w:tcPr>
            <w:tcW w:w="10060" w:type="dxa"/>
            <w:gridSpan w:val="9"/>
            <w:tcBorders>
              <w:top w:val="nil"/>
              <w:left w:val="nil"/>
              <w:bottom w:val="single" w:color="auto" w:sz="4" w:space="0"/>
              <w:right w:val="nil"/>
            </w:tcBorders>
            <w:noWrap/>
            <w:vAlign w:val="center"/>
          </w:tcPr>
          <w:p>
            <w:pPr>
              <w:widowControl/>
              <w:jc w:val="center"/>
              <w:rPr>
                <w:rFonts w:ascii="楷体_GB2312" w:hAnsi="宋体" w:eastAsia="楷体_GB2312" w:cs="宋体"/>
                <w:b/>
                <w:bCs/>
                <w:kern w:val="0"/>
                <w:sz w:val="22"/>
              </w:rPr>
            </w:pP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专项资金名称</w:t>
            </w:r>
          </w:p>
        </w:tc>
        <w:tc>
          <w:tcPr>
            <w:tcW w:w="354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2021年中央食品监管补助资金</w:t>
            </w:r>
          </w:p>
        </w:tc>
        <w:tc>
          <w:tcPr>
            <w:tcW w:w="127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负责人</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及电话</w:t>
            </w:r>
          </w:p>
        </w:tc>
        <w:tc>
          <w:tcPr>
            <w:tcW w:w="3087" w:type="dxa"/>
            <w:gridSpan w:val="3"/>
            <w:tcBorders>
              <w:top w:val="single" w:color="auto" w:sz="4" w:space="0"/>
              <w:left w:val="single" w:color="auto" w:sz="4" w:space="0"/>
              <w:bottom w:val="single" w:color="auto" w:sz="4" w:space="0"/>
              <w:right w:val="single" w:color="auto" w:sz="4" w:space="0"/>
            </w:tcBorders>
            <w:noWrap/>
            <w:vAlign w:val="bottom"/>
          </w:tcPr>
          <w:p>
            <w:pPr>
              <w:widowControl/>
              <w:jc w:val="left"/>
              <w:rPr>
                <w:rFonts w:ascii="宋体" w:hAnsi="宋体" w:cs="宋体"/>
                <w:kern w:val="0"/>
                <w:sz w:val="20"/>
                <w:szCs w:val="20"/>
              </w:rPr>
            </w:pPr>
            <w:r>
              <w:rPr>
                <w:rFonts w:hint="eastAsia" w:ascii="宋体" w:hAnsi="宋体" w:cs="宋体"/>
                <w:kern w:val="0"/>
                <w:sz w:val="20"/>
                <w:szCs w:val="20"/>
              </w:rPr>
              <w:t>刘洪</w:t>
            </w:r>
          </w:p>
          <w:p>
            <w:pPr>
              <w:widowControl/>
              <w:jc w:val="left"/>
              <w:rPr>
                <w:rFonts w:ascii="宋体" w:hAnsi="宋体" w:cs="宋体"/>
                <w:kern w:val="0"/>
                <w:szCs w:val="21"/>
              </w:rPr>
            </w:pPr>
            <w:r>
              <w:rPr>
                <w:rFonts w:hint="eastAsia" w:ascii="宋体" w:hAnsi="宋体" w:cs="宋体"/>
                <w:kern w:val="0"/>
                <w:sz w:val="20"/>
                <w:szCs w:val="20"/>
              </w:rPr>
              <w:t>2267007</w:t>
            </w: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nil"/>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市级主管部门</w:t>
            </w:r>
          </w:p>
        </w:tc>
        <w:tc>
          <w:tcPr>
            <w:tcW w:w="7907" w:type="dxa"/>
            <w:gridSpan w:val="6"/>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怀化市市场监督管理局</w:t>
            </w: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地方主管部门</w:t>
            </w:r>
          </w:p>
        </w:tc>
        <w:tc>
          <w:tcPr>
            <w:tcW w:w="354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鹤城区人民政府</w:t>
            </w:r>
          </w:p>
        </w:tc>
        <w:tc>
          <w:tcPr>
            <w:tcW w:w="127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3087"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仿宋_GB2312" w:hAnsi="宋体" w:eastAsia="仿宋_GB2312" w:cs="宋体"/>
                <w:kern w:val="0"/>
                <w:szCs w:val="21"/>
              </w:rPr>
              <w:t>怀化市鹤城区市场监督管理局</w:t>
            </w:r>
          </w:p>
        </w:tc>
      </w:tr>
      <w:tr>
        <w:tblPrEx>
          <w:tblCellMar>
            <w:top w:w="0" w:type="dxa"/>
            <w:left w:w="108" w:type="dxa"/>
            <w:bottom w:w="0" w:type="dxa"/>
            <w:right w:w="108" w:type="dxa"/>
          </w:tblCellMar>
        </w:tblPrEx>
        <w:trPr>
          <w:trHeight w:val="425" w:hRule="atLeast"/>
          <w:jc w:val="center"/>
        </w:trPr>
        <w:tc>
          <w:tcPr>
            <w:tcW w:w="2153" w:type="dxa"/>
            <w:gridSpan w:val="3"/>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项目资金（万元）</w:t>
            </w: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全年预算数（A）</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全年执行数（B）</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执行率（B／A）</w:t>
            </w:r>
          </w:p>
        </w:tc>
      </w:tr>
      <w:tr>
        <w:tblPrEx>
          <w:tblCellMar>
            <w:top w:w="0" w:type="dxa"/>
            <w:left w:w="108" w:type="dxa"/>
            <w:bottom w:w="0" w:type="dxa"/>
            <w:right w:w="108" w:type="dxa"/>
          </w:tblCellMar>
        </w:tblPrEx>
        <w:trPr>
          <w:trHeight w:val="425"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100000</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100000</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r>
      <w:tr>
        <w:tblPrEx>
          <w:tblCellMar>
            <w:top w:w="0" w:type="dxa"/>
            <w:left w:w="108" w:type="dxa"/>
            <w:bottom w:w="0" w:type="dxa"/>
            <w:right w:w="108" w:type="dxa"/>
          </w:tblCellMar>
        </w:tblPrEx>
        <w:trPr>
          <w:trHeight w:val="425"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其中：中央补助</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100000</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100000</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r>
      <w:tr>
        <w:tblPrEx>
          <w:tblCellMar>
            <w:top w:w="0" w:type="dxa"/>
            <w:left w:w="108" w:type="dxa"/>
            <w:bottom w:w="0" w:type="dxa"/>
            <w:right w:w="108" w:type="dxa"/>
          </w:tblCellMar>
        </w:tblPrEx>
        <w:trPr>
          <w:trHeight w:val="440"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ind w:firstLine="420" w:firstLineChars="200"/>
              <w:rPr>
                <w:rFonts w:ascii="仿宋_GB2312" w:hAnsi="宋体" w:eastAsia="仿宋_GB2312" w:cs="宋体"/>
                <w:kern w:val="0"/>
                <w:szCs w:val="21"/>
              </w:rPr>
            </w:pPr>
            <w:r>
              <w:rPr>
                <w:rFonts w:hint="eastAsia" w:ascii="仿宋_GB2312" w:hAnsi="宋体" w:eastAsia="仿宋_GB2312" w:cs="宋体"/>
                <w:kern w:val="0"/>
                <w:szCs w:val="21"/>
              </w:rPr>
              <w:t xml:space="preserve"> 省级资金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02"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xml:space="preserve">    市级资金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02" w:hRule="atLeast"/>
          <w:jc w:val="center"/>
        </w:trPr>
        <w:tc>
          <w:tcPr>
            <w:tcW w:w="2153" w:type="dxa"/>
            <w:gridSpan w:val="3"/>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其他资金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928"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仿宋_GB2312" w:hAnsi="宋体" w:eastAsia="仿宋_GB2312" w:cs="宋体"/>
                <w:kern w:val="0"/>
                <w:szCs w:val="21"/>
              </w:rPr>
              <w:t>年初设定目标</w:t>
            </w:r>
            <w:r>
              <w:rPr>
                <w:rFonts w:hint="eastAsia" w:ascii="宋体" w:hAnsi="宋体" w:cs="宋体"/>
                <w:kern w:val="0"/>
                <w:szCs w:val="21"/>
              </w:rPr>
              <w:t>　</w:t>
            </w:r>
          </w:p>
        </w:tc>
        <w:tc>
          <w:tcPr>
            <w:tcW w:w="4363"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全年实际完成情况</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4928"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食品（餐饮）经营安全监管水平稳步提高</w:t>
            </w:r>
          </w:p>
        </w:tc>
        <w:tc>
          <w:tcPr>
            <w:tcW w:w="4363"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食品（餐饮）经营安全监管水平稳步提高</w:t>
            </w:r>
          </w:p>
        </w:tc>
      </w:tr>
      <w:tr>
        <w:tblPrEx>
          <w:tblCellMar>
            <w:top w:w="0" w:type="dxa"/>
            <w:left w:w="108" w:type="dxa"/>
            <w:bottom w:w="0" w:type="dxa"/>
            <w:right w:w="108" w:type="dxa"/>
          </w:tblCellMar>
        </w:tblPrEx>
        <w:trPr>
          <w:trHeight w:val="425"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绩  效    指  标</w:t>
            </w:r>
          </w:p>
        </w:tc>
        <w:tc>
          <w:tcPr>
            <w:tcW w:w="675" w:type="dxa"/>
            <w:tcBorders>
              <w:top w:val="single" w:color="auto" w:sz="4" w:space="0"/>
              <w:left w:val="nil"/>
              <w:bottom w:val="single" w:color="auto" w:sz="4" w:space="0"/>
              <w:right w:val="nil"/>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701"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年度指标值</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198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未完成原因和</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改进措施</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产   出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701"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rPr>
                <w:rFonts w:ascii="仿宋_GB2312" w:hAnsi="宋体" w:eastAsia="仿宋_GB2312" w:cs="宋体"/>
                <w:kern w:val="0"/>
                <w:sz w:val="21"/>
                <w:szCs w:val="21"/>
              </w:rPr>
            </w:pPr>
            <w:r>
              <w:rPr>
                <w:rFonts w:hint="eastAsia" w:ascii="仿宋_GB2312" w:hAnsi="宋体" w:eastAsia="仿宋_GB2312" w:cs="宋体"/>
                <w:kern w:val="0"/>
                <w:sz w:val="21"/>
                <w:szCs w:val="21"/>
              </w:rPr>
              <w:t>开展关于食品安全监管食品安全整治及宣传行动次数</w:t>
            </w:r>
          </w:p>
        </w:tc>
        <w:tc>
          <w:tcPr>
            <w:tcW w:w="1843"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rPr>
                <w:rFonts w:ascii="仿宋_GB2312" w:hAnsi="宋体" w:eastAsia="仿宋_GB2312" w:cs="宋体"/>
                <w:kern w:val="0"/>
                <w:sz w:val="21"/>
                <w:szCs w:val="21"/>
              </w:rPr>
            </w:pPr>
          </w:p>
        </w:tc>
        <w:tc>
          <w:tcPr>
            <w:tcW w:w="1276"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≧7次</w:t>
            </w:r>
          </w:p>
        </w:tc>
        <w:tc>
          <w:tcPr>
            <w:tcW w:w="1104" w:type="dxa"/>
            <w:gridSpan w:val="2"/>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7次</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701"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rPr>
                <w:rFonts w:ascii="仿宋_GB2312" w:hAnsi="宋体" w:eastAsia="仿宋_GB2312" w:cs="宋体"/>
                <w:kern w:val="0"/>
                <w:sz w:val="21"/>
                <w:szCs w:val="21"/>
              </w:rPr>
            </w:pPr>
            <w:r>
              <w:rPr>
                <w:rFonts w:hint="eastAsia" w:ascii="仿宋_GB2312" w:hAnsi="宋体" w:eastAsia="仿宋_GB2312" w:cs="宋体"/>
                <w:kern w:val="0"/>
                <w:sz w:val="21"/>
                <w:szCs w:val="21"/>
              </w:rPr>
              <w:t>食品安全整治行动工作完成率</w:t>
            </w:r>
          </w:p>
        </w:tc>
        <w:tc>
          <w:tcPr>
            <w:tcW w:w="1843"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rPr>
                <w:rFonts w:ascii="仿宋_GB2312" w:hAnsi="宋体" w:eastAsia="仿宋_GB2312" w:cs="宋体"/>
                <w:kern w:val="0"/>
                <w:sz w:val="21"/>
                <w:szCs w:val="21"/>
              </w:rPr>
            </w:pPr>
          </w:p>
        </w:tc>
        <w:tc>
          <w:tcPr>
            <w:tcW w:w="1276"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100%</w:t>
            </w:r>
          </w:p>
        </w:tc>
        <w:tc>
          <w:tcPr>
            <w:tcW w:w="1104" w:type="dxa"/>
            <w:gridSpan w:val="2"/>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rPr>
                <w:rFonts w:ascii="仿宋_GB2312" w:hAnsi="宋体" w:eastAsia="仿宋_GB2312" w:cs="宋体"/>
                <w:kern w:val="0"/>
                <w:sz w:val="21"/>
                <w:szCs w:val="21"/>
              </w:rPr>
            </w:pPr>
            <w:r>
              <w:rPr>
                <w:rFonts w:hint="eastAsia" w:ascii="仿宋_GB2312" w:hAnsi="宋体" w:eastAsia="仿宋_GB2312" w:cs="宋体"/>
                <w:kern w:val="0"/>
                <w:sz w:val="21"/>
                <w:szCs w:val="21"/>
              </w:rPr>
              <w:t>食品安全宣传行动工作完成率</w:t>
            </w:r>
          </w:p>
        </w:tc>
        <w:tc>
          <w:tcPr>
            <w:tcW w:w="1843"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rPr>
                <w:rFonts w:ascii="仿宋_GB2312" w:hAnsi="宋体" w:eastAsia="仿宋_GB2312" w:cs="宋体"/>
                <w:kern w:val="0"/>
                <w:sz w:val="21"/>
                <w:szCs w:val="21"/>
              </w:rPr>
            </w:pPr>
          </w:p>
        </w:tc>
        <w:tc>
          <w:tcPr>
            <w:tcW w:w="1276"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100%</w:t>
            </w:r>
          </w:p>
        </w:tc>
        <w:tc>
          <w:tcPr>
            <w:tcW w:w="1104" w:type="dxa"/>
            <w:gridSpan w:val="2"/>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701"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rPr>
                <w:rFonts w:ascii="仿宋_GB2312" w:hAnsi="宋体" w:eastAsia="仿宋_GB2312" w:cs="宋体"/>
                <w:kern w:val="0"/>
                <w:sz w:val="21"/>
                <w:szCs w:val="21"/>
              </w:rPr>
            </w:pPr>
            <w:r>
              <w:rPr>
                <w:rFonts w:hint="eastAsia" w:ascii="仿宋_GB2312" w:hAnsi="宋体" w:eastAsia="仿宋_GB2312" w:cs="宋体"/>
                <w:kern w:val="0"/>
                <w:sz w:val="21"/>
                <w:szCs w:val="21"/>
              </w:rPr>
              <w:t>食品安全监管整治、宣传工作整体完成时间</w:t>
            </w:r>
          </w:p>
        </w:tc>
        <w:tc>
          <w:tcPr>
            <w:tcW w:w="1843"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rPr>
                <w:rFonts w:ascii="仿宋_GB2312" w:hAnsi="宋体" w:eastAsia="仿宋_GB2312" w:cs="宋体"/>
                <w:kern w:val="0"/>
                <w:sz w:val="21"/>
                <w:szCs w:val="21"/>
              </w:rPr>
            </w:pPr>
          </w:p>
        </w:tc>
        <w:tc>
          <w:tcPr>
            <w:tcW w:w="1276"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2021年12月31日之前</w:t>
            </w:r>
          </w:p>
        </w:tc>
        <w:tc>
          <w:tcPr>
            <w:tcW w:w="1104" w:type="dxa"/>
            <w:gridSpan w:val="2"/>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2021年12月31日</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701"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rPr>
                <w:rFonts w:ascii="仿宋_GB2312" w:hAnsi="宋体" w:eastAsia="仿宋_GB2312" w:cs="宋体"/>
                <w:kern w:val="0"/>
                <w:sz w:val="21"/>
                <w:szCs w:val="21"/>
              </w:rPr>
            </w:pPr>
            <w:r>
              <w:rPr>
                <w:rFonts w:hint="eastAsia" w:ascii="仿宋_GB2312" w:hAnsi="宋体" w:eastAsia="仿宋_GB2312" w:cs="宋体"/>
                <w:kern w:val="0"/>
                <w:sz w:val="21"/>
                <w:szCs w:val="21"/>
              </w:rPr>
              <w:t>食品经营监管成本</w:t>
            </w:r>
          </w:p>
        </w:tc>
        <w:tc>
          <w:tcPr>
            <w:tcW w:w="1843"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rPr>
                <w:rFonts w:ascii="仿宋_GB2312" w:hAnsi="宋体" w:eastAsia="仿宋_GB2312" w:cs="宋体"/>
                <w:kern w:val="0"/>
                <w:sz w:val="21"/>
                <w:szCs w:val="21"/>
              </w:rPr>
            </w:pPr>
          </w:p>
        </w:tc>
        <w:tc>
          <w:tcPr>
            <w:tcW w:w="1276"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≦10万元</w:t>
            </w:r>
          </w:p>
        </w:tc>
        <w:tc>
          <w:tcPr>
            <w:tcW w:w="1104" w:type="dxa"/>
            <w:gridSpan w:val="2"/>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10万元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效   益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经济效益  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p>
        </w:tc>
        <w:tc>
          <w:tcPr>
            <w:tcW w:w="1104" w:type="dxa"/>
            <w:gridSpan w:val="2"/>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jc w:val="left"/>
              <w:rPr>
                <w:rFonts w:ascii="仿宋_GB2312" w:hAnsi="宋体" w:eastAsia="仿宋_GB2312" w:cs="宋体"/>
                <w:kern w:val="0"/>
                <w:szCs w:val="21"/>
              </w:rPr>
            </w:pPr>
            <w:r>
              <w:rPr>
                <w:rFonts w:hint="eastAsia" w:ascii="仿宋_GB2312" w:hAnsi="宋体" w:eastAsia="仿宋_GB2312" w:cs="宋体"/>
                <w:kern w:val="0"/>
                <w:szCs w:val="21"/>
              </w:rPr>
              <w:t>绩  效    指  标</w:t>
            </w:r>
          </w:p>
        </w:tc>
        <w:tc>
          <w:tcPr>
            <w:tcW w:w="675" w:type="dxa"/>
            <w:vMerge w:val="restart"/>
            <w:tcBorders>
              <w:top w:val="single" w:color="auto" w:sz="4" w:space="0"/>
              <w:left w:val="single" w:color="auto" w:sz="4" w:space="0"/>
              <w:bottom w:val="single" w:color="auto" w:sz="4" w:space="0"/>
              <w:right w:val="single" w:color="auto" w:sz="4" w:space="0"/>
            </w:tcBorders>
            <w:noWrap/>
            <w:vAlign w:val="center"/>
          </w:tcPr>
          <w:p>
            <w:pPr>
              <w:jc w:val="left"/>
              <w:rPr>
                <w:rFonts w:ascii="仿宋_GB2312" w:hAnsi="宋体" w:eastAsia="仿宋_GB2312" w:cs="宋体"/>
                <w:kern w:val="0"/>
                <w:szCs w:val="21"/>
              </w:rPr>
            </w:pPr>
            <w:r>
              <w:rPr>
                <w:rFonts w:hint="eastAsia" w:ascii="仿宋_GB2312" w:hAnsi="宋体" w:eastAsia="仿宋_GB2312" w:cs="宋体"/>
                <w:kern w:val="0"/>
                <w:szCs w:val="21"/>
              </w:rPr>
              <w:t>效   益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生态效益  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p>
        </w:tc>
        <w:tc>
          <w:tcPr>
            <w:tcW w:w="1104" w:type="dxa"/>
            <w:gridSpan w:val="2"/>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1701"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rPr>
                <w:rFonts w:ascii="仿宋_GB2312" w:hAnsi="宋体" w:eastAsia="仿宋_GB2312" w:cs="宋体"/>
                <w:kern w:val="0"/>
                <w:sz w:val="21"/>
                <w:szCs w:val="21"/>
              </w:rPr>
            </w:pPr>
            <w:r>
              <w:rPr>
                <w:rFonts w:hint="eastAsia" w:ascii="仿宋_GB2312" w:hAnsi="宋体" w:eastAsia="仿宋_GB2312" w:cs="宋体"/>
                <w:kern w:val="0"/>
                <w:sz w:val="21"/>
                <w:szCs w:val="21"/>
              </w:rPr>
              <w:t>辖区内与补助资金相关的重大食品安全监管责任事故发生数</w:t>
            </w:r>
          </w:p>
        </w:tc>
        <w:tc>
          <w:tcPr>
            <w:tcW w:w="1843"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rPr>
                <w:rFonts w:ascii="仿宋_GB2312" w:hAnsi="宋体" w:eastAsia="仿宋_GB2312" w:cs="宋体"/>
                <w:kern w:val="0"/>
                <w:sz w:val="21"/>
                <w:szCs w:val="21"/>
              </w:rPr>
            </w:pPr>
          </w:p>
        </w:tc>
        <w:tc>
          <w:tcPr>
            <w:tcW w:w="1276"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0次</w:t>
            </w:r>
          </w:p>
        </w:tc>
        <w:tc>
          <w:tcPr>
            <w:tcW w:w="1104" w:type="dxa"/>
            <w:gridSpan w:val="2"/>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0次</w:t>
            </w:r>
          </w:p>
        </w:tc>
        <w:tc>
          <w:tcPr>
            <w:tcW w:w="198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rPr>
                <w:rFonts w:ascii="仿宋_GB2312" w:hAnsi="宋体" w:eastAsia="仿宋_GB2312" w:cs="宋体"/>
                <w:kern w:val="0"/>
                <w:sz w:val="21"/>
                <w:szCs w:val="21"/>
              </w:rPr>
            </w:pPr>
            <w:r>
              <w:rPr>
                <w:rFonts w:hint="eastAsia" w:ascii="仿宋_GB2312" w:hAnsi="宋体" w:eastAsia="仿宋_GB2312" w:cs="宋体"/>
                <w:kern w:val="0"/>
                <w:sz w:val="21"/>
                <w:szCs w:val="21"/>
              </w:rPr>
              <w:t>食品经营安全监管制度</w:t>
            </w:r>
          </w:p>
        </w:tc>
        <w:tc>
          <w:tcPr>
            <w:tcW w:w="1843"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rPr>
                <w:rFonts w:ascii="仿宋_GB2312" w:hAnsi="宋体" w:eastAsia="仿宋_GB2312" w:cs="宋体"/>
                <w:kern w:val="0"/>
                <w:sz w:val="21"/>
                <w:szCs w:val="21"/>
              </w:rPr>
            </w:pPr>
          </w:p>
        </w:tc>
        <w:tc>
          <w:tcPr>
            <w:tcW w:w="1276"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逐步完善</w:t>
            </w:r>
          </w:p>
        </w:tc>
        <w:tc>
          <w:tcPr>
            <w:tcW w:w="1104" w:type="dxa"/>
            <w:gridSpan w:val="2"/>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70"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满意度指标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1701"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rPr>
                <w:rFonts w:ascii="仿宋_GB2312" w:hAnsi="宋体" w:eastAsia="仿宋_GB2312" w:cs="宋体"/>
                <w:kern w:val="0"/>
                <w:sz w:val="21"/>
                <w:szCs w:val="21"/>
              </w:rPr>
            </w:pPr>
            <w:r>
              <w:rPr>
                <w:rFonts w:hint="eastAsia" w:ascii="仿宋_GB2312" w:hAnsi="宋体" w:eastAsia="仿宋_GB2312" w:cs="宋体"/>
                <w:kern w:val="0"/>
                <w:sz w:val="21"/>
                <w:szCs w:val="21"/>
              </w:rPr>
              <w:t>群众对辖区食品安全满意度</w:t>
            </w:r>
          </w:p>
        </w:tc>
        <w:tc>
          <w:tcPr>
            <w:tcW w:w="1843"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rPr>
                <w:rFonts w:ascii="仿宋_GB2312" w:hAnsi="宋体" w:eastAsia="仿宋_GB2312" w:cs="宋体"/>
                <w:kern w:val="0"/>
                <w:sz w:val="21"/>
                <w:szCs w:val="21"/>
              </w:rPr>
            </w:pPr>
          </w:p>
        </w:tc>
        <w:tc>
          <w:tcPr>
            <w:tcW w:w="1276" w:type="dxa"/>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≧90%</w:t>
            </w:r>
          </w:p>
        </w:tc>
        <w:tc>
          <w:tcPr>
            <w:tcW w:w="1104" w:type="dxa"/>
            <w:gridSpan w:val="2"/>
            <w:tcBorders>
              <w:top w:val="single" w:color="auto" w:sz="4" w:space="0"/>
              <w:left w:val="nil"/>
              <w:bottom w:val="single" w:color="auto" w:sz="4" w:space="0"/>
              <w:right w:val="single" w:color="auto" w:sz="4" w:space="0"/>
            </w:tcBorders>
            <w:noWrap/>
            <w:vAlign w:val="center"/>
          </w:tcPr>
          <w:p>
            <w:pPr>
              <w:pStyle w:val="20"/>
              <w:kinsoku w:val="0"/>
              <w:overflowPunct w:val="0"/>
              <w:spacing w:line="3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90%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952" w:hRule="atLeast"/>
          <w:jc w:val="center"/>
        </w:trPr>
        <w:tc>
          <w:tcPr>
            <w:tcW w:w="769" w:type="dxa"/>
            <w:tcBorders>
              <w:top w:val="single" w:color="auto" w:sz="4" w:space="0"/>
              <w:left w:val="single" w:color="auto" w:sz="4" w:space="0"/>
              <w:bottom w:val="nil"/>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说明</w:t>
            </w:r>
          </w:p>
        </w:tc>
        <w:tc>
          <w:tcPr>
            <w:tcW w:w="9291" w:type="dxa"/>
            <w:gridSpan w:val="8"/>
            <w:tcBorders>
              <w:top w:val="single" w:color="auto" w:sz="4" w:space="0"/>
              <w:left w:val="nil"/>
              <w:bottom w:val="nil"/>
              <w:right w:val="single" w:color="000000"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1785" w:hRule="atLeast"/>
          <w:jc w:val="center"/>
        </w:trPr>
        <w:tc>
          <w:tcPr>
            <w:tcW w:w="10060" w:type="dxa"/>
            <w:gridSpan w:val="9"/>
            <w:vMerge w:val="restart"/>
            <w:tcBorders>
              <w:top w:val="single" w:color="auto" w:sz="8" w:space="0"/>
              <w:left w:val="nil"/>
              <w:bottom w:val="nil"/>
              <w:right w:val="nil"/>
            </w:tcBorders>
            <w:noWrap/>
          </w:tcPr>
          <w:p>
            <w:pPr>
              <w:widowControl/>
              <w:ind w:firstLine="420" w:firstLineChars="200"/>
              <w:jc w:val="left"/>
              <w:rPr>
                <w:rFonts w:ascii="仿宋_GB2312" w:hAnsi="宋体" w:eastAsia="仿宋_GB2312" w:cs="宋体"/>
                <w:kern w:val="0"/>
                <w:szCs w:val="21"/>
              </w:rPr>
            </w:pP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 xml:space="preserve">注：1、其他资金包括和中央补助、地方财政资金共同投入到同一项目的自有资金、社会资金，以及以前年度的结转结余资金等。 </w:t>
            </w: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2、定量指标，资金使用单位填写本地区实际完成数。市直各部门汇总时，对绝对值直接累加计算，相对值按照资金额度加权平均计算。</w:t>
            </w: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3、定性指标根据指标完成情况分为：全部或基本达成预期指标、部分达成预期指标并具有一定效果、未达成预期指标且效果较差三档，资金使用单位分别按照100％—80％（含）、80％—60％（含）、60％—0％合理填写完成比例。</w:t>
            </w:r>
          </w:p>
          <w:p>
            <w:pPr>
              <w:widowControl/>
              <w:spacing w:line="360" w:lineRule="exact"/>
              <w:ind w:firstLine="420" w:firstLineChars="200"/>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atLeast"/>
          <w:jc w:val="center"/>
        </w:trPr>
        <w:tc>
          <w:tcPr>
            <w:tcW w:w="10060" w:type="dxa"/>
            <w:gridSpan w:val="9"/>
            <w:vMerge w:val="continue"/>
            <w:tcBorders>
              <w:top w:val="single" w:color="auto" w:sz="8" w:space="0"/>
              <w:left w:val="nil"/>
              <w:bottom w:val="nil"/>
              <w:right w:val="nil"/>
            </w:tcBorders>
            <w:noWrap/>
            <w:vAlign w:val="center"/>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atLeast"/>
          <w:jc w:val="center"/>
        </w:trPr>
        <w:tc>
          <w:tcPr>
            <w:tcW w:w="10060" w:type="dxa"/>
            <w:gridSpan w:val="9"/>
            <w:vMerge w:val="continue"/>
            <w:tcBorders>
              <w:top w:val="single" w:color="auto" w:sz="8" w:space="0"/>
              <w:left w:val="nil"/>
              <w:bottom w:val="nil"/>
              <w:right w:val="nil"/>
            </w:tcBorders>
            <w:noWrap/>
            <w:vAlign w:val="center"/>
          </w:tcPr>
          <w:p>
            <w:pPr>
              <w:widowControl/>
              <w:jc w:val="left"/>
              <w:rPr>
                <w:rFonts w:ascii="仿宋_GB2312" w:hAnsi="宋体" w:eastAsia="仿宋_GB2312" w:cs="宋体"/>
                <w:kern w:val="0"/>
                <w:szCs w:val="21"/>
              </w:rPr>
            </w:pPr>
          </w:p>
        </w:tc>
      </w:tr>
    </w:tbl>
    <w:p/>
    <w:p>
      <w:pPr>
        <w:pStyle w:val="17"/>
        <w:spacing w:line="360" w:lineRule="auto"/>
        <w:rPr>
          <w:rFonts w:ascii="仿宋" w:eastAsia="仿宋"/>
          <w:sz w:val="32"/>
          <w:szCs w:val="32"/>
        </w:rPr>
      </w:pPr>
    </w:p>
    <w:p>
      <w:pPr>
        <w:rPr>
          <w:rFonts w:cs="黑体" w:asciiTheme="minorEastAsia" w:hAnsiTheme="minorEastAsia"/>
          <w:kern w:val="0"/>
          <w:sz w:val="32"/>
          <w:szCs w:val="32"/>
        </w:rPr>
      </w:pPr>
      <w:r>
        <w:rPr>
          <w:rFonts w:cs="黑体" w:asciiTheme="minorEastAsia" w:hAnsiTheme="minorEastAsia"/>
          <w:kern w:val="0"/>
          <w:sz w:val="32"/>
          <w:szCs w:val="32"/>
        </w:rPr>
        <w:br w:type="page"/>
      </w:r>
    </w:p>
    <w:p>
      <w:pPr>
        <w:spacing w:line="560" w:lineRule="exact"/>
        <w:jc w:val="center"/>
        <w:rPr>
          <w:rFonts w:ascii="黑体" w:hAnsi="宋体" w:eastAsia="黑体" w:cs="宋体"/>
          <w:kern w:val="0"/>
          <w:sz w:val="32"/>
          <w:szCs w:val="32"/>
        </w:rPr>
      </w:pPr>
      <w:r>
        <w:rPr>
          <w:rFonts w:hint="eastAsia" w:ascii="黑体" w:hAnsi="宋体" w:eastAsia="黑体" w:cs="宋体"/>
          <w:kern w:val="0"/>
          <w:sz w:val="32"/>
          <w:szCs w:val="32"/>
        </w:rPr>
        <w:t>专项资金绩效目标自评表2</w:t>
      </w:r>
    </w:p>
    <w:tbl>
      <w:tblPr>
        <w:tblStyle w:val="9"/>
        <w:tblW w:w="10060" w:type="dxa"/>
        <w:jc w:val="center"/>
        <w:tblLayout w:type="fixed"/>
        <w:tblCellMar>
          <w:top w:w="0" w:type="dxa"/>
          <w:left w:w="108" w:type="dxa"/>
          <w:bottom w:w="0" w:type="dxa"/>
          <w:right w:w="108" w:type="dxa"/>
        </w:tblCellMar>
      </w:tblPr>
      <w:tblGrid>
        <w:gridCol w:w="769"/>
        <w:gridCol w:w="675"/>
        <w:gridCol w:w="709"/>
        <w:gridCol w:w="1701"/>
        <w:gridCol w:w="1843"/>
        <w:gridCol w:w="1276"/>
        <w:gridCol w:w="1073"/>
        <w:gridCol w:w="31"/>
        <w:gridCol w:w="1983"/>
      </w:tblGrid>
      <w:tr>
        <w:tblPrEx>
          <w:tblCellMar>
            <w:top w:w="0" w:type="dxa"/>
            <w:left w:w="108" w:type="dxa"/>
            <w:bottom w:w="0" w:type="dxa"/>
            <w:right w:w="108" w:type="dxa"/>
          </w:tblCellMar>
        </w:tblPrEx>
        <w:trPr>
          <w:trHeight w:val="98" w:hRule="atLeast"/>
          <w:jc w:val="center"/>
        </w:trPr>
        <w:tc>
          <w:tcPr>
            <w:tcW w:w="10060" w:type="dxa"/>
            <w:gridSpan w:val="9"/>
            <w:tcBorders>
              <w:top w:val="nil"/>
              <w:left w:val="nil"/>
              <w:bottom w:val="single" w:color="auto" w:sz="4" w:space="0"/>
              <w:right w:val="nil"/>
            </w:tcBorders>
            <w:noWrap/>
            <w:vAlign w:val="center"/>
          </w:tcPr>
          <w:p>
            <w:pPr>
              <w:widowControl/>
              <w:jc w:val="center"/>
              <w:rPr>
                <w:rFonts w:ascii="楷体_GB2312" w:hAnsi="宋体" w:eastAsia="楷体_GB2312" w:cs="宋体"/>
                <w:b/>
                <w:bCs/>
                <w:kern w:val="0"/>
                <w:sz w:val="22"/>
              </w:rPr>
            </w:pP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专项资金名称</w:t>
            </w:r>
          </w:p>
        </w:tc>
        <w:tc>
          <w:tcPr>
            <w:tcW w:w="354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Times New Roman" w:hAnsi="Times New Roman" w:eastAsia="仿宋_GB2312" w:cs="Times New Roman"/>
                <w:sz w:val="22"/>
              </w:rPr>
              <w:t>2021年中央药品监管补助资金（药械化不良反应监测）</w:t>
            </w:r>
          </w:p>
        </w:tc>
        <w:tc>
          <w:tcPr>
            <w:tcW w:w="127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负责人</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及电话</w:t>
            </w:r>
          </w:p>
        </w:tc>
        <w:tc>
          <w:tcPr>
            <w:tcW w:w="3087" w:type="dxa"/>
            <w:gridSpan w:val="3"/>
            <w:tcBorders>
              <w:top w:val="single" w:color="auto" w:sz="4" w:space="0"/>
              <w:left w:val="single" w:color="auto" w:sz="4" w:space="0"/>
              <w:bottom w:val="single" w:color="auto" w:sz="4" w:space="0"/>
              <w:right w:val="single" w:color="auto" w:sz="4" w:space="0"/>
            </w:tcBorders>
            <w:noWrap/>
            <w:vAlign w:val="bottom"/>
          </w:tcPr>
          <w:p>
            <w:pPr>
              <w:widowControl/>
              <w:jc w:val="left"/>
              <w:rPr>
                <w:rFonts w:ascii="宋体" w:hAnsi="宋体" w:cs="宋体"/>
                <w:kern w:val="0"/>
                <w:sz w:val="20"/>
                <w:szCs w:val="20"/>
              </w:rPr>
            </w:pPr>
            <w:r>
              <w:rPr>
                <w:rFonts w:hint="eastAsia" w:ascii="宋体" w:hAnsi="宋体" w:cs="宋体"/>
                <w:kern w:val="0"/>
                <w:sz w:val="20"/>
                <w:szCs w:val="20"/>
              </w:rPr>
              <w:t>刘洪</w:t>
            </w:r>
          </w:p>
          <w:p>
            <w:pPr>
              <w:widowControl/>
              <w:jc w:val="left"/>
              <w:rPr>
                <w:rFonts w:ascii="宋体" w:hAnsi="宋体" w:cs="宋体"/>
                <w:kern w:val="0"/>
                <w:szCs w:val="21"/>
              </w:rPr>
            </w:pPr>
            <w:r>
              <w:rPr>
                <w:rFonts w:hint="eastAsia" w:ascii="宋体" w:hAnsi="宋体" w:cs="宋体"/>
                <w:kern w:val="0"/>
                <w:sz w:val="20"/>
                <w:szCs w:val="20"/>
              </w:rPr>
              <w:t>2267007</w:t>
            </w: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nil"/>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市级主管部门</w:t>
            </w:r>
          </w:p>
        </w:tc>
        <w:tc>
          <w:tcPr>
            <w:tcW w:w="7907" w:type="dxa"/>
            <w:gridSpan w:val="6"/>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怀化市市场监督管理局</w:t>
            </w: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地方主管部门</w:t>
            </w:r>
          </w:p>
        </w:tc>
        <w:tc>
          <w:tcPr>
            <w:tcW w:w="354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鹤城区人民政府</w:t>
            </w:r>
          </w:p>
        </w:tc>
        <w:tc>
          <w:tcPr>
            <w:tcW w:w="127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3087"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仿宋_GB2312" w:hAnsi="宋体" w:eastAsia="仿宋_GB2312" w:cs="宋体"/>
                <w:kern w:val="0"/>
                <w:szCs w:val="21"/>
              </w:rPr>
              <w:t>怀化市鹤城区市场监督管理局</w:t>
            </w:r>
          </w:p>
        </w:tc>
      </w:tr>
      <w:tr>
        <w:tblPrEx>
          <w:tblCellMar>
            <w:top w:w="0" w:type="dxa"/>
            <w:left w:w="108" w:type="dxa"/>
            <w:bottom w:w="0" w:type="dxa"/>
            <w:right w:w="108" w:type="dxa"/>
          </w:tblCellMar>
        </w:tblPrEx>
        <w:trPr>
          <w:trHeight w:val="425" w:hRule="atLeast"/>
          <w:jc w:val="center"/>
        </w:trPr>
        <w:tc>
          <w:tcPr>
            <w:tcW w:w="2153" w:type="dxa"/>
            <w:gridSpan w:val="3"/>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项目资金（万元）</w:t>
            </w: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全年预算数（A）</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全年执行数（B）</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执行率（B／A）</w:t>
            </w:r>
          </w:p>
        </w:tc>
      </w:tr>
      <w:tr>
        <w:tblPrEx>
          <w:tblCellMar>
            <w:top w:w="0" w:type="dxa"/>
            <w:left w:w="108" w:type="dxa"/>
            <w:bottom w:w="0" w:type="dxa"/>
            <w:right w:w="108" w:type="dxa"/>
          </w:tblCellMar>
        </w:tblPrEx>
        <w:trPr>
          <w:trHeight w:val="425"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20000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20000</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　</w:t>
            </w:r>
          </w:p>
        </w:tc>
      </w:tr>
      <w:tr>
        <w:tblPrEx>
          <w:tblCellMar>
            <w:top w:w="0" w:type="dxa"/>
            <w:left w:w="108" w:type="dxa"/>
            <w:bottom w:w="0" w:type="dxa"/>
            <w:right w:w="108" w:type="dxa"/>
          </w:tblCellMar>
        </w:tblPrEx>
        <w:trPr>
          <w:trHeight w:val="425"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其中：中央补助</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20000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20000</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　</w:t>
            </w:r>
          </w:p>
        </w:tc>
      </w:tr>
      <w:tr>
        <w:tblPrEx>
          <w:tblCellMar>
            <w:top w:w="0" w:type="dxa"/>
            <w:left w:w="108" w:type="dxa"/>
            <w:bottom w:w="0" w:type="dxa"/>
            <w:right w:w="108" w:type="dxa"/>
          </w:tblCellMar>
        </w:tblPrEx>
        <w:trPr>
          <w:trHeight w:val="440"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ind w:firstLine="420" w:firstLineChars="200"/>
              <w:rPr>
                <w:rFonts w:ascii="仿宋_GB2312" w:hAnsi="宋体" w:eastAsia="仿宋_GB2312" w:cs="宋体"/>
                <w:kern w:val="0"/>
                <w:szCs w:val="21"/>
              </w:rPr>
            </w:pPr>
            <w:r>
              <w:rPr>
                <w:rFonts w:hint="eastAsia" w:ascii="仿宋_GB2312" w:hAnsi="宋体" w:eastAsia="仿宋_GB2312" w:cs="宋体"/>
                <w:kern w:val="0"/>
                <w:szCs w:val="21"/>
              </w:rPr>
              <w:t xml:space="preserve"> 省级资金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02"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xml:space="preserve">    市级资金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02" w:hRule="atLeast"/>
          <w:jc w:val="center"/>
        </w:trPr>
        <w:tc>
          <w:tcPr>
            <w:tcW w:w="2153" w:type="dxa"/>
            <w:gridSpan w:val="3"/>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其他资金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928"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仿宋_GB2312" w:hAnsi="宋体" w:eastAsia="仿宋_GB2312" w:cs="宋体"/>
                <w:kern w:val="0"/>
                <w:szCs w:val="21"/>
              </w:rPr>
              <w:t>年初设定目标</w:t>
            </w:r>
            <w:r>
              <w:rPr>
                <w:rFonts w:hint="eastAsia" w:ascii="宋体" w:hAnsi="宋体" w:cs="宋体"/>
                <w:kern w:val="0"/>
                <w:szCs w:val="21"/>
              </w:rPr>
              <w:t>　</w:t>
            </w:r>
          </w:p>
        </w:tc>
        <w:tc>
          <w:tcPr>
            <w:tcW w:w="4363"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全年实际完成情况</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4928"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eastAsia="宋体" w:cs="宋体"/>
                <w:kern w:val="0"/>
                <w:sz w:val="20"/>
                <w:szCs w:val="20"/>
              </w:rPr>
              <w:t>2021年度完成上级文件要求的药械化不良反应/事件报告与检测工作，预计完成药品不良反应监测报告80份，医疗器械不良事件监测报告40份，化妆品不良反应监测报告28份。</w:t>
            </w:r>
          </w:p>
        </w:tc>
        <w:tc>
          <w:tcPr>
            <w:tcW w:w="4363"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宋体" w:hAnsi="宋体" w:eastAsia="宋体" w:cs="宋体"/>
                <w:kern w:val="0"/>
                <w:sz w:val="20"/>
                <w:szCs w:val="20"/>
              </w:rPr>
              <w:t>2021年度完成上级文件要求的药械化不良反应/事件报告与检测工作，完成药品不良反应监测报告80份，医疗器械不良事件监测报告40份，化妆品不良反应监测报告28份。</w:t>
            </w:r>
          </w:p>
        </w:tc>
      </w:tr>
      <w:tr>
        <w:tblPrEx>
          <w:tblCellMar>
            <w:top w:w="0" w:type="dxa"/>
            <w:left w:w="108" w:type="dxa"/>
            <w:bottom w:w="0" w:type="dxa"/>
            <w:right w:w="108" w:type="dxa"/>
          </w:tblCellMar>
        </w:tblPrEx>
        <w:trPr>
          <w:trHeight w:val="425"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绩  效    指  标</w:t>
            </w:r>
          </w:p>
        </w:tc>
        <w:tc>
          <w:tcPr>
            <w:tcW w:w="675" w:type="dxa"/>
            <w:tcBorders>
              <w:top w:val="single" w:color="auto" w:sz="4" w:space="0"/>
              <w:left w:val="nil"/>
              <w:bottom w:val="single" w:color="auto" w:sz="4" w:space="0"/>
              <w:right w:val="nil"/>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701"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年度指标值</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198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未完成原因和</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改进措施</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产   出   指   标</w:t>
            </w:r>
          </w:p>
        </w:tc>
        <w:tc>
          <w:tcPr>
            <w:tcW w:w="709" w:type="dxa"/>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701" w:type="dxa"/>
            <w:tcBorders>
              <w:top w:val="single" w:color="auto" w:sz="4" w:space="0"/>
              <w:left w:val="nil"/>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药品监管企业数(经营企业数）</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≥293家</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324</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651"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医疗器械监管企业数</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≥125家</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343</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药品不良反应报告数</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≥80份</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医疗器械不良事件报告数</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≥40份</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化妆品不良反应报告数</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≥28份</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28</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701" w:type="dxa"/>
            <w:tcBorders>
              <w:top w:val="single" w:color="auto" w:sz="4" w:space="0"/>
              <w:left w:val="nil"/>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任务完成时间</w:t>
            </w:r>
          </w:p>
        </w:tc>
        <w:tc>
          <w:tcPr>
            <w:tcW w:w="1843" w:type="dxa"/>
            <w:tcBorders>
              <w:top w:val="single" w:color="auto" w:sz="4" w:space="0"/>
              <w:left w:val="nil"/>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2021年底</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701" w:type="dxa"/>
            <w:tcBorders>
              <w:top w:val="single" w:color="auto" w:sz="4" w:space="0"/>
              <w:left w:val="nil"/>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监测成本</w:t>
            </w:r>
          </w:p>
        </w:tc>
        <w:tc>
          <w:tcPr>
            <w:tcW w:w="1843" w:type="dxa"/>
            <w:tcBorders>
              <w:top w:val="single" w:color="auto" w:sz="4" w:space="0"/>
              <w:left w:val="nil"/>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效   益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经济效益  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jc w:val="left"/>
              <w:rPr>
                <w:rFonts w:ascii="仿宋_GB2312" w:hAnsi="宋体" w:eastAsia="仿宋_GB2312" w:cs="宋体"/>
                <w:kern w:val="0"/>
                <w:szCs w:val="21"/>
              </w:rPr>
            </w:pPr>
            <w:r>
              <w:rPr>
                <w:rFonts w:hint="eastAsia" w:ascii="仿宋_GB2312" w:hAnsi="宋体" w:eastAsia="仿宋_GB2312" w:cs="宋体"/>
                <w:kern w:val="0"/>
                <w:szCs w:val="21"/>
              </w:rPr>
              <w:t>绩  效    指  标</w:t>
            </w:r>
          </w:p>
        </w:tc>
        <w:tc>
          <w:tcPr>
            <w:tcW w:w="675" w:type="dxa"/>
            <w:vMerge w:val="restart"/>
            <w:tcBorders>
              <w:top w:val="single" w:color="auto" w:sz="4" w:space="0"/>
              <w:left w:val="single" w:color="auto" w:sz="4" w:space="0"/>
              <w:bottom w:val="single" w:color="auto" w:sz="4" w:space="0"/>
              <w:right w:val="single" w:color="auto" w:sz="4" w:space="0"/>
            </w:tcBorders>
            <w:noWrap/>
            <w:vAlign w:val="center"/>
          </w:tcPr>
          <w:p>
            <w:pPr>
              <w:jc w:val="left"/>
              <w:rPr>
                <w:rFonts w:ascii="仿宋_GB2312" w:hAnsi="宋体" w:eastAsia="仿宋_GB2312" w:cs="宋体"/>
                <w:kern w:val="0"/>
                <w:szCs w:val="21"/>
              </w:rPr>
            </w:pPr>
            <w:r>
              <w:rPr>
                <w:rFonts w:hint="eastAsia" w:ascii="仿宋_GB2312" w:hAnsi="宋体" w:eastAsia="仿宋_GB2312" w:cs="宋体"/>
                <w:kern w:val="0"/>
                <w:szCs w:val="21"/>
              </w:rPr>
              <w:t>效   益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生态效益  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1701" w:type="dxa"/>
            <w:tcBorders>
              <w:top w:val="single" w:color="auto" w:sz="4" w:space="0"/>
              <w:left w:val="nil"/>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“两品一械”总体安全水平</w:t>
            </w:r>
          </w:p>
        </w:tc>
        <w:tc>
          <w:tcPr>
            <w:tcW w:w="1843" w:type="dxa"/>
            <w:tcBorders>
              <w:top w:val="single" w:color="auto" w:sz="4" w:space="0"/>
              <w:left w:val="nil"/>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不断提高</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提高人民群众“两品一械”安全科普知识</w:t>
            </w:r>
          </w:p>
        </w:tc>
        <w:tc>
          <w:tcPr>
            <w:tcW w:w="1843" w:type="dxa"/>
            <w:tcBorders>
              <w:top w:val="single" w:color="auto" w:sz="4" w:space="0"/>
              <w:left w:val="nil"/>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不断提高</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假冒伪劣产品制售行为</w:t>
            </w:r>
          </w:p>
        </w:tc>
        <w:tc>
          <w:tcPr>
            <w:tcW w:w="1843" w:type="dxa"/>
            <w:tcBorders>
              <w:top w:val="single" w:color="auto" w:sz="4" w:space="0"/>
              <w:left w:val="nil"/>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不断降低</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药品监管水平</w:t>
            </w:r>
          </w:p>
        </w:tc>
        <w:tc>
          <w:tcPr>
            <w:tcW w:w="1843" w:type="dxa"/>
            <w:tcBorders>
              <w:top w:val="single" w:color="auto" w:sz="4" w:space="0"/>
              <w:left w:val="nil"/>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长期</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化妆品监管水平</w:t>
            </w:r>
          </w:p>
        </w:tc>
        <w:tc>
          <w:tcPr>
            <w:tcW w:w="1843" w:type="dxa"/>
            <w:tcBorders>
              <w:top w:val="single" w:color="auto" w:sz="4" w:space="0"/>
              <w:left w:val="nil"/>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长期</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医疗器械监管水平</w:t>
            </w:r>
          </w:p>
        </w:tc>
        <w:tc>
          <w:tcPr>
            <w:tcW w:w="1843" w:type="dxa"/>
            <w:tcBorders>
              <w:top w:val="single" w:color="auto" w:sz="4" w:space="0"/>
              <w:left w:val="nil"/>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长期</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270"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满意度指标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104"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952" w:hRule="atLeast"/>
          <w:jc w:val="center"/>
        </w:trPr>
        <w:tc>
          <w:tcPr>
            <w:tcW w:w="769" w:type="dxa"/>
            <w:tcBorders>
              <w:top w:val="single" w:color="auto" w:sz="4" w:space="0"/>
              <w:left w:val="single" w:color="auto" w:sz="4" w:space="0"/>
              <w:bottom w:val="nil"/>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说明</w:t>
            </w:r>
          </w:p>
        </w:tc>
        <w:tc>
          <w:tcPr>
            <w:tcW w:w="9291" w:type="dxa"/>
            <w:gridSpan w:val="8"/>
            <w:tcBorders>
              <w:top w:val="single" w:color="auto" w:sz="4" w:space="0"/>
              <w:left w:val="nil"/>
              <w:bottom w:val="nil"/>
              <w:right w:val="single" w:color="000000"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1785" w:hRule="atLeast"/>
          <w:jc w:val="center"/>
        </w:trPr>
        <w:tc>
          <w:tcPr>
            <w:tcW w:w="10060" w:type="dxa"/>
            <w:gridSpan w:val="9"/>
            <w:vMerge w:val="restart"/>
            <w:tcBorders>
              <w:top w:val="single" w:color="auto" w:sz="8" w:space="0"/>
              <w:left w:val="nil"/>
              <w:bottom w:val="nil"/>
              <w:right w:val="nil"/>
            </w:tcBorders>
            <w:noWrap/>
          </w:tcPr>
          <w:p>
            <w:pPr>
              <w:widowControl/>
              <w:ind w:firstLine="420" w:firstLineChars="200"/>
              <w:jc w:val="left"/>
              <w:rPr>
                <w:rFonts w:ascii="仿宋_GB2312" w:hAnsi="宋体" w:eastAsia="仿宋_GB2312" w:cs="宋体"/>
                <w:kern w:val="0"/>
                <w:szCs w:val="21"/>
              </w:rPr>
            </w:pP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 xml:space="preserve">注：1、其他资金包括和中央补助、地方财政资金共同投入到同一项目的自有资金、社会资金，以及以前年度的结转结余资金等。 </w:t>
            </w: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2、定量指标，资金使用单位填写本地区实际完成数。市直各部门汇总时，对绝对值直接累加计算，相对值按照资金额度加权平均计算。</w:t>
            </w: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3、定性指标根据指标完成情况分为：全部或基本达成预期指标、部分达成预期指标并具有一定效果、未达成预期指标且效果较差三档，资金使用单位分别按照100％—80％（含）、80％—60％（含）、60％—0％合理填写完成比例。</w:t>
            </w:r>
          </w:p>
          <w:p>
            <w:pPr>
              <w:widowControl/>
              <w:spacing w:line="360" w:lineRule="exact"/>
              <w:ind w:firstLine="420" w:firstLineChars="200"/>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atLeast"/>
          <w:jc w:val="center"/>
        </w:trPr>
        <w:tc>
          <w:tcPr>
            <w:tcW w:w="10060" w:type="dxa"/>
            <w:gridSpan w:val="9"/>
            <w:vMerge w:val="continue"/>
            <w:tcBorders>
              <w:top w:val="single" w:color="auto" w:sz="8" w:space="0"/>
              <w:left w:val="nil"/>
              <w:bottom w:val="nil"/>
              <w:right w:val="nil"/>
            </w:tcBorders>
            <w:noWrap/>
            <w:vAlign w:val="center"/>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atLeast"/>
          <w:jc w:val="center"/>
        </w:trPr>
        <w:tc>
          <w:tcPr>
            <w:tcW w:w="10060" w:type="dxa"/>
            <w:gridSpan w:val="9"/>
            <w:vMerge w:val="continue"/>
            <w:tcBorders>
              <w:top w:val="single" w:color="auto" w:sz="8" w:space="0"/>
              <w:left w:val="nil"/>
              <w:bottom w:val="nil"/>
              <w:right w:val="nil"/>
            </w:tcBorders>
            <w:noWrap/>
            <w:vAlign w:val="center"/>
          </w:tcPr>
          <w:p>
            <w:pPr>
              <w:widowControl/>
              <w:jc w:val="left"/>
              <w:rPr>
                <w:rFonts w:ascii="仿宋_GB2312" w:hAnsi="宋体" w:eastAsia="仿宋_GB2312" w:cs="宋体"/>
                <w:kern w:val="0"/>
                <w:szCs w:val="21"/>
              </w:rPr>
            </w:pPr>
          </w:p>
        </w:tc>
      </w:tr>
    </w:tbl>
    <w:p/>
    <w:p>
      <w:r>
        <w:br w:type="page"/>
      </w:r>
    </w:p>
    <w:p>
      <w:pPr>
        <w:spacing w:line="560" w:lineRule="exact"/>
        <w:jc w:val="center"/>
        <w:rPr>
          <w:rFonts w:ascii="黑体" w:hAnsi="宋体" w:eastAsia="黑体" w:cs="宋体"/>
          <w:kern w:val="0"/>
          <w:sz w:val="32"/>
          <w:szCs w:val="32"/>
        </w:rPr>
      </w:pPr>
      <w:r>
        <w:rPr>
          <w:rFonts w:hint="eastAsia" w:ascii="黑体" w:hAnsi="宋体" w:eastAsia="黑体" w:cs="宋体"/>
          <w:kern w:val="0"/>
          <w:sz w:val="32"/>
          <w:szCs w:val="32"/>
        </w:rPr>
        <w:t>专项资金绩效目标自评表3</w:t>
      </w:r>
    </w:p>
    <w:tbl>
      <w:tblPr>
        <w:tblStyle w:val="9"/>
        <w:tblW w:w="10060" w:type="dxa"/>
        <w:jc w:val="center"/>
        <w:tblLayout w:type="fixed"/>
        <w:tblCellMar>
          <w:top w:w="0" w:type="dxa"/>
          <w:left w:w="108" w:type="dxa"/>
          <w:bottom w:w="0" w:type="dxa"/>
          <w:right w:w="108" w:type="dxa"/>
        </w:tblCellMar>
      </w:tblPr>
      <w:tblGrid>
        <w:gridCol w:w="769"/>
        <w:gridCol w:w="675"/>
        <w:gridCol w:w="709"/>
        <w:gridCol w:w="1701"/>
        <w:gridCol w:w="1843"/>
        <w:gridCol w:w="1276"/>
        <w:gridCol w:w="1073"/>
        <w:gridCol w:w="31"/>
        <w:gridCol w:w="1983"/>
      </w:tblGrid>
      <w:tr>
        <w:tblPrEx>
          <w:tblCellMar>
            <w:top w:w="0" w:type="dxa"/>
            <w:left w:w="108" w:type="dxa"/>
            <w:bottom w:w="0" w:type="dxa"/>
            <w:right w:w="108" w:type="dxa"/>
          </w:tblCellMar>
        </w:tblPrEx>
        <w:trPr>
          <w:trHeight w:val="98" w:hRule="atLeast"/>
          <w:jc w:val="center"/>
        </w:trPr>
        <w:tc>
          <w:tcPr>
            <w:tcW w:w="10060" w:type="dxa"/>
            <w:gridSpan w:val="9"/>
            <w:tcBorders>
              <w:top w:val="nil"/>
              <w:left w:val="nil"/>
              <w:bottom w:val="single" w:color="auto" w:sz="4" w:space="0"/>
              <w:right w:val="nil"/>
            </w:tcBorders>
            <w:noWrap/>
            <w:vAlign w:val="center"/>
          </w:tcPr>
          <w:p>
            <w:pPr>
              <w:widowControl/>
              <w:jc w:val="center"/>
              <w:rPr>
                <w:rFonts w:ascii="楷体_GB2312" w:hAnsi="宋体" w:eastAsia="楷体_GB2312" w:cs="宋体"/>
                <w:b/>
                <w:bCs/>
                <w:kern w:val="0"/>
                <w:sz w:val="22"/>
              </w:rPr>
            </w:pP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专项资金名称</w:t>
            </w:r>
          </w:p>
        </w:tc>
        <w:tc>
          <w:tcPr>
            <w:tcW w:w="354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Times New Roman" w:hAnsi="Times New Roman" w:eastAsia="仿宋_GB2312" w:cs="Times New Roman"/>
                <w:sz w:val="20"/>
                <w:szCs w:val="20"/>
              </w:rPr>
              <w:t>2019年商事制度改革奖励资金</w:t>
            </w:r>
          </w:p>
        </w:tc>
        <w:tc>
          <w:tcPr>
            <w:tcW w:w="127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负责人</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及电话</w:t>
            </w:r>
          </w:p>
        </w:tc>
        <w:tc>
          <w:tcPr>
            <w:tcW w:w="3087" w:type="dxa"/>
            <w:gridSpan w:val="3"/>
            <w:tcBorders>
              <w:top w:val="single" w:color="auto" w:sz="4" w:space="0"/>
              <w:left w:val="single" w:color="auto" w:sz="4" w:space="0"/>
              <w:bottom w:val="single" w:color="auto" w:sz="4" w:space="0"/>
              <w:right w:val="single" w:color="auto" w:sz="4" w:space="0"/>
            </w:tcBorders>
            <w:noWrap/>
            <w:vAlign w:val="bottom"/>
          </w:tcPr>
          <w:p>
            <w:pPr>
              <w:widowControl/>
              <w:jc w:val="left"/>
              <w:rPr>
                <w:rFonts w:ascii="宋体" w:hAnsi="宋体" w:cs="宋体"/>
                <w:kern w:val="0"/>
                <w:sz w:val="20"/>
                <w:szCs w:val="20"/>
              </w:rPr>
            </w:pPr>
            <w:r>
              <w:rPr>
                <w:rFonts w:hint="eastAsia" w:ascii="宋体" w:hAnsi="宋体" w:cs="宋体"/>
                <w:kern w:val="0"/>
                <w:sz w:val="20"/>
                <w:szCs w:val="20"/>
              </w:rPr>
              <w:t>刘洪</w:t>
            </w:r>
          </w:p>
          <w:p>
            <w:pPr>
              <w:widowControl/>
              <w:jc w:val="left"/>
              <w:rPr>
                <w:rFonts w:ascii="宋体" w:hAnsi="宋体" w:cs="宋体"/>
                <w:kern w:val="0"/>
                <w:szCs w:val="21"/>
              </w:rPr>
            </w:pPr>
            <w:r>
              <w:rPr>
                <w:rFonts w:hint="eastAsia" w:ascii="宋体" w:hAnsi="宋体" w:cs="宋体"/>
                <w:kern w:val="0"/>
                <w:sz w:val="20"/>
                <w:szCs w:val="20"/>
              </w:rPr>
              <w:t>2267007</w:t>
            </w: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nil"/>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市级主管部门</w:t>
            </w:r>
          </w:p>
        </w:tc>
        <w:tc>
          <w:tcPr>
            <w:tcW w:w="7907" w:type="dxa"/>
            <w:gridSpan w:val="6"/>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怀化市市场监督管理局</w:t>
            </w: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地方主管部门</w:t>
            </w:r>
          </w:p>
        </w:tc>
        <w:tc>
          <w:tcPr>
            <w:tcW w:w="354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鹤城区人民政府</w:t>
            </w:r>
          </w:p>
        </w:tc>
        <w:tc>
          <w:tcPr>
            <w:tcW w:w="127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3087"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仿宋_GB2312" w:hAnsi="宋体" w:eastAsia="仿宋_GB2312" w:cs="宋体"/>
                <w:kern w:val="0"/>
                <w:szCs w:val="21"/>
              </w:rPr>
              <w:t>怀化市鹤城区市场监督管理局</w:t>
            </w:r>
          </w:p>
        </w:tc>
      </w:tr>
      <w:tr>
        <w:tblPrEx>
          <w:tblCellMar>
            <w:top w:w="0" w:type="dxa"/>
            <w:left w:w="108" w:type="dxa"/>
            <w:bottom w:w="0" w:type="dxa"/>
            <w:right w:w="108" w:type="dxa"/>
          </w:tblCellMar>
        </w:tblPrEx>
        <w:trPr>
          <w:trHeight w:val="425" w:hRule="atLeast"/>
          <w:jc w:val="center"/>
        </w:trPr>
        <w:tc>
          <w:tcPr>
            <w:tcW w:w="2153" w:type="dxa"/>
            <w:gridSpan w:val="3"/>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项目资金（万元）</w:t>
            </w: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全年预算数（A）</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全年执行数（B）</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执行率（B／A）</w:t>
            </w:r>
          </w:p>
        </w:tc>
      </w:tr>
      <w:tr>
        <w:tblPrEx>
          <w:tblCellMar>
            <w:top w:w="0" w:type="dxa"/>
            <w:left w:w="108" w:type="dxa"/>
            <w:bottom w:w="0" w:type="dxa"/>
            <w:right w:w="108" w:type="dxa"/>
          </w:tblCellMar>
        </w:tblPrEx>
        <w:trPr>
          <w:trHeight w:val="425"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250000</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250000</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r>
      <w:tr>
        <w:tblPrEx>
          <w:tblCellMar>
            <w:top w:w="0" w:type="dxa"/>
            <w:left w:w="108" w:type="dxa"/>
            <w:bottom w:w="0" w:type="dxa"/>
            <w:right w:w="108" w:type="dxa"/>
          </w:tblCellMar>
        </w:tblPrEx>
        <w:trPr>
          <w:trHeight w:val="425"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其中：中央补助</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40"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ind w:firstLine="420" w:firstLineChars="200"/>
              <w:rPr>
                <w:rFonts w:ascii="仿宋_GB2312" w:hAnsi="宋体" w:eastAsia="仿宋_GB2312" w:cs="宋体"/>
                <w:kern w:val="0"/>
                <w:szCs w:val="21"/>
              </w:rPr>
            </w:pPr>
            <w:r>
              <w:rPr>
                <w:rFonts w:hint="eastAsia" w:ascii="仿宋_GB2312" w:hAnsi="宋体" w:eastAsia="仿宋_GB2312" w:cs="宋体"/>
                <w:kern w:val="0"/>
                <w:szCs w:val="21"/>
              </w:rPr>
              <w:t xml:space="preserve"> 省级资金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02"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xml:space="preserve">    市级资金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02" w:hRule="atLeast"/>
          <w:jc w:val="center"/>
        </w:trPr>
        <w:tc>
          <w:tcPr>
            <w:tcW w:w="2153" w:type="dxa"/>
            <w:gridSpan w:val="3"/>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其他资金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250000</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250000</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r>
      <w:tr>
        <w:tblPrEx>
          <w:tblCellMar>
            <w:top w:w="0" w:type="dxa"/>
            <w:left w:w="108" w:type="dxa"/>
            <w:bottom w:w="0" w:type="dxa"/>
            <w:right w:w="108" w:type="dxa"/>
          </w:tblCellMar>
        </w:tblPrEx>
        <w:trPr>
          <w:trHeight w:val="425"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928"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仿宋_GB2312" w:hAnsi="宋体" w:eastAsia="仿宋_GB2312" w:cs="宋体"/>
                <w:kern w:val="0"/>
                <w:szCs w:val="21"/>
              </w:rPr>
              <w:t>年初设定目标</w:t>
            </w:r>
            <w:r>
              <w:rPr>
                <w:rFonts w:hint="eastAsia" w:ascii="宋体" w:hAnsi="宋体" w:cs="宋体"/>
                <w:kern w:val="0"/>
                <w:szCs w:val="21"/>
              </w:rPr>
              <w:t>　</w:t>
            </w:r>
          </w:p>
        </w:tc>
        <w:tc>
          <w:tcPr>
            <w:tcW w:w="4363"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全年实际完成情况</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4928"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1.继续深化市场准入改革，优化审批服务，进一步提升市场主体获得感和活跃度；</w:t>
            </w:r>
          </w:p>
          <w:p>
            <w:pPr>
              <w:widowControl/>
              <w:jc w:val="left"/>
            </w:pPr>
            <w:r>
              <w:rPr>
                <w:rFonts w:hint="eastAsia" w:ascii="仿宋_GB2312" w:hAnsi="宋体" w:eastAsia="仿宋_GB2312" w:cs="宋体"/>
                <w:kern w:val="0"/>
                <w:szCs w:val="21"/>
              </w:rPr>
              <w:t>2.继续落实企业登记全场电子化工作。</w:t>
            </w:r>
          </w:p>
        </w:tc>
        <w:tc>
          <w:tcPr>
            <w:tcW w:w="4363"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持续落实，圆满完成。</w:t>
            </w:r>
          </w:p>
        </w:tc>
      </w:tr>
      <w:tr>
        <w:tblPrEx>
          <w:tblCellMar>
            <w:top w:w="0" w:type="dxa"/>
            <w:left w:w="108" w:type="dxa"/>
            <w:bottom w:w="0" w:type="dxa"/>
            <w:right w:w="108" w:type="dxa"/>
          </w:tblCellMar>
        </w:tblPrEx>
        <w:trPr>
          <w:trHeight w:val="425"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绩  效    指  标</w:t>
            </w:r>
          </w:p>
        </w:tc>
        <w:tc>
          <w:tcPr>
            <w:tcW w:w="675" w:type="dxa"/>
            <w:tcBorders>
              <w:top w:val="single" w:color="auto" w:sz="4" w:space="0"/>
              <w:left w:val="nil"/>
              <w:bottom w:val="single" w:color="auto" w:sz="4" w:space="0"/>
              <w:right w:val="nil"/>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701"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年度指标值</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198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未完成原因和</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改进措施</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产   出   指   标</w:t>
            </w:r>
          </w:p>
        </w:tc>
        <w:tc>
          <w:tcPr>
            <w:tcW w:w="709" w:type="dxa"/>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701" w:type="dxa"/>
            <w:tcBorders>
              <w:top w:val="single" w:color="auto" w:sz="4" w:space="0"/>
              <w:left w:val="nil"/>
              <w:bottom w:val="single" w:color="auto" w:sz="4" w:space="0"/>
              <w:right w:val="single" w:color="auto" w:sz="4" w:space="0"/>
            </w:tcBorders>
            <w:noWrap/>
            <w:vAlign w:val="center"/>
          </w:tcPr>
          <w:p>
            <w:pPr>
              <w:widowControl/>
              <w:spacing w:line="240" w:lineRule="exact"/>
              <w:rPr>
                <w:rFonts w:ascii="仿宋_GB2312" w:hAnsi="宋体" w:eastAsia="仿宋_GB2312" w:cs="宋体"/>
                <w:kern w:val="0"/>
                <w:szCs w:val="21"/>
              </w:rPr>
            </w:pPr>
            <w:r>
              <w:rPr>
                <w:rFonts w:hint="eastAsia" w:ascii="Times New Roman" w:hAnsi="Times New Roman" w:eastAsia="仿宋_GB2312" w:cs="Times New Roman"/>
                <w:sz w:val="20"/>
                <w:szCs w:val="20"/>
              </w:rPr>
              <w:t>全年新增市场主体</w:t>
            </w:r>
          </w:p>
        </w:tc>
        <w:tc>
          <w:tcPr>
            <w:tcW w:w="1843"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≧6000户</w:t>
            </w:r>
          </w:p>
        </w:tc>
        <w:tc>
          <w:tcPr>
            <w:tcW w:w="1104"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6970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全程电子化登记业务</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≧2300户</w:t>
            </w:r>
          </w:p>
        </w:tc>
        <w:tc>
          <w:tcPr>
            <w:tcW w:w="1104"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2522</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简易注销企业数量</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≧250</w:t>
            </w:r>
          </w:p>
        </w:tc>
        <w:tc>
          <w:tcPr>
            <w:tcW w:w="1104"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296</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全程电子化受理时间</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1个工作日</w:t>
            </w:r>
          </w:p>
        </w:tc>
        <w:tc>
          <w:tcPr>
            <w:tcW w:w="1104"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1个工作日</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项目完成时间</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2020年12月31日前</w:t>
            </w:r>
          </w:p>
        </w:tc>
        <w:tc>
          <w:tcPr>
            <w:tcW w:w="1104"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2020年12月31日</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项目总成本</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≦25万元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25万元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效   益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经济效益  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p>
        </w:tc>
        <w:tc>
          <w:tcPr>
            <w:tcW w:w="1104"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绩  效    指  标</w:t>
            </w:r>
          </w:p>
        </w:tc>
        <w:tc>
          <w:tcPr>
            <w:tcW w:w="675" w:type="dxa"/>
            <w:vMerge w:val="restart"/>
            <w:tcBorders>
              <w:top w:val="single" w:color="auto" w:sz="4" w:space="0"/>
              <w:left w:val="single" w:color="auto" w:sz="4" w:space="0"/>
              <w:right w:val="single" w:color="auto" w:sz="4" w:space="0"/>
            </w:tcBorders>
            <w:noWrap/>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效   益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生态效益  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p>
        </w:tc>
        <w:tc>
          <w:tcPr>
            <w:tcW w:w="1104"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 w:val="20"/>
                <w:szCs w:val="20"/>
              </w:rPr>
              <w:t>聚焦商事登记制度改革，提高审批效率，优化营商环境</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长期</w:t>
            </w:r>
          </w:p>
        </w:tc>
        <w:tc>
          <w:tcPr>
            <w:tcW w:w="1104"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100%</w:t>
            </w:r>
          </w:p>
        </w:tc>
        <w:tc>
          <w:tcPr>
            <w:tcW w:w="198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市场准入、竞争、消费环境改善</w:t>
            </w:r>
          </w:p>
        </w:tc>
        <w:tc>
          <w:tcPr>
            <w:tcW w:w="184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长期</w:t>
            </w:r>
          </w:p>
        </w:tc>
        <w:tc>
          <w:tcPr>
            <w:tcW w:w="1104"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100%</w:t>
            </w:r>
          </w:p>
        </w:tc>
        <w:tc>
          <w:tcPr>
            <w:tcW w:w="198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提升企业注销便利化程度</w:t>
            </w:r>
          </w:p>
        </w:tc>
        <w:tc>
          <w:tcPr>
            <w:tcW w:w="184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长期</w:t>
            </w:r>
          </w:p>
        </w:tc>
        <w:tc>
          <w:tcPr>
            <w:tcW w:w="1104"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增强社会公众商事登记制度改革政策了解，提升增长率</w:t>
            </w:r>
          </w:p>
        </w:tc>
        <w:tc>
          <w:tcPr>
            <w:tcW w:w="184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长期</w:t>
            </w:r>
          </w:p>
        </w:tc>
        <w:tc>
          <w:tcPr>
            <w:tcW w:w="1104"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252"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满意度指标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社会公众满意度</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满意</w:t>
            </w:r>
          </w:p>
        </w:tc>
        <w:tc>
          <w:tcPr>
            <w:tcW w:w="1104"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Times New Roman" w:hAnsi="Times New Roman" w:eastAsia="仿宋_GB2312" w:cs="Times New Roman"/>
                <w:sz w:val="20"/>
                <w:szCs w:val="20"/>
              </w:rPr>
            </w:pPr>
            <w:r>
              <w:rPr>
                <w:rFonts w:hint="eastAsia" w:ascii="Times New Roman" w:hAnsi="Times New Roman" w:eastAsia="仿宋_GB2312" w:cs="Times New Roman"/>
                <w:sz w:val="20"/>
                <w:szCs w:val="20"/>
              </w:rPr>
              <w:t>满意</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952" w:hRule="atLeast"/>
          <w:jc w:val="center"/>
        </w:trPr>
        <w:tc>
          <w:tcPr>
            <w:tcW w:w="769" w:type="dxa"/>
            <w:tcBorders>
              <w:top w:val="single" w:color="auto" w:sz="4" w:space="0"/>
              <w:left w:val="single" w:color="auto" w:sz="4" w:space="0"/>
              <w:bottom w:val="nil"/>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说明</w:t>
            </w:r>
          </w:p>
        </w:tc>
        <w:tc>
          <w:tcPr>
            <w:tcW w:w="9291" w:type="dxa"/>
            <w:gridSpan w:val="8"/>
            <w:tcBorders>
              <w:top w:val="single" w:color="auto" w:sz="4" w:space="0"/>
              <w:left w:val="nil"/>
              <w:bottom w:val="nil"/>
              <w:right w:val="single" w:color="000000"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1785" w:hRule="atLeast"/>
          <w:jc w:val="center"/>
        </w:trPr>
        <w:tc>
          <w:tcPr>
            <w:tcW w:w="10060" w:type="dxa"/>
            <w:gridSpan w:val="9"/>
            <w:vMerge w:val="restart"/>
            <w:tcBorders>
              <w:top w:val="single" w:color="auto" w:sz="8" w:space="0"/>
              <w:left w:val="nil"/>
              <w:bottom w:val="nil"/>
              <w:right w:val="nil"/>
            </w:tcBorders>
            <w:noWrap/>
          </w:tcPr>
          <w:p>
            <w:pPr>
              <w:widowControl/>
              <w:ind w:firstLine="420" w:firstLineChars="200"/>
              <w:jc w:val="left"/>
              <w:rPr>
                <w:rFonts w:ascii="仿宋_GB2312" w:hAnsi="宋体" w:eastAsia="仿宋_GB2312" w:cs="宋体"/>
                <w:kern w:val="0"/>
                <w:szCs w:val="21"/>
              </w:rPr>
            </w:pP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 xml:space="preserve">注：1、其他资金包括和中央补助、地方财政资金共同投入到同一项目的自有资金、社会资金，以及以前年度的结转结余资金等。 </w:t>
            </w: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2、定量指标，资金使用单位填写本地区实际完成数。市直各部门汇总时，对绝对值直接累加计算，相对值按照资金额度加权平均计算。</w:t>
            </w: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3、定性指标根据指标完成情况分为：全部或基本达成预期指标、部分达成预期指标并具有一定效果、未达成预期指标且效果较差三档，资金使用单位分别按照100％—80％（含）、80％—60％（含）、60％—0％合理填写完成比例。</w:t>
            </w:r>
          </w:p>
          <w:p>
            <w:pPr>
              <w:widowControl/>
              <w:spacing w:line="360" w:lineRule="exact"/>
              <w:ind w:firstLine="420" w:firstLineChars="200"/>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atLeast"/>
          <w:jc w:val="center"/>
        </w:trPr>
        <w:tc>
          <w:tcPr>
            <w:tcW w:w="10060" w:type="dxa"/>
            <w:gridSpan w:val="9"/>
            <w:vMerge w:val="continue"/>
            <w:tcBorders>
              <w:top w:val="single" w:color="auto" w:sz="8" w:space="0"/>
              <w:left w:val="nil"/>
              <w:bottom w:val="nil"/>
              <w:right w:val="nil"/>
            </w:tcBorders>
            <w:noWrap/>
            <w:vAlign w:val="center"/>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atLeast"/>
          <w:jc w:val="center"/>
        </w:trPr>
        <w:tc>
          <w:tcPr>
            <w:tcW w:w="10060" w:type="dxa"/>
            <w:gridSpan w:val="9"/>
            <w:vMerge w:val="continue"/>
            <w:tcBorders>
              <w:top w:val="single" w:color="auto" w:sz="8" w:space="0"/>
              <w:left w:val="nil"/>
              <w:bottom w:val="nil"/>
              <w:right w:val="nil"/>
            </w:tcBorders>
            <w:noWrap/>
            <w:vAlign w:val="center"/>
          </w:tcPr>
          <w:p>
            <w:pPr>
              <w:widowControl/>
              <w:jc w:val="left"/>
              <w:rPr>
                <w:rFonts w:ascii="仿宋_GB2312" w:hAnsi="宋体" w:eastAsia="仿宋_GB2312" w:cs="宋体"/>
                <w:kern w:val="0"/>
                <w:szCs w:val="21"/>
              </w:rPr>
            </w:pPr>
          </w:p>
        </w:tc>
      </w:tr>
    </w:tbl>
    <w:p/>
    <w:p>
      <w:r>
        <w:br w:type="page"/>
      </w:r>
    </w:p>
    <w:p>
      <w:pPr>
        <w:spacing w:line="560" w:lineRule="exact"/>
        <w:jc w:val="center"/>
        <w:rPr>
          <w:rFonts w:ascii="黑体" w:hAnsi="宋体" w:eastAsia="黑体" w:cs="宋体"/>
          <w:kern w:val="0"/>
          <w:sz w:val="32"/>
          <w:szCs w:val="32"/>
        </w:rPr>
      </w:pPr>
      <w:r>
        <w:rPr>
          <w:rFonts w:hint="eastAsia" w:ascii="黑体" w:hAnsi="宋体" w:eastAsia="黑体" w:cs="宋体"/>
          <w:kern w:val="0"/>
          <w:sz w:val="32"/>
          <w:szCs w:val="32"/>
        </w:rPr>
        <w:t>专项资金绩效目标自评表4</w:t>
      </w:r>
    </w:p>
    <w:tbl>
      <w:tblPr>
        <w:tblStyle w:val="9"/>
        <w:tblW w:w="10060" w:type="dxa"/>
        <w:jc w:val="center"/>
        <w:tblLayout w:type="fixed"/>
        <w:tblCellMar>
          <w:top w:w="0" w:type="dxa"/>
          <w:left w:w="108" w:type="dxa"/>
          <w:bottom w:w="0" w:type="dxa"/>
          <w:right w:w="108" w:type="dxa"/>
        </w:tblCellMar>
      </w:tblPr>
      <w:tblGrid>
        <w:gridCol w:w="769"/>
        <w:gridCol w:w="675"/>
        <w:gridCol w:w="709"/>
        <w:gridCol w:w="1701"/>
        <w:gridCol w:w="1843"/>
        <w:gridCol w:w="1276"/>
        <w:gridCol w:w="1073"/>
        <w:gridCol w:w="31"/>
        <w:gridCol w:w="1983"/>
      </w:tblGrid>
      <w:tr>
        <w:tblPrEx>
          <w:tblCellMar>
            <w:top w:w="0" w:type="dxa"/>
            <w:left w:w="108" w:type="dxa"/>
            <w:bottom w:w="0" w:type="dxa"/>
            <w:right w:w="108" w:type="dxa"/>
          </w:tblCellMar>
        </w:tblPrEx>
        <w:trPr>
          <w:trHeight w:val="98" w:hRule="atLeast"/>
          <w:jc w:val="center"/>
        </w:trPr>
        <w:tc>
          <w:tcPr>
            <w:tcW w:w="10060" w:type="dxa"/>
            <w:gridSpan w:val="9"/>
            <w:tcBorders>
              <w:top w:val="nil"/>
              <w:left w:val="nil"/>
              <w:bottom w:val="single" w:color="auto" w:sz="4" w:space="0"/>
              <w:right w:val="nil"/>
            </w:tcBorders>
            <w:noWrap/>
            <w:vAlign w:val="center"/>
          </w:tcPr>
          <w:p>
            <w:pPr>
              <w:widowControl/>
              <w:jc w:val="center"/>
              <w:rPr>
                <w:rFonts w:ascii="楷体_GB2312" w:hAnsi="宋体" w:eastAsia="楷体_GB2312" w:cs="宋体"/>
                <w:b/>
                <w:bCs/>
                <w:kern w:val="0"/>
                <w:sz w:val="22"/>
              </w:rPr>
            </w:pP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专项资金名称</w:t>
            </w:r>
          </w:p>
        </w:tc>
        <w:tc>
          <w:tcPr>
            <w:tcW w:w="354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Times New Roman" w:hAnsi="Times New Roman" w:eastAsia="仿宋_GB2312" w:cs="Times New Roman"/>
                <w:sz w:val="20"/>
                <w:szCs w:val="20"/>
              </w:rPr>
              <w:t>省级市场监管专项</w:t>
            </w:r>
          </w:p>
        </w:tc>
        <w:tc>
          <w:tcPr>
            <w:tcW w:w="127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负责人</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及电话</w:t>
            </w:r>
          </w:p>
        </w:tc>
        <w:tc>
          <w:tcPr>
            <w:tcW w:w="3087" w:type="dxa"/>
            <w:gridSpan w:val="3"/>
            <w:tcBorders>
              <w:top w:val="single" w:color="auto" w:sz="4" w:space="0"/>
              <w:left w:val="single" w:color="auto" w:sz="4" w:space="0"/>
              <w:bottom w:val="single" w:color="auto" w:sz="4" w:space="0"/>
              <w:right w:val="single" w:color="auto" w:sz="4" w:space="0"/>
            </w:tcBorders>
            <w:noWrap/>
            <w:vAlign w:val="bottom"/>
          </w:tcPr>
          <w:p>
            <w:pPr>
              <w:widowControl/>
              <w:jc w:val="left"/>
              <w:rPr>
                <w:rFonts w:ascii="宋体" w:hAnsi="宋体" w:cs="宋体"/>
                <w:kern w:val="0"/>
                <w:sz w:val="20"/>
                <w:szCs w:val="20"/>
              </w:rPr>
            </w:pPr>
            <w:r>
              <w:rPr>
                <w:rFonts w:hint="eastAsia" w:ascii="宋体" w:hAnsi="宋体" w:cs="宋体"/>
                <w:kern w:val="0"/>
                <w:sz w:val="20"/>
                <w:szCs w:val="20"/>
              </w:rPr>
              <w:t>刘洪</w:t>
            </w:r>
          </w:p>
          <w:p>
            <w:pPr>
              <w:widowControl/>
              <w:jc w:val="left"/>
              <w:rPr>
                <w:rFonts w:ascii="宋体" w:hAnsi="宋体" w:cs="宋体"/>
                <w:kern w:val="0"/>
                <w:szCs w:val="21"/>
              </w:rPr>
            </w:pPr>
            <w:r>
              <w:rPr>
                <w:rFonts w:hint="eastAsia" w:ascii="宋体" w:hAnsi="宋体" w:cs="宋体"/>
                <w:kern w:val="0"/>
                <w:sz w:val="20"/>
                <w:szCs w:val="20"/>
              </w:rPr>
              <w:t>2267007</w:t>
            </w: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nil"/>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市级主管部门</w:t>
            </w:r>
          </w:p>
        </w:tc>
        <w:tc>
          <w:tcPr>
            <w:tcW w:w="7907" w:type="dxa"/>
            <w:gridSpan w:val="6"/>
            <w:tcBorders>
              <w:top w:val="single" w:color="auto" w:sz="4" w:space="0"/>
              <w:left w:val="single" w:color="auto" w:sz="4" w:space="0"/>
              <w:bottom w:val="single" w:color="auto" w:sz="4" w:space="0"/>
              <w:right w:val="single" w:color="auto" w:sz="4" w:space="0"/>
            </w:tcBorders>
            <w:noWrap/>
            <w:vAlign w:val="center"/>
          </w:tcPr>
          <w:p>
            <w:pPr>
              <w:widowControl/>
              <w:jc w:val="center"/>
            </w:pPr>
            <w:r>
              <w:rPr>
                <w:rFonts w:hint="eastAsia" w:ascii="仿宋_GB2312" w:hAnsi="宋体" w:eastAsia="仿宋_GB2312" w:cs="宋体"/>
                <w:kern w:val="0"/>
                <w:szCs w:val="21"/>
              </w:rPr>
              <w:t>怀化市市场监督管理局</w:t>
            </w: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地方主管部门</w:t>
            </w:r>
          </w:p>
        </w:tc>
        <w:tc>
          <w:tcPr>
            <w:tcW w:w="354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鹤城区人民政府</w:t>
            </w:r>
          </w:p>
        </w:tc>
        <w:tc>
          <w:tcPr>
            <w:tcW w:w="127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3087"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仿宋_GB2312" w:hAnsi="宋体" w:eastAsia="仿宋_GB2312" w:cs="宋体"/>
                <w:kern w:val="0"/>
                <w:szCs w:val="21"/>
              </w:rPr>
              <w:t>怀化市鹤城区市场监督管理局</w:t>
            </w:r>
          </w:p>
        </w:tc>
      </w:tr>
      <w:tr>
        <w:tblPrEx>
          <w:tblCellMar>
            <w:top w:w="0" w:type="dxa"/>
            <w:left w:w="108" w:type="dxa"/>
            <w:bottom w:w="0" w:type="dxa"/>
            <w:right w:w="108" w:type="dxa"/>
          </w:tblCellMar>
        </w:tblPrEx>
        <w:trPr>
          <w:trHeight w:val="425" w:hRule="atLeast"/>
          <w:jc w:val="center"/>
        </w:trPr>
        <w:tc>
          <w:tcPr>
            <w:tcW w:w="2153" w:type="dxa"/>
            <w:gridSpan w:val="3"/>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项目资金（万元）</w:t>
            </w: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全年预算数（A）</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全年执行数（B）</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执行率（B／A）</w:t>
            </w:r>
          </w:p>
        </w:tc>
      </w:tr>
      <w:tr>
        <w:tblPrEx>
          <w:tblCellMar>
            <w:top w:w="0" w:type="dxa"/>
            <w:left w:w="108" w:type="dxa"/>
            <w:bottom w:w="0" w:type="dxa"/>
            <w:right w:w="108" w:type="dxa"/>
          </w:tblCellMar>
        </w:tblPrEx>
        <w:trPr>
          <w:trHeight w:val="425"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710000</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710000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r>
      <w:tr>
        <w:tblPrEx>
          <w:tblCellMar>
            <w:top w:w="0" w:type="dxa"/>
            <w:left w:w="108" w:type="dxa"/>
            <w:bottom w:w="0" w:type="dxa"/>
            <w:right w:w="108" w:type="dxa"/>
          </w:tblCellMar>
        </w:tblPrEx>
        <w:trPr>
          <w:trHeight w:val="425"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其中：中央补助</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40"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ind w:firstLine="420" w:firstLineChars="200"/>
              <w:rPr>
                <w:rFonts w:ascii="仿宋_GB2312" w:hAnsi="宋体" w:eastAsia="仿宋_GB2312" w:cs="宋体"/>
                <w:kern w:val="0"/>
                <w:szCs w:val="21"/>
              </w:rPr>
            </w:pPr>
            <w:r>
              <w:rPr>
                <w:rFonts w:hint="eastAsia" w:ascii="仿宋_GB2312" w:hAnsi="宋体" w:eastAsia="仿宋_GB2312" w:cs="宋体"/>
                <w:kern w:val="0"/>
                <w:szCs w:val="21"/>
              </w:rPr>
              <w:t xml:space="preserve"> 省级资金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710000</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710000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r>
      <w:tr>
        <w:tblPrEx>
          <w:tblCellMar>
            <w:top w:w="0" w:type="dxa"/>
            <w:left w:w="108" w:type="dxa"/>
            <w:bottom w:w="0" w:type="dxa"/>
            <w:right w:w="108" w:type="dxa"/>
          </w:tblCellMar>
        </w:tblPrEx>
        <w:trPr>
          <w:trHeight w:val="302"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xml:space="preserve">    市级资金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02" w:hRule="atLeast"/>
          <w:jc w:val="center"/>
        </w:trPr>
        <w:tc>
          <w:tcPr>
            <w:tcW w:w="2153" w:type="dxa"/>
            <w:gridSpan w:val="3"/>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其他资金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928"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仿宋_GB2312" w:hAnsi="宋体" w:eastAsia="仿宋_GB2312" w:cs="宋体"/>
                <w:kern w:val="0"/>
                <w:szCs w:val="21"/>
              </w:rPr>
              <w:t>年初设定目标</w:t>
            </w:r>
            <w:r>
              <w:rPr>
                <w:rFonts w:hint="eastAsia" w:ascii="宋体" w:hAnsi="宋体" w:cs="宋体"/>
                <w:kern w:val="0"/>
                <w:szCs w:val="21"/>
              </w:rPr>
              <w:t>　</w:t>
            </w:r>
          </w:p>
        </w:tc>
        <w:tc>
          <w:tcPr>
            <w:tcW w:w="4363"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全年实际完成情况</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4928"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pPr>
            <w:r>
              <w:rPr>
                <w:rFonts w:hint="eastAsia"/>
              </w:rPr>
              <w:t>目标1：企业信用监管及双随机一公开监管：2020年度全区企业、农民专业合作社至少达到90%，个体户年报率至少达到80%；开展“双随机、一公开”监管工作。</w:t>
            </w:r>
          </w:p>
          <w:p>
            <w:pPr>
              <w:widowControl/>
              <w:jc w:val="left"/>
            </w:pPr>
            <w:r>
              <w:rPr>
                <w:rFonts w:hint="eastAsia"/>
              </w:rPr>
              <w:t>目标2：商品与</w:t>
            </w:r>
            <w:r>
              <w:rPr>
                <w:rFonts w:hint="eastAsia" w:ascii="宋体" w:hAnsi="宋体" w:eastAsia="宋体" w:cs="宋体"/>
              </w:rPr>
              <w:t>网络交易监管：对辖区内网络经营户开展执法，全年网络巡查不少于20户；对校外培训机构利用不公平格式条款侵害消费者权益违法行为开展集中整治；开展电商领域借庆祝名义从事商业谋利活动专项整治工作；利用3.15等宣传活动，开展网络交易普法宣传。</w:t>
            </w:r>
          </w:p>
          <w:p>
            <w:pPr>
              <w:pStyle w:val="16"/>
              <w:spacing w:line="240" w:lineRule="auto"/>
              <w:ind w:firstLine="0"/>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目标3：广告监测监管：依照国家法律法规规定和省、市市场监管局要求，认真积极开展广告监管监测各项工作，探索创新广告监测新模式，及时研究解决广告监管监测工作中出现的新情况新问题。充分发挥和运用监测平台，对全区主要户外广告、传统媒体广告进行常态化监测，着重加强对重点地区、重点行业、重点商品的广告监管监测，对监测发现的虚假违反</w:t>
            </w:r>
            <w:bookmarkStart w:id="0" w:name="_GoBack"/>
            <w:bookmarkEnd w:id="0"/>
            <w:r>
              <w:rPr>
                <w:rFonts w:hint="eastAsia" w:ascii="Times New Roman" w:hAnsi="Times New Roman" w:eastAsia="宋体" w:cs="Times New Roman"/>
                <w:color w:val="auto"/>
                <w:sz w:val="21"/>
                <w:szCs w:val="24"/>
              </w:rPr>
              <w:t>广告线索及时研判、及时采集、及时查处，进一步降低我区广告违法率，切实维护我区广告市场正常秩序，促进我区广告业高质量发展。</w:t>
            </w:r>
          </w:p>
          <w:p>
            <w:pPr>
              <w:pStyle w:val="16"/>
              <w:spacing w:line="240" w:lineRule="auto"/>
              <w:ind w:firstLine="0"/>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目标4：质量执法办案：完成计划查处案件数量；加强市场监管综合执法，保持执法稽查高压态势。</w:t>
            </w:r>
          </w:p>
          <w:p>
            <w:pPr>
              <w:pStyle w:val="16"/>
              <w:spacing w:line="240" w:lineRule="auto"/>
              <w:ind w:firstLine="0"/>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目标5：反垄断及打击传销：努力贯彻落实全国，省打击传销工作会议精神，进一步推进打击传销工作机制建设，特别是长效机制的建立健全，深入开展打击传销宣传工作，在全区范围内开展一次打击传销专项行动，坚决维护好全区的社会稳定和正常经济秩序完成。</w:t>
            </w:r>
          </w:p>
          <w:p>
            <w:pPr>
              <w:pStyle w:val="16"/>
              <w:spacing w:line="240" w:lineRule="auto"/>
              <w:ind w:firstLine="0"/>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目标6：产商品质量抽查与风险监测：完成抽检计划，持续促进本区产品质量安全水平趋势向上。</w:t>
            </w:r>
          </w:p>
          <w:p>
            <w:pPr>
              <w:pStyle w:val="16"/>
              <w:spacing w:line="240" w:lineRule="auto"/>
              <w:ind w:firstLine="0"/>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 xml:space="preserve">目标7：非公党建专项：持续推进全区非公经济组织党支部“五化建设”；引导全区非公经济党组织积极主动作为、承担社会责任，促进非公经济高质量发展。   </w:t>
            </w:r>
          </w:p>
          <w:p>
            <w:pPr>
              <w:pStyle w:val="16"/>
              <w:spacing w:line="240" w:lineRule="auto"/>
              <w:ind w:firstLine="0"/>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目标8：绩效激励（消费维权专项）：加强消费维权投诉处理，强化市场监管工作。</w:t>
            </w:r>
          </w:p>
        </w:tc>
        <w:tc>
          <w:tcPr>
            <w:tcW w:w="4363"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pPr>
            <w:r>
              <w:rPr>
                <w:rFonts w:hint="eastAsia"/>
              </w:rPr>
              <w:t>目标1完成情况：企业信用监管及双随机一公开监管：2020年度我区企业年报率97.75%，农民专业合作社年报率98.47%，个体工商户年报率85.48%；2021年我局制定或接收的“双随机、一公开”抽查任务数11项，应检查对象855户，已检查并公示对象855户，公示率100%。</w:t>
            </w:r>
          </w:p>
          <w:p>
            <w:pPr>
              <w:pStyle w:val="16"/>
              <w:spacing w:line="240" w:lineRule="auto"/>
              <w:ind w:firstLine="0"/>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目标2完成情况：商品与网络交易监管：对辖区内网络经营户开展执法，全年网络巡查21户；对校外培训机构利用不公平格式条款侵害消费者权益违法行为开展集中整治；开展了电商领域借建党100周年名义从事商业谋利活动专项整治工作；利用3.15等宣传活动，开展网络交易普法宣传。</w:t>
            </w:r>
          </w:p>
          <w:p>
            <w:pPr>
              <w:pStyle w:val="16"/>
              <w:spacing w:line="240" w:lineRule="auto"/>
              <w:ind w:firstLine="0"/>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目标3完成情况：广告监测监管：依照国家法律法规规定和上级主管部门要求，认真积极开展广告监管监测各项工作，与山东蓝天云数据科技有限公司开展合作，对全区主要户外广告进行常态化监测，对监测发现的虚假违反广告线索及时研判、及时采集、及时查处，进一步降低我区广告违法率，切实维护我区广告市场正常秩序。积极开展整治违法违规营销宣传集中整治、“护苗助老”、校外培训机构广告清理、农村户外广告、高等学历继续教育广告发布管理等多项行动，规范广告市场秩序，营造良好的广告环境。</w:t>
            </w:r>
          </w:p>
          <w:p>
            <w:pPr>
              <w:pStyle w:val="16"/>
              <w:spacing w:line="240" w:lineRule="auto"/>
              <w:ind w:firstLine="0"/>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目标4完成情况：质量执法办案：提升监管执法工作效能，查处了56起市场主体的质量违法案件；加强日常监管，打击假冒伪劣产商品，加强市场监管综合执法，保持执法稽查高压态势。</w:t>
            </w:r>
          </w:p>
          <w:p>
            <w:pPr>
              <w:pStyle w:val="16"/>
              <w:spacing w:line="240" w:lineRule="auto"/>
              <w:ind w:firstLine="0"/>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目标5完成情况：反垄断及打击传销：努力贯彻落实全国，省打击传销工作会议精神，进一步推进打击传销工作机制建设，特别是长效机制的建立健全，深入开展了打击传销宣传工作，在全区范围内开展了一次打击传销专项行动，坚决维护好全区的社会稳定和正常经济秩序。</w:t>
            </w:r>
          </w:p>
          <w:p>
            <w:pPr>
              <w:pStyle w:val="16"/>
              <w:spacing w:line="240" w:lineRule="auto"/>
              <w:ind w:firstLine="0"/>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目标6完成情况：产商品质量抽查与风险监测：</w:t>
            </w:r>
            <w:r>
              <w:rPr>
                <w:rFonts w:ascii="Times New Roman" w:hAnsi="Times New Roman" w:eastAsia="宋体" w:cs="Times New Roman"/>
                <w:color w:val="auto"/>
                <w:sz w:val="21"/>
                <w:szCs w:val="24"/>
              </w:rPr>
              <w:t>完成抽检计划</w:t>
            </w:r>
            <w:r>
              <w:rPr>
                <w:rFonts w:hint="eastAsia" w:ascii="Times New Roman" w:hAnsi="Times New Roman" w:eastAsia="宋体" w:cs="Times New Roman"/>
                <w:color w:val="auto"/>
                <w:sz w:val="21"/>
                <w:szCs w:val="24"/>
              </w:rPr>
              <w:t>；</w:t>
            </w:r>
            <w:r>
              <w:rPr>
                <w:rFonts w:ascii="Times New Roman" w:hAnsi="Times New Roman" w:eastAsia="宋体" w:cs="Times New Roman"/>
                <w:color w:val="auto"/>
                <w:sz w:val="21"/>
                <w:szCs w:val="24"/>
              </w:rPr>
              <w:t>持续促进本区产品质量安全水平趋势向上</w:t>
            </w:r>
            <w:r>
              <w:rPr>
                <w:rFonts w:hint="eastAsia" w:ascii="Times New Roman" w:hAnsi="Times New Roman" w:eastAsia="宋体" w:cs="Times New Roman"/>
                <w:color w:val="auto"/>
                <w:sz w:val="21"/>
                <w:szCs w:val="24"/>
              </w:rPr>
              <w:t>。</w:t>
            </w:r>
          </w:p>
          <w:p>
            <w:pPr>
              <w:pStyle w:val="16"/>
              <w:spacing w:line="240" w:lineRule="auto"/>
              <w:ind w:firstLine="0"/>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目标7完成情况：非公党建专项：</w:t>
            </w:r>
            <w:r>
              <w:rPr>
                <w:rFonts w:ascii="Times New Roman" w:hAnsi="Times New Roman" w:eastAsia="宋体" w:cs="Times New Roman"/>
                <w:color w:val="auto"/>
                <w:sz w:val="21"/>
                <w:szCs w:val="24"/>
              </w:rPr>
              <w:t>持续推进全区非公经济组织党支部“五化建设”；引导全区非公经济党组织积极主动作为、承担社会责任，促进非公经济高质量发展。</w:t>
            </w:r>
          </w:p>
          <w:p>
            <w:pPr>
              <w:pStyle w:val="16"/>
              <w:spacing w:line="240" w:lineRule="auto"/>
              <w:ind w:firstLine="0"/>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目标8完成情况：绩效激励（消费维权专项）：加强消费维权投诉处理，强化市场监管工作。</w:t>
            </w:r>
          </w:p>
        </w:tc>
      </w:tr>
      <w:tr>
        <w:tblPrEx>
          <w:tblCellMar>
            <w:top w:w="0" w:type="dxa"/>
            <w:left w:w="108" w:type="dxa"/>
            <w:bottom w:w="0" w:type="dxa"/>
            <w:right w:w="108" w:type="dxa"/>
          </w:tblCellMar>
        </w:tblPrEx>
        <w:trPr>
          <w:trHeight w:val="425"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绩  效    指  标</w:t>
            </w:r>
          </w:p>
        </w:tc>
        <w:tc>
          <w:tcPr>
            <w:tcW w:w="675" w:type="dxa"/>
            <w:tcBorders>
              <w:top w:val="single" w:color="auto" w:sz="4" w:space="0"/>
              <w:left w:val="nil"/>
              <w:bottom w:val="single" w:color="auto" w:sz="4" w:space="0"/>
              <w:right w:val="nil"/>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701"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年度指标值</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198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未完成原因和</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改进措施</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产   出   指   标</w:t>
            </w:r>
          </w:p>
        </w:tc>
        <w:tc>
          <w:tcPr>
            <w:tcW w:w="709" w:type="dxa"/>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Times New Roman" w:hAnsi="Times New Roman" w:eastAsia="仿宋_GB2312"/>
                <w:kern w:val="0"/>
                <w:szCs w:val="21"/>
              </w:rPr>
              <w:t>企业、个体户、农民专业合作社年报完成数量</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Times New Roman" w:hAnsi="Times New Roman" w:eastAsia="仿宋_GB2312"/>
                <w:kern w:val="0"/>
                <w:szCs w:val="21"/>
              </w:rPr>
              <w:t>≥3.9767万户</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Times New Roman" w:hAnsi="Times New Roman" w:eastAsia="仿宋_GB2312"/>
                <w:kern w:val="0"/>
                <w:szCs w:val="21"/>
              </w:rPr>
              <w:t>4.2466万户</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开展企业信用监管“双随机、一公开”抽查企业数量</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≥800</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855</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组织开展合同格式条款专项整治行动数量</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≥2次</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2次</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开展网络市场监管专项行动</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≥1项</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1次</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开展网络交易普法宣传次数</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≥1次</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1次</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实地走访网络经营户数</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≥10户</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11户</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对全区户外广告监测条次</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≧9000条次</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9835条次</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广告整治行动</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≧12.次</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12次</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查处案件完成数量</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≥50件</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55</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开展打击传销专项执法行动次数</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1次</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开展打击传销宣传次数</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2次</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抽查产商品种类</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≥9</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9种</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抽查产商品批次</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≥43</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43批次</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市场监管专项区域绩效自评报告</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≥1次</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1次</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召开非公党建工作相关会议</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≥1次</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2次</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省或市县级媒体及网站发表非公党建宣传报道次数</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≥1次</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1次</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消费者投诉受理时间</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≦7个工作日</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≦7个工作日</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“双随机、一公开”抽查完成率</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企业年报率</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≧90%</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97.76%</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组织开展合同格式条款专项整治行动完成率</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≥90%</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开展网络市场监管专项行动完成率</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≥90%</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开展网络交易普法宣传完成率</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≥90%</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实地走访网络经营户完成率</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≥90%</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虚假违法广告线索处置率</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≧90%</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质量案件处置率</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打击传销专项行动完成率</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办理举报的、交办的、排查的传销案件结案率</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抽查产商品完成率</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组织管理非公经济组织党支部“五化建设”规范化建设达标率</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≥90%</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95.6%</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派党建指导员去非公企业党组织进行党建指导等日常工作的开展</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≥90%</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消费投诉处理率</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≧95%</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年报完成时间</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2021年6月底</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2021年6月底</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抽查完成时间</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2021年12月底</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2021年12月底</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各项行动完成时间</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2021年12月底前</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2021年12月底前</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质量案件个案办结时限</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≤90天</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企业信用监管及双随机一公开监管</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商品与网络交易监管</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≦8万元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8万元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广告监测监管</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质量执法办案</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≦20万元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20万元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反垄断及打击传销</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≦5万元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5万元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产商品质量抽查与风险监测</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≦8万元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8万元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非公党建专项</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≦5万元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5万元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绩效激励（消费维权专项）</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≦5万元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5万元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效   益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经济效益  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让更多的群众受益</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逐步提高</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jc w:val="left"/>
              <w:rPr>
                <w:rFonts w:ascii="仿宋_GB2312" w:hAnsi="宋体" w:eastAsia="仿宋_GB2312" w:cs="宋体"/>
                <w:kern w:val="0"/>
                <w:szCs w:val="21"/>
              </w:rPr>
            </w:pPr>
            <w:r>
              <w:rPr>
                <w:rFonts w:hint="eastAsia" w:ascii="仿宋_GB2312" w:hAnsi="宋体" w:eastAsia="仿宋_GB2312" w:cs="宋体"/>
                <w:kern w:val="0"/>
                <w:szCs w:val="21"/>
              </w:rPr>
              <w:t>绩  效    指  标</w:t>
            </w:r>
          </w:p>
        </w:tc>
        <w:tc>
          <w:tcPr>
            <w:tcW w:w="675" w:type="dxa"/>
            <w:vMerge w:val="restart"/>
            <w:tcBorders>
              <w:top w:val="single" w:color="auto" w:sz="4" w:space="0"/>
              <w:left w:val="single" w:color="auto" w:sz="4" w:space="0"/>
              <w:bottom w:val="single" w:color="auto" w:sz="4" w:space="0"/>
              <w:right w:val="single" w:color="auto" w:sz="4" w:space="0"/>
            </w:tcBorders>
            <w:noWrap/>
            <w:vAlign w:val="center"/>
          </w:tcPr>
          <w:p>
            <w:pPr>
              <w:jc w:val="left"/>
              <w:rPr>
                <w:rFonts w:ascii="仿宋_GB2312" w:hAnsi="宋体" w:eastAsia="仿宋_GB2312" w:cs="宋体"/>
                <w:kern w:val="0"/>
                <w:szCs w:val="21"/>
              </w:rPr>
            </w:pPr>
            <w:r>
              <w:rPr>
                <w:rFonts w:hint="eastAsia" w:ascii="仿宋_GB2312" w:hAnsi="宋体" w:eastAsia="仿宋_GB2312" w:cs="宋体"/>
                <w:kern w:val="0"/>
                <w:szCs w:val="21"/>
              </w:rPr>
              <w:t>效   益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生态效益  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　</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　</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1701" w:type="dxa"/>
            <w:tcBorders>
              <w:top w:val="single" w:color="auto" w:sz="4" w:space="0"/>
              <w:left w:val="nil"/>
              <w:bottom w:val="single" w:color="auto" w:sz="4" w:space="0"/>
              <w:right w:val="single" w:color="auto" w:sz="4" w:space="0"/>
            </w:tcBorders>
            <w:noWrap/>
            <w:vAlign w:val="center"/>
          </w:tcPr>
          <w:p>
            <w:pPr>
              <w:pStyle w:val="20"/>
              <w:kinsoku w:val="0"/>
              <w:overflowPunct w:val="0"/>
              <w:spacing w:line="300" w:lineRule="exact"/>
              <w:rPr>
                <w:rFonts w:ascii="Times New Roman" w:hAnsi="Times New Roman" w:eastAsia="仿宋_GB2312" w:cs="Times New Roman"/>
                <w:kern w:val="0"/>
                <w:sz w:val="21"/>
                <w:szCs w:val="21"/>
              </w:rPr>
            </w:pPr>
            <w:r>
              <w:rPr>
                <w:rFonts w:hint="eastAsia" w:ascii="Times New Roman" w:hAnsi="Times New Roman" w:eastAsia="仿宋_GB2312" w:cs="Times New Roman"/>
                <w:kern w:val="0"/>
                <w:sz w:val="21"/>
                <w:szCs w:val="21"/>
              </w:rPr>
              <w:t>逐步提高企业自主年报意识，切实减轻企业负担，提高监管效能</w:t>
            </w:r>
          </w:p>
        </w:tc>
        <w:tc>
          <w:tcPr>
            <w:tcW w:w="1843" w:type="dxa"/>
            <w:tcBorders>
              <w:top w:val="single" w:color="auto" w:sz="4" w:space="0"/>
              <w:left w:val="nil"/>
              <w:bottom w:val="single" w:color="auto" w:sz="4" w:space="0"/>
              <w:right w:val="single" w:color="auto" w:sz="4" w:space="0"/>
            </w:tcBorders>
            <w:noWrap/>
            <w:vAlign w:val="center"/>
          </w:tcPr>
          <w:p>
            <w:pPr>
              <w:pStyle w:val="20"/>
              <w:kinsoku w:val="0"/>
              <w:overflowPunct w:val="0"/>
              <w:spacing w:line="300" w:lineRule="exact"/>
              <w:rPr>
                <w:rFonts w:ascii="Times New Roman" w:hAnsi="Times New Roman" w:eastAsia="仿宋_GB2312" w:cs="Times New Roman"/>
                <w:kern w:val="0"/>
                <w:sz w:val="21"/>
                <w:szCs w:val="21"/>
              </w:rPr>
            </w:pPr>
          </w:p>
        </w:tc>
        <w:tc>
          <w:tcPr>
            <w:tcW w:w="1276" w:type="dxa"/>
            <w:tcBorders>
              <w:top w:val="single" w:color="auto" w:sz="4" w:space="0"/>
              <w:left w:val="nil"/>
              <w:bottom w:val="single" w:color="auto" w:sz="4" w:space="0"/>
              <w:right w:val="single" w:color="auto" w:sz="4" w:space="0"/>
            </w:tcBorders>
            <w:noWrap/>
            <w:vAlign w:val="center"/>
          </w:tcPr>
          <w:p>
            <w:pPr>
              <w:pStyle w:val="20"/>
              <w:kinsoku w:val="0"/>
              <w:overflowPunct w:val="0"/>
              <w:spacing w:line="300" w:lineRule="exact"/>
              <w:rPr>
                <w:rFonts w:ascii="Times New Roman" w:hAnsi="Times New Roman" w:eastAsia="仿宋_GB2312" w:cs="Times New Roman"/>
                <w:kern w:val="0"/>
                <w:sz w:val="21"/>
                <w:szCs w:val="21"/>
              </w:rPr>
            </w:pPr>
            <w:r>
              <w:rPr>
                <w:rFonts w:hint="eastAsia" w:ascii="Times New Roman" w:hAnsi="Times New Roman" w:eastAsia="仿宋_GB2312" w:cs="Times New Roman"/>
                <w:kern w:val="0"/>
                <w:sz w:val="21"/>
                <w:szCs w:val="21"/>
              </w:rPr>
              <w:t>逐步提高</w:t>
            </w:r>
          </w:p>
        </w:tc>
        <w:tc>
          <w:tcPr>
            <w:tcW w:w="1104" w:type="dxa"/>
            <w:gridSpan w:val="2"/>
            <w:tcBorders>
              <w:top w:val="single" w:color="auto" w:sz="4" w:space="0"/>
              <w:left w:val="nil"/>
              <w:bottom w:val="single" w:color="auto" w:sz="4" w:space="0"/>
              <w:right w:val="single" w:color="auto" w:sz="4" w:space="0"/>
            </w:tcBorders>
            <w:noWrap/>
            <w:vAlign w:val="center"/>
          </w:tcPr>
          <w:p>
            <w:pPr>
              <w:kinsoku w:val="0"/>
              <w:overflowPunct w:val="0"/>
              <w:spacing w:line="300" w:lineRule="exact"/>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pStyle w:val="20"/>
              <w:kinsoku w:val="0"/>
              <w:overflowPunct w:val="0"/>
              <w:spacing w:line="300" w:lineRule="exact"/>
              <w:rPr>
                <w:rFonts w:ascii="Times New Roman" w:hAnsi="Times New Roman" w:eastAsia="仿宋_GB2312" w:cs="Times New Roman"/>
                <w:kern w:val="0"/>
                <w:sz w:val="21"/>
                <w:szCs w:val="21"/>
              </w:rPr>
            </w:pPr>
            <w:r>
              <w:rPr>
                <w:rFonts w:hint="eastAsia" w:ascii="Times New Roman" w:hAnsi="Times New Roman" w:eastAsia="仿宋_GB2312" w:cs="Times New Roman"/>
                <w:kern w:val="0"/>
                <w:sz w:val="21"/>
                <w:szCs w:val="21"/>
              </w:rPr>
              <w:t>以“双随机、一公开”监管为基本手段，以重点监管为补充，以信用监管为基础的市场监管新机制。</w:t>
            </w:r>
          </w:p>
        </w:tc>
        <w:tc>
          <w:tcPr>
            <w:tcW w:w="1843" w:type="dxa"/>
            <w:tcBorders>
              <w:top w:val="single" w:color="auto" w:sz="4" w:space="0"/>
              <w:left w:val="nil"/>
              <w:bottom w:val="single" w:color="auto" w:sz="4" w:space="0"/>
              <w:right w:val="single" w:color="auto" w:sz="4" w:space="0"/>
            </w:tcBorders>
            <w:noWrap/>
            <w:vAlign w:val="center"/>
          </w:tcPr>
          <w:p>
            <w:pPr>
              <w:pStyle w:val="20"/>
              <w:kinsoku w:val="0"/>
              <w:overflowPunct w:val="0"/>
              <w:spacing w:line="300" w:lineRule="exact"/>
              <w:rPr>
                <w:rFonts w:ascii="Times New Roman" w:hAnsi="Times New Roman" w:eastAsia="仿宋_GB2312" w:cs="Times New Roman"/>
                <w:kern w:val="0"/>
                <w:sz w:val="21"/>
                <w:szCs w:val="21"/>
              </w:rPr>
            </w:pPr>
          </w:p>
        </w:tc>
        <w:tc>
          <w:tcPr>
            <w:tcW w:w="1276" w:type="dxa"/>
            <w:tcBorders>
              <w:top w:val="single" w:color="auto" w:sz="4" w:space="0"/>
              <w:left w:val="nil"/>
              <w:bottom w:val="single" w:color="auto" w:sz="4" w:space="0"/>
              <w:right w:val="single" w:color="auto" w:sz="4" w:space="0"/>
            </w:tcBorders>
            <w:noWrap/>
            <w:vAlign w:val="center"/>
          </w:tcPr>
          <w:p>
            <w:pPr>
              <w:pStyle w:val="20"/>
              <w:kinsoku w:val="0"/>
              <w:overflowPunct w:val="0"/>
              <w:spacing w:line="300" w:lineRule="exact"/>
              <w:rPr>
                <w:rFonts w:ascii="Times New Roman" w:hAnsi="Times New Roman" w:eastAsia="仿宋_GB2312" w:cs="Times New Roman"/>
                <w:kern w:val="0"/>
                <w:sz w:val="21"/>
                <w:szCs w:val="21"/>
              </w:rPr>
            </w:pPr>
            <w:r>
              <w:rPr>
                <w:rFonts w:hint="eastAsia" w:ascii="Times New Roman" w:hAnsi="Times New Roman" w:eastAsia="仿宋_GB2312" w:cs="Times New Roman"/>
                <w:kern w:val="0"/>
                <w:sz w:val="21"/>
                <w:szCs w:val="21"/>
              </w:rPr>
              <w:t>逐步健全</w:t>
            </w:r>
          </w:p>
        </w:tc>
        <w:tc>
          <w:tcPr>
            <w:tcW w:w="1104" w:type="dxa"/>
            <w:gridSpan w:val="2"/>
            <w:tcBorders>
              <w:top w:val="single" w:color="auto" w:sz="4" w:space="0"/>
              <w:left w:val="nil"/>
              <w:bottom w:val="single" w:color="auto" w:sz="4" w:space="0"/>
              <w:right w:val="single" w:color="auto" w:sz="4" w:space="0"/>
            </w:tcBorders>
            <w:noWrap/>
            <w:vAlign w:val="center"/>
          </w:tcPr>
          <w:p>
            <w:pPr>
              <w:kinsoku w:val="0"/>
              <w:overflowPunct w:val="0"/>
              <w:spacing w:line="300" w:lineRule="exact"/>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pStyle w:val="20"/>
              <w:kinsoku w:val="0"/>
              <w:overflowPunct w:val="0"/>
              <w:spacing w:line="300" w:lineRule="exact"/>
              <w:rPr>
                <w:rFonts w:ascii="Times New Roman" w:hAnsi="Times New Roman" w:eastAsia="仿宋_GB2312" w:cs="Times New Roman"/>
                <w:kern w:val="0"/>
                <w:sz w:val="21"/>
                <w:szCs w:val="21"/>
              </w:rPr>
            </w:pPr>
            <w:r>
              <w:rPr>
                <w:rFonts w:hint="eastAsia" w:ascii="Times New Roman" w:hAnsi="Times New Roman" w:eastAsia="仿宋_GB2312" w:cs="Times New Roman"/>
                <w:kern w:val="0"/>
                <w:sz w:val="21"/>
                <w:szCs w:val="21"/>
              </w:rPr>
              <w:t>持续营造公平竞争的市场环境和法制化、便利化的营商环境。</w:t>
            </w:r>
          </w:p>
        </w:tc>
        <w:tc>
          <w:tcPr>
            <w:tcW w:w="1843" w:type="dxa"/>
            <w:tcBorders>
              <w:top w:val="single" w:color="auto" w:sz="4" w:space="0"/>
              <w:left w:val="nil"/>
              <w:bottom w:val="single" w:color="auto" w:sz="4" w:space="0"/>
              <w:right w:val="single" w:color="auto" w:sz="4" w:space="0"/>
            </w:tcBorders>
            <w:noWrap/>
            <w:vAlign w:val="center"/>
          </w:tcPr>
          <w:p>
            <w:pPr>
              <w:pStyle w:val="20"/>
              <w:kinsoku w:val="0"/>
              <w:overflowPunct w:val="0"/>
              <w:spacing w:line="300" w:lineRule="exact"/>
              <w:rPr>
                <w:rFonts w:ascii="Times New Roman" w:hAnsi="Times New Roman" w:eastAsia="仿宋_GB2312" w:cs="Times New Roman"/>
                <w:kern w:val="0"/>
                <w:sz w:val="21"/>
                <w:szCs w:val="21"/>
              </w:rPr>
            </w:pPr>
          </w:p>
        </w:tc>
        <w:tc>
          <w:tcPr>
            <w:tcW w:w="1276" w:type="dxa"/>
            <w:tcBorders>
              <w:top w:val="single" w:color="auto" w:sz="4" w:space="0"/>
              <w:left w:val="nil"/>
              <w:bottom w:val="single" w:color="auto" w:sz="4" w:space="0"/>
              <w:right w:val="single" w:color="auto" w:sz="4" w:space="0"/>
            </w:tcBorders>
            <w:noWrap/>
            <w:vAlign w:val="center"/>
          </w:tcPr>
          <w:p>
            <w:pPr>
              <w:pStyle w:val="20"/>
              <w:kinsoku w:val="0"/>
              <w:overflowPunct w:val="0"/>
              <w:spacing w:line="300" w:lineRule="exact"/>
              <w:rPr>
                <w:rFonts w:ascii="Times New Roman" w:hAnsi="Times New Roman" w:eastAsia="仿宋_GB2312" w:cs="Times New Roman"/>
                <w:kern w:val="0"/>
                <w:sz w:val="21"/>
                <w:szCs w:val="21"/>
              </w:rPr>
            </w:pPr>
            <w:r>
              <w:rPr>
                <w:rFonts w:hint="eastAsia" w:ascii="Times New Roman" w:hAnsi="Times New Roman" w:eastAsia="仿宋_GB2312" w:cs="Times New Roman"/>
                <w:kern w:val="0"/>
                <w:sz w:val="21"/>
                <w:szCs w:val="21"/>
              </w:rPr>
              <w:t>持续提升</w:t>
            </w:r>
          </w:p>
        </w:tc>
        <w:tc>
          <w:tcPr>
            <w:tcW w:w="1104" w:type="dxa"/>
            <w:gridSpan w:val="2"/>
            <w:tcBorders>
              <w:top w:val="single" w:color="auto" w:sz="4" w:space="0"/>
              <w:left w:val="nil"/>
              <w:bottom w:val="single" w:color="auto" w:sz="4" w:space="0"/>
              <w:right w:val="single" w:color="auto" w:sz="4" w:space="0"/>
            </w:tcBorders>
            <w:noWrap/>
            <w:vAlign w:val="center"/>
          </w:tcPr>
          <w:p>
            <w:pPr>
              <w:kinsoku w:val="0"/>
              <w:overflowPunct w:val="0"/>
              <w:spacing w:line="300" w:lineRule="exact"/>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pPr>
          </w:p>
          <w:p>
            <w:pPr>
              <w:pStyle w:val="16"/>
              <w:rPr>
                <w:color w:val="auto"/>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重点领域不公平合同格式条款现象得到遏制</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逐步提高</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pStyle w:val="16"/>
              <w:rPr>
                <w:color w:val="auto"/>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净化全区网络交易环境</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逐步提高</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维护网络消费者合法权益</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逐步提高</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规范全区网络市场秩序，促进电子商务健康发展</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长期</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优化广告业营商环境</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逐步提高</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鹤城区广告行业监管水平</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逐步提高</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保持执法稽查高压态势，提高执法稽查的公信力和震慑力</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持续提升</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加强市场监管综合执法，优化市场营商环境</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持续提升</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通过大量的宣传和制度建设，提高人民群众对传销的防范意识</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长期</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通过打击传销长效机制的建立健全，提高民众、企业获得感和满意度</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持续推进</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发现产品质量安全问题，化解安全风险</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安全风险逐渐降低</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持续促进本区产品质量安全水平趋势向上</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持续向上</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新型劳动关系在企业内部的和谐状况</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长期</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非公经济党组织高质量发展</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长期</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营造安全放心的消费环境</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逐步提高</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提升消费维权业务能力</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持续提升</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270"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满意度指标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消费投诉和维权处理满意率</w:t>
            </w:r>
          </w:p>
        </w:tc>
        <w:tc>
          <w:tcPr>
            <w:tcW w:w="1843"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满意</w:t>
            </w:r>
          </w:p>
        </w:tc>
        <w:tc>
          <w:tcPr>
            <w:tcW w:w="1104" w:type="dxa"/>
            <w:gridSpan w:val="2"/>
            <w:tcBorders>
              <w:top w:val="single" w:color="auto" w:sz="4" w:space="0"/>
              <w:left w:val="nil"/>
              <w:bottom w:val="single" w:color="auto" w:sz="4" w:space="0"/>
              <w:right w:val="single" w:color="auto" w:sz="4" w:space="0"/>
            </w:tcBorders>
            <w:noWrap/>
            <w:vAlign w:val="center"/>
          </w:tcPr>
          <w:p>
            <w:pPr>
              <w:widowControl/>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满意</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952" w:hRule="atLeast"/>
          <w:jc w:val="center"/>
        </w:trPr>
        <w:tc>
          <w:tcPr>
            <w:tcW w:w="769" w:type="dxa"/>
            <w:tcBorders>
              <w:top w:val="single" w:color="auto" w:sz="4" w:space="0"/>
              <w:left w:val="single" w:color="auto" w:sz="4" w:space="0"/>
              <w:bottom w:val="nil"/>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说明</w:t>
            </w:r>
          </w:p>
        </w:tc>
        <w:tc>
          <w:tcPr>
            <w:tcW w:w="9291" w:type="dxa"/>
            <w:gridSpan w:val="8"/>
            <w:tcBorders>
              <w:top w:val="single" w:color="auto" w:sz="4" w:space="0"/>
              <w:left w:val="nil"/>
              <w:bottom w:val="nil"/>
              <w:right w:val="single" w:color="000000"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1785" w:hRule="atLeast"/>
          <w:jc w:val="center"/>
        </w:trPr>
        <w:tc>
          <w:tcPr>
            <w:tcW w:w="10060" w:type="dxa"/>
            <w:gridSpan w:val="9"/>
            <w:vMerge w:val="restart"/>
            <w:tcBorders>
              <w:top w:val="single" w:color="auto" w:sz="8" w:space="0"/>
              <w:left w:val="nil"/>
              <w:bottom w:val="nil"/>
              <w:right w:val="nil"/>
            </w:tcBorders>
            <w:noWrap/>
          </w:tcPr>
          <w:p>
            <w:pPr>
              <w:widowControl/>
              <w:ind w:firstLine="420" w:firstLineChars="200"/>
              <w:jc w:val="left"/>
              <w:rPr>
                <w:rFonts w:ascii="仿宋_GB2312" w:hAnsi="宋体" w:eastAsia="仿宋_GB2312" w:cs="宋体"/>
                <w:kern w:val="0"/>
                <w:szCs w:val="21"/>
              </w:rPr>
            </w:pP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 xml:space="preserve">注：1、其他资金包括和中央补助、地方财政资金共同投入到同一项目的自有资金、社会资金，以及以前年度的结转结余资金等。 </w:t>
            </w: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2、定量指标，资金使用单位填写本地区实际完成数。市直各部门汇总时，对绝对值直接累加计算，相对值按照资金额度加权平均计算。</w:t>
            </w: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3、定性指标根据指标完成情况分为：全部或基本达成预期指标、部分达成预期指标并具有一定效果、未达成预期指标且效果较差三档，资金使用单位分别按照100％—80％（含）、80％—60％（含）、60％—0％合理填写完成比例。</w:t>
            </w:r>
          </w:p>
          <w:p>
            <w:pPr>
              <w:widowControl/>
              <w:spacing w:line="360" w:lineRule="exact"/>
              <w:ind w:firstLine="420" w:firstLineChars="200"/>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atLeast"/>
          <w:jc w:val="center"/>
        </w:trPr>
        <w:tc>
          <w:tcPr>
            <w:tcW w:w="10060" w:type="dxa"/>
            <w:gridSpan w:val="9"/>
            <w:vMerge w:val="continue"/>
            <w:tcBorders>
              <w:top w:val="single" w:color="auto" w:sz="8" w:space="0"/>
              <w:left w:val="nil"/>
              <w:bottom w:val="nil"/>
              <w:right w:val="nil"/>
            </w:tcBorders>
            <w:noWrap/>
            <w:vAlign w:val="center"/>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atLeast"/>
          <w:jc w:val="center"/>
        </w:trPr>
        <w:tc>
          <w:tcPr>
            <w:tcW w:w="10060" w:type="dxa"/>
            <w:gridSpan w:val="9"/>
            <w:vMerge w:val="continue"/>
            <w:tcBorders>
              <w:top w:val="single" w:color="auto" w:sz="8" w:space="0"/>
              <w:left w:val="nil"/>
              <w:bottom w:val="nil"/>
              <w:right w:val="nil"/>
            </w:tcBorders>
            <w:noWrap/>
            <w:vAlign w:val="center"/>
          </w:tcPr>
          <w:p>
            <w:pPr>
              <w:widowControl/>
              <w:jc w:val="left"/>
              <w:rPr>
                <w:rFonts w:ascii="仿宋_GB2312" w:hAnsi="宋体" w:eastAsia="仿宋_GB2312" w:cs="宋体"/>
                <w:kern w:val="0"/>
                <w:szCs w:val="21"/>
              </w:rPr>
            </w:pPr>
          </w:p>
        </w:tc>
      </w:tr>
    </w:tbl>
    <w:p/>
    <w:p>
      <w:r>
        <w:br w:type="page"/>
      </w:r>
    </w:p>
    <w:p>
      <w:pPr>
        <w:spacing w:line="560" w:lineRule="exact"/>
        <w:jc w:val="center"/>
        <w:rPr>
          <w:rFonts w:ascii="黑体" w:hAnsi="宋体" w:eastAsia="黑体" w:cs="宋体"/>
          <w:kern w:val="0"/>
          <w:sz w:val="32"/>
          <w:szCs w:val="32"/>
        </w:rPr>
      </w:pPr>
      <w:r>
        <w:rPr>
          <w:rFonts w:hint="eastAsia" w:ascii="黑体" w:hAnsi="宋体" w:eastAsia="黑体" w:cs="宋体"/>
          <w:kern w:val="0"/>
          <w:sz w:val="32"/>
          <w:szCs w:val="32"/>
        </w:rPr>
        <w:t>专项资金绩效目标自评表5</w:t>
      </w:r>
    </w:p>
    <w:tbl>
      <w:tblPr>
        <w:tblStyle w:val="9"/>
        <w:tblW w:w="10060" w:type="dxa"/>
        <w:jc w:val="center"/>
        <w:tblLayout w:type="fixed"/>
        <w:tblCellMar>
          <w:top w:w="0" w:type="dxa"/>
          <w:left w:w="108" w:type="dxa"/>
          <w:bottom w:w="0" w:type="dxa"/>
          <w:right w:w="108" w:type="dxa"/>
        </w:tblCellMar>
      </w:tblPr>
      <w:tblGrid>
        <w:gridCol w:w="769"/>
        <w:gridCol w:w="675"/>
        <w:gridCol w:w="709"/>
        <w:gridCol w:w="1701"/>
        <w:gridCol w:w="1843"/>
        <w:gridCol w:w="1276"/>
        <w:gridCol w:w="1073"/>
        <w:gridCol w:w="31"/>
        <w:gridCol w:w="1983"/>
      </w:tblGrid>
      <w:tr>
        <w:tblPrEx>
          <w:tblCellMar>
            <w:top w:w="0" w:type="dxa"/>
            <w:left w:w="108" w:type="dxa"/>
            <w:bottom w:w="0" w:type="dxa"/>
            <w:right w:w="108" w:type="dxa"/>
          </w:tblCellMar>
        </w:tblPrEx>
        <w:trPr>
          <w:trHeight w:val="98" w:hRule="atLeast"/>
          <w:jc w:val="center"/>
        </w:trPr>
        <w:tc>
          <w:tcPr>
            <w:tcW w:w="10060" w:type="dxa"/>
            <w:gridSpan w:val="9"/>
            <w:tcBorders>
              <w:top w:val="nil"/>
              <w:left w:val="nil"/>
              <w:bottom w:val="single" w:color="auto" w:sz="4" w:space="0"/>
              <w:right w:val="nil"/>
            </w:tcBorders>
            <w:noWrap/>
            <w:vAlign w:val="center"/>
          </w:tcPr>
          <w:p>
            <w:pPr>
              <w:widowControl/>
              <w:jc w:val="center"/>
              <w:rPr>
                <w:rFonts w:ascii="楷体_GB2312" w:hAnsi="宋体" w:eastAsia="楷体_GB2312" w:cs="宋体"/>
                <w:b/>
                <w:bCs/>
                <w:kern w:val="0"/>
                <w:sz w:val="22"/>
              </w:rPr>
            </w:pP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专项资金名称</w:t>
            </w:r>
          </w:p>
        </w:tc>
        <w:tc>
          <w:tcPr>
            <w:tcW w:w="354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Times New Roman" w:hAnsi="Times New Roman" w:eastAsia="仿宋_GB2312" w:cs="Times New Roman"/>
                <w:sz w:val="20"/>
                <w:szCs w:val="20"/>
              </w:rPr>
              <w:t>省级市场监管专项补助资金</w:t>
            </w:r>
          </w:p>
        </w:tc>
        <w:tc>
          <w:tcPr>
            <w:tcW w:w="127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负责人</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及电话</w:t>
            </w:r>
          </w:p>
        </w:tc>
        <w:tc>
          <w:tcPr>
            <w:tcW w:w="3087" w:type="dxa"/>
            <w:gridSpan w:val="3"/>
            <w:tcBorders>
              <w:top w:val="single" w:color="auto" w:sz="4" w:space="0"/>
              <w:left w:val="single" w:color="auto" w:sz="4" w:space="0"/>
              <w:bottom w:val="single" w:color="auto" w:sz="4" w:space="0"/>
              <w:right w:val="single" w:color="auto" w:sz="4" w:space="0"/>
            </w:tcBorders>
            <w:noWrap/>
            <w:vAlign w:val="bottom"/>
          </w:tcPr>
          <w:p>
            <w:pPr>
              <w:widowControl/>
              <w:jc w:val="left"/>
              <w:rPr>
                <w:rFonts w:ascii="宋体" w:hAnsi="宋体" w:cs="宋体"/>
                <w:kern w:val="0"/>
                <w:sz w:val="20"/>
                <w:szCs w:val="20"/>
              </w:rPr>
            </w:pPr>
            <w:r>
              <w:rPr>
                <w:rFonts w:hint="eastAsia" w:ascii="宋体" w:hAnsi="宋体" w:cs="宋体"/>
                <w:kern w:val="0"/>
                <w:sz w:val="20"/>
                <w:szCs w:val="20"/>
              </w:rPr>
              <w:t>刘洪</w:t>
            </w:r>
          </w:p>
          <w:p>
            <w:pPr>
              <w:widowControl/>
              <w:jc w:val="left"/>
              <w:rPr>
                <w:rFonts w:ascii="宋体" w:hAnsi="宋体" w:cs="宋体"/>
                <w:kern w:val="0"/>
                <w:szCs w:val="21"/>
              </w:rPr>
            </w:pPr>
            <w:r>
              <w:rPr>
                <w:rFonts w:hint="eastAsia" w:ascii="宋体" w:hAnsi="宋体" w:cs="宋体"/>
                <w:kern w:val="0"/>
                <w:sz w:val="20"/>
                <w:szCs w:val="20"/>
              </w:rPr>
              <w:t>2267007</w:t>
            </w: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nil"/>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市级主管部门</w:t>
            </w:r>
          </w:p>
        </w:tc>
        <w:tc>
          <w:tcPr>
            <w:tcW w:w="7907" w:type="dxa"/>
            <w:gridSpan w:val="6"/>
            <w:tcBorders>
              <w:top w:val="single" w:color="auto" w:sz="4" w:space="0"/>
              <w:left w:val="single" w:color="auto" w:sz="4" w:space="0"/>
              <w:bottom w:val="single" w:color="auto" w:sz="4" w:space="0"/>
              <w:right w:val="single" w:color="auto" w:sz="4" w:space="0"/>
            </w:tcBorders>
            <w:noWrap/>
            <w:vAlign w:val="center"/>
          </w:tcPr>
          <w:p>
            <w:pPr>
              <w:widowControl/>
              <w:jc w:val="center"/>
            </w:pPr>
            <w:r>
              <w:rPr>
                <w:rFonts w:hint="eastAsia" w:ascii="仿宋_GB2312" w:hAnsi="宋体" w:eastAsia="仿宋_GB2312" w:cs="宋体"/>
                <w:kern w:val="0"/>
                <w:szCs w:val="21"/>
              </w:rPr>
              <w:t>怀化市市场监督管理局</w:t>
            </w: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地方主管部门</w:t>
            </w:r>
          </w:p>
        </w:tc>
        <w:tc>
          <w:tcPr>
            <w:tcW w:w="354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鹤城区人民政府　</w:t>
            </w:r>
          </w:p>
        </w:tc>
        <w:tc>
          <w:tcPr>
            <w:tcW w:w="127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3087"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仿宋_GB2312" w:hAnsi="宋体" w:eastAsia="仿宋_GB2312" w:cs="宋体"/>
                <w:kern w:val="0"/>
                <w:szCs w:val="21"/>
              </w:rPr>
              <w:t>怀化市鹤城区市场监督管理局</w:t>
            </w:r>
          </w:p>
        </w:tc>
      </w:tr>
      <w:tr>
        <w:tblPrEx>
          <w:tblCellMar>
            <w:top w:w="0" w:type="dxa"/>
            <w:left w:w="108" w:type="dxa"/>
            <w:bottom w:w="0" w:type="dxa"/>
            <w:right w:w="108" w:type="dxa"/>
          </w:tblCellMar>
        </w:tblPrEx>
        <w:trPr>
          <w:trHeight w:val="425" w:hRule="atLeast"/>
          <w:jc w:val="center"/>
        </w:trPr>
        <w:tc>
          <w:tcPr>
            <w:tcW w:w="2153" w:type="dxa"/>
            <w:gridSpan w:val="3"/>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项目资金（万元）</w:t>
            </w: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全年预算数（A）</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全年执行数（B）</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执行率（B／A）</w:t>
            </w:r>
          </w:p>
        </w:tc>
      </w:tr>
      <w:tr>
        <w:tblPrEx>
          <w:tblCellMar>
            <w:top w:w="0" w:type="dxa"/>
            <w:left w:w="108" w:type="dxa"/>
            <w:bottom w:w="0" w:type="dxa"/>
            <w:right w:w="108" w:type="dxa"/>
          </w:tblCellMar>
        </w:tblPrEx>
        <w:trPr>
          <w:trHeight w:val="425"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300000</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300000</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r>
      <w:tr>
        <w:tblPrEx>
          <w:tblCellMar>
            <w:top w:w="0" w:type="dxa"/>
            <w:left w:w="108" w:type="dxa"/>
            <w:bottom w:w="0" w:type="dxa"/>
            <w:right w:w="108" w:type="dxa"/>
          </w:tblCellMar>
        </w:tblPrEx>
        <w:trPr>
          <w:trHeight w:val="425"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其中：中央补助</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40"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ind w:firstLine="420" w:firstLineChars="200"/>
              <w:rPr>
                <w:rFonts w:ascii="仿宋_GB2312" w:hAnsi="宋体" w:eastAsia="仿宋_GB2312" w:cs="宋体"/>
                <w:kern w:val="0"/>
                <w:szCs w:val="21"/>
              </w:rPr>
            </w:pPr>
            <w:r>
              <w:rPr>
                <w:rFonts w:hint="eastAsia" w:ascii="仿宋_GB2312" w:hAnsi="宋体" w:eastAsia="仿宋_GB2312" w:cs="宋体"/>
                <w:kern w:val="0"/>
                <w:szCs w:val="21"/>
              </w:rPr>
              <w:t xml:space="preserve"> 省级资金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300000</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300000</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r>
      <w:tr>
        <w:tblPrEx>
          <w:tblCellMar>
            <w:top w:w="0" w:type="dxa"/>
            <w:left w:w="108" w:type="dxa"/>
            <w:bottom w:w="0" w:type="dxa"/>
            <w:right w:w="108" w:type="dxa"/>
          </w:tblCellMar>
        </w:tblPrEx>
        <w:trPr>
          <w:trHeight w:val="302"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xml:space="preserve">    市级资金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02" w:hRule="atLeast"/>
          <w:jc w:val="center"/>
        </w:trPr>
        <w:tc>
          <w:tcPr>
            <w:tcW w:w="2153" w:type="dxa"/>
            <w:gridSpan w:val="3"/>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其他资金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928"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仿宋_GB2312" w:hAnsi="宋体" w:eastAsia="仿宋_GB2312" w:cs="宋体"/>
                <w:kern w:val="0"/>
                <w:szCs w:val="21"/>
              </w:rPr>
              <w:t>年初设定目标</w:t>
            </w:r>
            <w:r>
              <w:rPr>
                <w:rFonts w:hint="eastAsia" w:ascii="宋体" w:hAnsi="宋体" w:cs="宋体"/>
                <w:kern w:val="0"/>
                <w:szCs w:val="21"/>
              </w:rPr>
              <w:t>　</w:t>
            </w:r>
          </w:p>
        </w:tc>
        <w:tc>
          <w:tcPr>
            <w:tcW w:w="4363"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全年实际完成情况</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4928"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r>
              <w:rPr>
                <w:rFonts w:hint="eastAsia" w:ascii="宋体" w:hAnsi="宋体" w:cs="宋体"/>
                <w:kern w:val="0"/>
                <w:szCs w:val="21"/>
              </w:rPr>
              <w:t>根据《湖南省市场监督管理局“基层基础年”支持县级基层能力建设的七条措施》，加强基层能力建设，强基固本、提质增效，包括加强基层执法能力建设、基层所标准化规范化建设、基层信息化建设、基层人员培训及鼓励基层干部到上级机关跟班学习等方面。</w:t>
            </w:r>
          </w:p>
        </w:tc>
        <w:tc>
          <w:tcPr>
            <w:tcW w:w="4363"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宋体" w:cs="宋体"/>
                <w:kern w:val="0"/>
                <w:szCs w:val="21"/>
              </w:rPr>
            </w:pPr>
            <w:r>
              <w:rPr>
                <w:rFonts w:hint="eastAsia" w:ascii="宋体" w:hAnsi="宋体" w:cs="宋体"/>
                <w:kern w:val="0"/>
                <w:szCs w:val="21"/>
              </w:rPr>
              <w:t>完善了基层市场监管所的办公条件、标志标识，建立起规范化标准化的市场监管所；鼓励和支持业务骨干参与学习，加强基层执法人员职业素养及业务能力；做好基层网络维护和建设工作，完善市场监管业务专网。</w:t>
            </w:r>
          </w:p>
        </w:tc>
      </w:tr>
      <w:tr>
        <w:tblPrEx>
          <w:tblCellMar>
            <w:top w:w="0" w:type="dxa"/>
            <w:left w:w="108" w:type="dxa"/>
            <w:bottom w:w="0" w:type="dxa"/>
            <w:right w:w="108" w:type="dxa"/>
          </w:tblCellMar>
        </w:tblPrEx>
        <w:trPr>
          <w:trHeight w:val="425"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绩  效    指  标</w:t>
            </w:r>
          </w:p>
        </w:tc>
        <w:tc>
          <w:tcPr>
            <w:tcW w:w="675" w:type="dxa"/>
            <w:tcBorders>
              <w:top w:val="single" w:color="auto" w:sz="4" w:space="0"/>
              <w:left w:val="nil"/>
              <w:bottom w:val="single" w:color="auto" w:sz="4" w:space="0"/>
              <w:right w:val="nil"/>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701"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年度指标值</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198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未完成原因和</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改进措施</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产   出   指   标</w:t>
            </w:r>
          </w:p>
        </w:tc>
        <w:tc>
          <w:tcPr>
            <w:tcW w:w="70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基层监管所</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10个</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10个</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业务骨干到参与省级培训</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宋体" w:hAnsi="宋体" w:eastAsia="宋体" w:cs="宋体"/>
                <w:kern w:val="0"/>
                <w:szCs w:val="21"/>
              </w:rPr>
              <w:t>≧</w:t>
            </w:r>
            <w:r>
              <w:rPr>
                <w:rFonts w:hint="eastAsia" w:ascii="仿宋_GB2312" w:hAnsi="宋体" w:eastAsia="仿宋_GB2312" w:cs="宋体"/>
                <w:kern w:val="0"/>
                <w:szCs w:val="21"/>
              </w:rPr>
              <w:t>15次</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15次</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改善基层监管所办公环境、提升市场监管文化认知</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宋体" w:hAnsi="宋体" w:eastAsia="宋体" w:cs="宋体"/>
                <w:kern w:val="0"/>
                <w:szCs w:val="21"/>
              </w:rPr>
              <w:t>≧</w:t>
            </w:r>
            <w:r>
              <w:rPr>
                <w:rFonts w:hint="eastAsia" w:ascii="仿宋_GB2312" w:hAnsi="宋体" w:eastAsia="仿宋_GB2312" w:cs="宋体"/>
                <w:kern w:val="0"/>
                <w:szCs w:val="21"/>
              </w:rPr>
              <w:t>90%</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“基层基础年”开展时间</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2021年</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2021年</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基层能力提升</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宋体" w:hAnsi="宋体" w:eastAsia="宋体" w:cs="宋体"/>
                <w:kern w:val="0"/>
                <w:szCs w:val="21"/>
              </w:rPr>
              <w:t>≦</w:t>
            </w:r>
            <w:r>
              <w:rPr>
                <w:rFonts w:hint="eastAsia" w:ascii="仿宋_GB2312" w:hAnsi="宋体" w:eastAsia="仿宋_GB2312" w:cs="宋体"/>
                <w:kern w:val="0"/>
                <w:szCs w:val="21"/>
              </w:rPr>
              <w:t>10万元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重点支持县市区局</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宋体" w:hAnsi="宋体" w:eastAsia="宋体" w:cs="宋体"/>
                <w:kern w:val="0"/>
                <w:szCs w:val="21"/>
              </w:rPr>
              <w:t>≦</w:t>
            </w:r>
            <w:r>
              <w:rPr>
                <w:rFonts w:hint="eastAsia" w:ascii="仿宋_GB2312" w:hAnsi="宋体" w:eastAsia="仿宋_GB2312" w:cs="宋体"/>
                <w:kern w:val="0"/>
                <w:szCs w:val="21"/>
              </w:rPr>
              <w:t>20万元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20万元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效   益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经济效益  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jc w:val="left"/>
              <w:rPr>
                <w:rFonts w:ascii="仿宋_GB2312" w:hAnsi="宋体" w:eastAsia="仿宋_GB2312" w:cs="宋体"/>
                <w:kern w:val="0"/>
                <w:szCs w:val="21"/>
              </w:rPr>
            </w:pPr>
            <w:r>
              <w:rPr>
                <w:rFonts w:hint="eastAsia" w:ascii="仿宋_GB2312" w:hAnsi="宋体" w:eastAsia="仿宋_GB2312" w:cs="宋体"/>
                <w:kern w:val="0"/>
                <w:szCs w:val="21"/>
              </w:rPr>
              <w:t>绩  效    指  标</w:t>
            </w:r>
          </w:p>
        </w:tc>
        <w:tc>
          <w:tcPr>
            <w:tcW w:w="675" w:type="dxa"/>
            <w:vMerge w:val="restart"/>
            <w:tcBorders>
              <w:top w:val="single" w:color="auto" w:sz="4" w:space="0"/>
              <w:left w:val="single" w:color="auto" w:sz="4" w:space="0"/>
              <w:bottom w:val="single" w:color="auto" w:sz="4" w:space="0"/>
              <w:right w:val="single" w:color="auto" w:sz="4" w:space="0"/>
            </w:tcBorders>
            <w:noWrap/>
            <w:vAlign w:val="center"/>
          </w:tcPr>
          <w:p>
            <w:pPr>
              <w:jc w:val="left"/>
              <w:rPr>
                <w:rFonts w:ascii="仿宋_GB2312" w:hAnsi="宋体" w:eastAsia="仿宋_GB2312" w:cs="宋体"/>
                <w:kern w:val="0"/>
                <w:szCs w:val="21"/>
              </w:rPr>
            </w:pPr>
            <w:r>
              <w:rPr>
                <w:rFonts w:hint="eastAsia" w:ascii="仿宋_GB2312" w:hAnsi="宋体" w:eastAsia="仿宋_GB2312" w:cs="宋体"/>
                <w:kern w:val="0"/>
                <w:szCs w:val="21"/>
              </w:rPr>
              <w:t>效   益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生态效益  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1701"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持续提升基层执法能力</w:t>
            </w:r>
          </w:p>
        </w:tc>
        <w:tc>
          <w:tcPr>
            <w:tcW w:w="184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spacing w:line="280" w:lineRule="exact"/>
              <w:jc w:val="center"/>
              <w:rPr>
                <w:rFonts w:ascii="仿宋_GB2312" w:hAnsi="宋体" w:eastAsia="仿宋_GB2312" w:cs="宋体"/>
                <w:kern w:val="0"/>
                <w:szCs w:val="21"/>
              </w:rPr>
            </w:pPr>
            <w:r>
              <w:rPr>
                <w:rFonts w:hint="eastAsia" w:ascii="仿宋_GB2312" w:hAnsi="宋体" w:eastAsia="仿宋_GB2312" w:cs="宋体"/>
                <w:kern w:val="0"/>
                <w:szCs w:val="21"/>
              </w:rPr>
              <w:t>长期</w:t>
            </w:r>
          </w:p>
        </w:tc>
        <w:tc>
          <w:tcPr>
            <w:tcW w:w="1104" w:type="dxa"/>
            <w:gridSpan w:val="2"/>
            <w:tcBorders>
              <w:top w:val="single" w:color="auto" w:sz="4" w:space="0"/>
              <w:left w:val="nil"/>
              <w:bottom w:val="single" w:color="auto" w:sz="4" w:space="0"/>
              <w:right w:val="single" w:color="auto" w:sz="4" w:space="0"/>
            </w:tcBorders>
            <w:noWrap/>
            <w:vAlign w:val="center"/>
          </w:tcPr>
          <w:p>
            <w:pPr>
              <w:widowControl/>
              <w:spacing w:line="28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规范基层所标志标识，提升监管文化认知</w:t>
            </w:r>
          </w:p>
        </w:tc>
        <w:tc>
          <w:tcPr>
            <w:tcW w:w="184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spacing w:line="280" w:lineRule="exact"/>
              <w:jc w:val="center"/>
              <w:rPr>
                <w:rFonts w:ascii="仿宋_GB2312" w:hAnsi="宋体" w:eastAsia="仿宋_GB2312" w:cs="宋体"/>
                <w:kern w:val="0"/>
                <w:szCs w:val="21"/>
              </w:rPr>
            </w:pPr>
            <w:r>
              <w:rPr>
                <w:rFonts w:hint="eastAsia" w:ascii="仿宋_GB2312" w:hAnsi="宋体" w:eastAsia="仿宋_GB2312" w:cs="宋体"/>
                <w:kern w:val="0"/>
                <w:szCs w:val="21"/>
              </w:rPr>
              <w:t>长期</w:t>
            </w:r>
          </w:p>
        </w:tc>
        <w:tc>
          <w:tcPr>
            <w:tcW w:w="1104" w:type="dxa"/>
            <w:gridSpan w:val="2"/>
            <w:tcBorders>
              <w:top w:val="single" w:color="auto" w:sz="4" w:space="0"/>
              <w:left w:val="nil"/>
              <w:bottom w:val="single" w:color="auto" w:sz="4" w:space="0"/>
              <w:right w:val="single" w:color="auto" w:sz="4" w:space="0"/>
            </w:tcBorders>
            <w:noWrap/>
            <w:vAlign w:val="center"/>
          </w:tcPr>
          <w:p>
            <w:pPr>
              <w:widowControl/>
              <w:spacing w:line="28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提高办公效率</w:t>
            </w:r>
          </w:p>
        </w:tc>
        <w:tc>
          <w:tcPr>
            <w:tcW w:w="184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spacing w:line="280" w:lineRule="exact"/>
              <w:jc w:val="center"/>
              <w:rPr>
                <w:rFonts w:ascii="仿宋_GB2312" w:hAnsi="宋体" w:eastAsia="仿宋_GB2312" w:cs="宋体"/>
                <w:kern w:val="0"/>
                <w:szCs w:val="21"/>
              </w:rPr>
            </w:pPr>
            <w:r>
              <w:rPr>
                <w:rFonts w:hint="eastAsia" w:ascii="仿宋_GB2312" w:hAnsi="宋体" w:eastAsia="仿宋_GB2312" w:cs="宋体"/>
                <w:kern w:val="0"/>
                <w:szCs w:val="21"/>
              </w:rPr>
              <w:t>长期</w:t>
            </w:r>
          </w:p>
        </w:tc>
        <w:tc>
          <w:tcPr>
            <w:tcW w:w="1104" w:type="dxa"/>
            <w:gridSpan w:val="2"/>
            <w:tcBorders>
              <w:top w:val="single" w:color="auto" w:sz="4" w:space="0"/>
              <w:left w:val="nil"/>
              <w:bottom w:val="single" w:color="auto" w:sz="4" w:space="0"/>
              <w:right w:val="single" w:color="auto" w:sz="4" w:space="0"/>
            </w:tcBorders>
            <w:noWrap/>
            <w:vAlign w:val="center"/>
          </w:tcPr>
          <w:p>
            <w:pPr>
              <w:widowControl/>
              <w:spacing w:line="28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70"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满意度指标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基层监管所工作人员满意率</w:t>
            </w:r>
          </w:p>
        </w:tc>
        <w:tc>
          <w:tcPr>
            <w:tcW w:w="1843"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宋体" w:cs="宋体"/>
                <w:kern w:val="0"/>
                <w:szCs w:val="21"/>
              </w:rPr>
            </w:pPr>
            <w:r>
              <w:rPr>
                <w:rFonts w:hint="eastAsia" w:ascii="宋体" w:hAnsi="宋体" w:eastAsia="宋体" w:cs="宋体"/>
                <w:kern w:val="0"/>
                <w:szCs w:val="21"/>
              </w:rPr>
              <w:t>≧</w:t>
            </w:r>
            <w:r>
              <w:rPr>
                <w:rFonts w:hint="eastAsia" w:ascii="宋体" w:hAnsi="宋体" w:cs="宋体"/>
                <w:kern w:val="0"/>
                <w:szCs w:val="21"/>
              </w:rPr>
              <w:t>90%</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952" w:hRule="atLeast"/>
          <w:jc w:val="center"/>
        </w:trPr>
        <w:tc>
          <w:tcPr>
            <w:tcW w:w="769" w:type="dxa"/>
            <w:tcBorders>
              <w:top w:val="single" w:color="auto" w:sz="4" w:space="0"/>
              <w:left w:val="single" w:color="auto" w:sz="4" w:space="0"/>
              <w:bottom w:val="nil"/>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说明</w:t>
            </w:r>
          </w:p>
        </w:tc>
        <w:tc>
          <w:tcPr>
            <w:tcW w:w="9291" w:type="dxa"/>
            <w:gridSpan w:val="8"/>
            <w:tcBorders>
              <w:top w:val="single" w:color="auto" w:sz="4" w:space="0"/>
              <w:left w:val="nil"/>
              <w:bottom w:val="nil"/>
              <w:right w:val="single" w:color="000000"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1785" w:hRule="atLeast"/>
          <w:jc w:val="center"/>
        </w:trPr>
        <w:tc>
          <w:tcPr>
            <w:tcW w:w="10060" w:type="dxa"/>
            <w:gridSpan w:val="9"/>
            <w:vMerge w:val="restart"/>
            <w:tcBorders>
              <w:top w:val="single" w:color="auto" w:sz="8" w:space="0"/>
              <w:left w:val="nil"/>
              <w:bottom w:val="nil"/>
              <w:right w:val="nil"/>
            </w:tcBorders>
            <w:noWrap/>
          </w:tcPr>
          <w:p>
            <w:pPr>
              <w:widowControl/>
              <w:ind w:firstLine="420" w:firstLineChars="200"/>
              <w:jc w:val="left"/>
              <w:rPr>
                <w:rFonts w:ascii="仿宋_GB2312" w:hAnsi="宋体" w:eastAsia="仿宋_GB2312" w:cs="宋体"/>
                <w:kern w:val="0"/>
                <w:szCs w:val="21"/>
              </w:rPr>
            </w:pP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 xml:space="preserve">注：1、其他资金包括和中央补助、地方财政资金共同投入到同一项目的自有资金、社会资金，以及以前年度的结转结余资金等。 </w:t>
            </w: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2、定量指标，资金使用单位填写本地区实际完成数。市直各部门汇总时，对绝对值直接累加计算，相对值按照资金额度加权平均计算。</w:t>
            </w: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3、定性指标根据指标完成情况分为：全部或基本达成预期指标、部分达成预期指标并具有一定效果、未达成预期指标且效果较差三档，资金使用单位分别按照100％—80％（含）、80％—60％（含）、60％—0％合理填写完成比例。</w:t>
            </w:r>
          </w:p>
          <w:p>
            <w:pPr>
              <w:widowControl/>
              <w:spacing w:line="360" w:lineRule="exact"/>
              <w:ind w:firstLine="420" w:firstLineChars="200"/>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atLeast"/>
          <w:jc w:val="center"/>
        </w:trPr>
        <w:tc>
          <w:tcPr>
            <w:tcW w:w="10060" w:type="dxa"/>
            <w:gridSpan w:val="9"/>
            <w:vMerge w:val="continue"/>
            <w:tcBorders>
              <w:top w:val="single" w:color="auto" w:sz="8" w:space="0"/>
              <w:left w:val="nil"/>
              <w:bottom w:val="nil"/>
              <w:right w:val="nil"/>
            </w:tcBorders>
            <w:noWrap/>
            <w:vAlign w:val="center"/>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atLeast"/>
          <w:jc w:val="center"/>
        </w:trPr>
        <w:tc>
          <w:tcPr>
            <w:tcW w:w="10060" w:type="dxa"/>
            <w:gridSpan w:val="9"/>
            <w:vMerge w:val="continue"/>
            <w:tcBorders>
              <w:top w:val="single" w:color="auto" w:sz="8" w:space="0"/>
              <w:left w:val="nil"/>
              <w:bottom w:val="nil"/>
              <w:right w:val="nil"/>
            </w:tcBorders>
            <w:noWrap/>
            <w:vAlign w:val="center"/>
          </w:tcPr>
          <w:p>
            <w:pPr>
              <w:widowControl/>
              <w:jc w:val="left"/>
              <w:rPr>
                <w:rFonts w:ascii="仿宋_GB2312" w:hAnsi="宋体" w:eastAsia="仿宋_GB2312" w:cs="宋体"/>
                <w:kern w:val="0"/>
                <w:szCs w:val="21"/>
              </w:rPr>
            </w:pPr>
          </w:p>
        </w:tc>
      </w:tr>
    </w:tbl>
    <w:p/>
    <w:p>
      <w:r>
        <w:br w:type="page"/>
      </w:r>
    </w:p>
    <w:p>
      <w:pPr>
        <w:spacing w:line="560" w:lineRule="exact"/>
        <w:jc w:val="center"/>
        <w:rPr>
          <w:rFonts w:ascii="黑体" w:hAnsi="宋体" w:eastAsia="黑体" w:cs="宋体"/>
          <w:kern w:val="0"/>
          <w:sz w:val="32"/>
          <w:szCs w:val="32"/>
        </w:rPr>
      </w:pPr>
      <w:r>
        <w:rPr>
          <w:rFonts w:hint="eastAsia" w:ascii="黑体" w:hAnsi="宋体" w:eastAsia="黑体" w:cs="宋体"/>
          <w:kern w:val="0"/>
          <w:sz w:val="32"/>
          <w:szCs w:val="32"/>
        </w:rPr>
        <w:t>专项资金绩效目标自评表6</w:t>
      </w:r>
    </w:p>
    <w:tbl>
      <w:tblPr>
        <w:tblStyle w:val="9"/>
        <w:tblW w:w="10060" w:type="dxa"/>
        <w:jc w:val="center"/>
        <w:tblLayout w:type="fixed"/>
        <w:tblCellMar>
          <w:top w:w="0" w:type="dxa"/>
          <w:left w:w="108" w:type="dxa"/>
          <w:bottom w:w="0" w:type="dxa"/>
          <w:right w:w="108" w:type="dxa"/>
        </w:tblCellMar>
      </w:tblPr>
      <w:tblGrid>
        <w:gridCol w:w="769"/>
        <w:gridCol w:w="675"/>
        <w:gridCol w:w="709"/>
        <w:gridCol w:w="1701"/>
        <w:gridCol w:w="1843"/>
        <w:gridCol w:w="1276"/>
        <w:gridCol w:w="1073"/>
        <w:gridCol w:w="31"/>
        <w:gridCol w:w="1983"/>
      </w:tblGrid>
      <w:tr>
        <w:tblPrEx>
          <w:tblCellMar>
            <w:top w:w="0" w:type="dxa"/>
            <w:left w:w="108" w:type="dxa"/>
            <w:bottom w:w="0" w:type="dxa"/>
            <w:right w:w="108" w:type="dxa"/>
          </w:tblCellMar>
        </w:tblPrEx>
        <w:trPr>
          <w:trHeight w:val="98" w:hRule="atLeast"/>
          <w:jc w:val="center"/>
        </w:trPr>
        <w:tc>
          <w:tcPr>
            <w:tcW w:w="10060" w:type="dxa"/>
            <w:gridSpan w:val="9"/>
            <w:tcBorders>
              <w:top w:val="nil"/>
              <w:left w:val="nil"/>
              <w:bottom w:val="single" w:color="auto" w:sz="4" w:space="0"/>
              <w:right w:val="nil"/>
            </w:tcBorders>
            <w:noWrap/>
            <w:vAlign w:val="center"/>
          </w:tcPr>
          <w:p>
            <w:pPr>
              <w:widowControl/>
              <w:jc w:val="center"/>
              <w:rPr>
                <w:rFonts w:ascii="楷体_GB2312" w:hAnsi="宋体" w:eastAsia="楷体_GB2312" w:cs="宋体"/>
                <w:b/>
                <w:bCs/>
                <w:kern w:val="0"/>
                <w:sz w:val="22"/>
              </w:rPr>
            </w:pP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专项资金名称</w:t>
            </w:r>
          </w:p>
        </w:tc>
        <w:tc>
          <w:tcPr>
            <w:tcW w:w="354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市级专项资金</w:t>
            </w:r>
          </w:p>
        </w:tc>
        <w:tc>
          <w:tcPr>
            <w:tcW w:w="127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负责人</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及电话</w:t>
            </w:r>
          </w:p>
        </w:tc>
        <w:tc>
          <w:tcPr>
            <w:tcW w:w="3087" w:type="dxa"/>
            <w:gridSpan w:val="3"/>
            <w:tcBorders>
              <w:top w:val="single" w:color="auto" w:sz="4" w:space="0"/>
              <w:left w:val="single" w:color="auto" w:sz="4" w:space="0"/>
              <w:bottom w:val="single" w:color="auto" w:sz="4" w:space="0"/>
              <w:right w:val="single" w:color="auto" w:sz="4" w:space="0"/>
            </w:tcBorders>
            <w:noWrap/>
            <w:vAlign w:val="bottom"/>
          </w:tcPr>
          <w:p>
            <w:pPr>
              <w:widowControl/>
              <w:jc w:val="left"/>
              <w:rPr>
                <w:rFonts w:ascii="宋体" w:hAnsi="宋体" w:cs="宋体"/>
                <w:kern w:val="0"/>
                <w:sz w:val="20"/>
                <w:szCs w:val="20"/>
              </w:rPr>
            </w:pPr>
            <w:r>
              <w:rPr>
                <w:rFonts w:hint="eastAsia" w:ascii="宋体" w:hAnsi="宋体" w:cs="宋体"/>
                <w:kern w:val="0"/>
                <w:sz w:val="20"/>
                <w:szCs w:val="20"/>
              </w:rPr>
              <w:t>刘洪</w:t>
            </w:r>
          </w:p>
          <w:p>
            <w:pPr>
              <w:widowControl/>
              <w:jc w:val="left"/>
              <w:rPr>
                <w:rFonts w:ascii="宋体" w:hAnsi="宋体" w:cs="宋体"/>
                <w:kern w:val="0"/>
                <w:szCs w:val="21"/>
              </w:rPr>
            </w:pPr>
            <w:r>
              <w:rPr>
                <w:rFonts w:hint="eastAsia" w:ascii="宋体" w:hAnsi="宋体" w:cs="宋体"/>
                <w:kern w:val="0"/>
                <w:sz w:val="20"/>
                <w:szCs w:val="20"/>
              </w:rPr>
              <w:t>2267007</w:t>
            </w: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nil"/>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市级主管部门</w:t>
            </w:r>
          </w:p>
        </w:tc>
        <w:tc>
          <w:tcPr>
            <w:tcW w:w="7907" w:type="dxa"/>
            <w:gridSpan w:val="6"/>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怀化市市场监督管理局</w:t>
            </w: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地方主管部门</w:t>
            </w:r>
          </w:p>
        </w:tc>
        <w:tc>
          <w:tcPr>
            <w:tcW w:w="354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鹤城区人民政府</w:t>
            </w:r>
          </w:p>
        </w:tc>
        <w:tc>
          <w:tcPr>
            <w:tcW w:w="127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3087"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仿宋_GB2312" w:hAnsi="宋体" w:eastAsia="仿宋_GB2312" w:cs="宋体"/>
                <w:kern w:val="0"/>
                <w:szCs w:val="21"/>
              </w:rPr>
              <w:t>怀化市鹤城区市场监督管理局</w:t>
            </w:r>
          </w:p>
        </w:tc>
      </w:tr>
      <w:tr>
        <w:tblPrEx>
          <w:tblCellMar>
            <w:top w:w="0" w:type="dxa"/>
            <w:left w:w="108" w:type="dxa"/>
            <w:bottom w:w="0" w:type="dxa"/>
            <w:right w:w="108" w:type="dxa"/>
          </w:tblCellMar>
        </w:tblPrEx>
        <w:trPr>
          <w:trHeight w:val="425" w:hRule="atLeast"/>
          <w:jc w:val="center"/>
        </w:trPr>
        <w:tc>
          <w:tcPr>
            <w:tcW w:w="2153" w:type="dxa"/>
            <w:gridSpan w:val="3"/>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项目资金（万元）</w:t>
            </w: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全年预算数（A）</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全年执行数（B）</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执行率（B／A）</w:t>
            </w:r>
          </w:p>
        </w:tc>
      </w:tr>
      <w:tr>
        <w:tblPrEx>
          <w:tblCellMar>
            <w:top w:w="0" w:type="dxa"/>
            <w:left w:w="108" w:type="dxa"/>
            <w:bottom w:w="0" w:type="dxa"/>
            <w:right w:w="108" w:type="dxa"/>
          </w:tblCellMar>
        </w:tblPrEx>
        <w:trPr>
          <w:trHeight w:val="425"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Times New Roman" w:hAnsi="Times New Roman" w:eastAsia="仿宋_GB2312" w:cs="Times New Roman"/>
                <w:sz w:val="20"/>
                <w:szCs w:val="20"/>
              </w:rPr>
              <w:t>360,000.00</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Times New Roman" w:hAnsi="Times New Roman" w:eastAsia="仿宋_GB2312" w:cs="Times New Roman"/>
                <w:sz w:val="20"/>
                <w:szCs w:val="20"/>
              </w:rPr>
              <w:t>360,000.00</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　</w:t>
            </w:r>
          </w:p>
        </w:tc>
      </w:tr>
      <w:tr>
        <w:tblPrEx>
          <w:tblCellMar>
            <w:top w:w="0" w:type="dxa"/>
            <w:left w:w="108" w:type="dxa"/>
            <w:bottom w:w="0" w:type="dxa"/>
            <w:right w:w="108" w:type="dxa"/>
          </w:tblCellMar>
        </w:tblPrEx>
        <w:trPr>
          <w:trHeight w:val="425"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其中：中央补助</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40"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ind w:firstLine="420" w:firstLineChars="200"/>
              <w:rPr>
                <w:rFonts w:ascii="仿宋_GB2312" w:hAnsi="宋体" w:eastAsia="仿宋_GB2312" w:cs="宋体"/>
                <w:kern w:val="0"/>
                <w:szCs w:val="21"/>
              </w:rPr>
            </w:pPr>
            <w:r>
              <w:rPr>
                <w:rFonts w:hint="eastAsia" w:ascii="仿宋_GB2312" w:hAnsi="宋体" w:eastAsia="仿宋_GB2312" w:cs="宋体"/>
                <w:kern w:val="0"/>
                <w:szCs w:val="21"/>
              </w:rPr>
              <w:t xml:space="preserve"> 省级资金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02"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xml:space="preserve">    市级资金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Times New Roman" w:hAnsi="Times New Roman" w:eastAsia="仿宋_GB2312" w:cs="Times New Roman"/>
                <w:sz w:val="20"/>
                <w:szCs w:val="20"/>
              </w:rPr>
              <w:t>360,000.00</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Times New Roman" w:hAnsi="Times New Roman" w:eastAsia="仿宋_GB2312" w:cs="Times New Roman"/>
                <w:sz w:val="20"/>
                <w:szCs w:val="20"/>
              </w:rPr>
              <w:t>360,000.00</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　</w:t>
            </w:r>
          </w:p>
        </w:tc>
      </w:tr>
      <w:tr>
        <w:tblPrEx>
          <w:tblCellMar>
            <w:top w:w="0" w:type="dxa"/>
            <w:left w:w="108" w:type="dxa"/>
            <w:bottom w:w="0" w:type="dxa"/>
            <w:right w:w="108" w:type="dxa"/>
          </w:tblCellMar>
        </w:tblPrEx>
        <w:trPr>
          <w:trHeight w:val="302" w:hRule="atLeast"/>
          <w:jc w:val="center"/>
        </w:trPr>
        <w:tc>
          <w:tcPr>
            <w:tcW w:w="2153" w:type="dxa"/>
            <w:gridSpan w:val="3"/>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其他资金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928"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仿宋_GB2312" w:hAnsi="宋体" w:eastAsia="仿宋_GB2312" w:cs="宋体"/>
                <w:kern w:val="0"/>
                <w:szCs w:val="21"/>
              </w:rPr>
              <w:t>年初设定目标</w:t>
            </w:r>
            <w:r>
              <w:rPr>
                <w:rFonts w:hint="eastAsia" w:ascii="宋体" w:hAnsi="宋体" w:cs="宋体"/>
                <w:kern w:val="0"/>
                <w:szCs w:val="21"/>
              </w:rPr>
              <w:t>　</w:t>
            </w:r>
          </w:p>
        </w:tc>
        <w:tc>
          <w:tcPr>
            <w:tcW w:w="4363"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全年实际完成情况</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4928" w:type="dxa"/>
            <w:gridSpan w:val="4"/>
            <w:tcBorders>
              <w:top w:val="single" w:color="auto" w:sz="4" w:space="0"/>
              <w:left w:val="single" w:color="auto" w:sz="4" w:space="0"/>
              <w:bottom w:val="single" w:color="auto" w:sz="4" w:space="0"/>
              <w:right w:val="single" w:color="auto" w:sz="4" w:space="0"/>
            </w:tcBorders>
            <w:noWrap/>
            <w:vAlign w:val="center"/>
          </w:tcPr>
          <w:p>
            <w:pPr>
              <w:widowControl/>
              <w:numPr>
                <w:ilvl w:val="0"/>
                <w:numId w:val="8"/>
              </w:numPr>
              <w:jc w:val="left"/>
              <w:rPr>
                <w:rFonts w:ascii="宋体" w:hAnsi="宋体" w:cs="宋体"/>
                <w:kern w:val="0"/>
                <w:szCs w:val="21"/>
              </w:rPr>
            </w:pPr>
            <w:r>
              <w:rPr>
                <w:rFonts w:hint="eastAsia" w:ascii="宋体" w:hAnsi="宋体" w:cs="宋体"/>
                <w:kern w:val="0"/>
                <w:szCs w:val="21"/>
              </w:rPr>
              <w:t>合理规划机构改革后原食药所和原工商所合并组建的10个市场监管所的办公地址，对预定的办公地址无法即时投入使用的进行改造、装修维修及搬离原址工作。</w:t>
            </w:r>
          </w:p>
          <w:p>
            <w:pPr>
              <w:widowControl/>
              <w:numPr>
                <w:ilvl w:val="0"/>
                <w:numId w:val="8"/>
              </w:numPr>
              <w:jc w:val="left"/>
              <w:rPr>
                <w:rFonts w:ascii="宋体" w:hAnsi="宋体" w:cs="宋体"/>
                <w:kern w:val="0"/>
                <w:szCs w:val="21"/>
              </w:rPr>
            </w:pPr>
            <w:r>
              <w:rPr>
                <w:rFonts w:hint="eastAsia" w:ascii="宋体" w:hAnsi="宋体" w:cs="宋体"/>
                <w:kern w:val="0"/>
                <w:szCs w:val="21"/>
              </w:rPr>
              <w:t>弥补基层基础建设资金的不足，确保本局执法能力稳步提升、信息化建设顺利开展，各所基本办公条件得到保障。</w:t>
            </w:r>
          </w:p>
          <w:p>
            <w:pPr>
              <w:widowControl/>
              <w:numPr>
                <w:ilvl w:val="0"/>
                <w:numId w:val="8"/>
              </w:numPr>
              <w:jc w:val="left"/>
              <w:rPr>
                <w:rFonts w:ascii="宋体" w:hAnsi="宋体" w:cs="宋体"/>
                <w:kern w:val="0"/>
                <w:szCs w:val="21"/>
              </w:rPr>
            </w:pPr>
            <w:r>
              <w:rPr>
                <w:rFonts w:ascii="宋体" w:hAnsi="宋体" w:cs="宋体"/>
                <w:kern w:val="0"/>
                <w:szCs w:val="21"/>
              </w:rPr>
              <w:t>加大流通领域商品的抽样检测力度</w:t>
            </w:r>
            <w:r>
              <w:rPr>
                <w:rFonts w:hint="eastAsia" w:ascii="宋体" w:hAnsi="宋体" w:cs="宋体"/>
                <w:kern w:val="0"/>
                <w:szCs w:val="21"/>
              </w:rPr>
              <w:t>，增加覆盖面，加强流通领域商品质量的监管。</w:t>
            </w:r>
          </w:p>
        </w:tc>
        <w:tc>
          <w:tcPr>
            <w:tcW w:w="4363" w:type="dxa"/>
            <w:gridSpan w:val="4"/>
            <w:tcBorders>
              <w:top w:val="single" w:color="auto" w:sz="4" w:space="0"/>
              <w:left w:val="single" w:color="auto" w:sz="4" w:space="0"/>
              <w:bottom w:val="single" w:color="auto" w:sz="4" w:space="0"/>
              <w:right w:val="single" w:color="auto" w:sz="4" w:space="0"/>
            </w:tcBorders>
            <w:noWrap/>
            <w:vAlign w:val="center"/>
          </w:tcPr>
          <w:p>
            <w:pPr>
              <w:widowControl/>
              <w:numPr>
                <w:ilvl w:val="0"/>
                <w:numId w:val="9"/>
              </w:numPr>
              <w:jc w:val="left"/>
              <w:rPr>
                <w:rFonts w:ascii="宋体" w:hAnsi="宋体" w:cs="宋体"/>
                <w:kern w:val="0"/>
                <w:szCs w:val="21"/>
              </w:rPr>
            </w:pPr>
            <w:r>
              <w:rPr>
                <w:rFonts w:hint="eastAsia" w:ascii="宋体" w:hAnsi="宋体" w:cs="宋体"/>
                <w:kern w:val="0"/>
                <w:szCs w:val="21"/>
              </w:rPr>
              <w:t>房屋改造工作已完成，妥善安置了10个市场监管所，并对过程中鉴定为危房的房屋进行了搬离工作。</w:t>
            </w:r>
          </w:p>
          <w:p>
            <w:pPr>
              <w:widowControl/>
              <w:numPr>
                <w:ilvl w:val="0"/>
                <w:numId w:val="9"/>
              </w:numPr>
              <w:jc w:val="left"/>
              <w:rPr>
                <w:rFonts w:ascii="宋体" w:hAnsi="宋体" w:cs="宋体"/>
                <w:kern w:val="0"/>
                <w:szCs w:val="21"/>
              </w:rPr>
            </w:pPr>
            <w:r>
              <w:rPr>
                <w:rFonts w:hint="eastAsia" w:ascii="宋体" w:hAnsi="宋体" w:cs="宋体"/>
                <w:kern w:val="0"/>
                <w:szCs w:val="21"/>
              </w:rPr>
              <w:t>完善了基层市场监管所的办公条件，投入</w:t>
            </w:r>
            <w:r>
              <w:rPr>
                <w:rFonts w:ascii="宋体" w:hAnsi="宋体" w:cs="宋体"/>
                <w:kern w:val="0"/>
                <w:szCs w:val="21"/>
              </w:rPr>
              <w:t>业务</w:t>
            </w:r>
            <w:r>
              <w:rPr>
                <w:rFonts w:hint="eastAsia" w:ascii="宋体" w:hAnsi="宋体" w:cs="宋体"/>
                <w:kern w:val="0"/>
                <w:szCs w:val="21"/>
              </w:rPr>
              <w:t>学习</w:t>
            </w:r>
            <w:r>
              <w:rPr>
                <w:rFonts w:ascii="宋体" w:hAnsi="宋体" w:cs="宋体"/>
                <w:kern w:val="0"/>
                <w:szCs w:val="21"/>
              </w:rPr>
              <w:t>资金</w:t>
            </w:r>
            <w:r>
              <w:rPr>
                <w:rFonts w:hint="eastAsia" w:ascii="宋体" w:hAnsi="宋体" w:cs="宋体"/>
                <w:kern w:val="0"/>
                <w:szCs w:val="21"/>
              </w:rPr>
              <w:t>，支持建立规范化标准化的市场监管所，加强执法能力建设。</w:t>
            </w:r>
          </w:p>
          <w:p>
            <w:pPr>
              <w:widowControl/>
              <w:numPr>
                <w:ilvl w:val="0"/>
                <w:numId w:val="9"/>
              </w:numPr>
              <w:jc w:val="left"/>
              <w:rPr>
                <w:rFonts w:ascii="宋体" w:hAnsi="宋体" w:cs="宋体"/>
                <w:kern w:val="0"/>
                <w:szCs w:val="21"/>
              </w:rPr>
            </w:pPr>
            <w:r>
              <w:rPr>
                <w:rFonts w:ascii="宋体" w:hAnsi="宋体" w:cs="宋体"/>
                <w:kern w:val="0"/>
                <w:szCs w:val="21"/>
              </w:rPr>
              <w:t>及时</w:t>
            </w:r>
            <w:r>
              <w:rPr>
                <w:rFonts w:hint="eastAsia" w:ascii="宋体" w:hAnsi="宋体" w:cs="宋体"/>
                <w:kern w:val="0"/>
                <w:szCs w:val="21"/>
              </w:rPr>
              <w:t>处置</w:t>
            </w:r>
            <w:r>
              <w:rPr>
                <w:rFonts w:ascii="宋体" w:hAnsi="宋体" w:cs="宋体"/>
                <w:kern w:val="0"/>
                <w:szCs w:val="21"/>
              </w:rPr>
              <w:t>检验不合格产品，震慑潜在的不法商贩，持续促进本区产品质量安全水平趋势向上。</w:t>
            </w:r>
          </w:p>
        </w:tc>
      </w:tr>
      <w:tr>
        <w:tblPrEx>
          <w:tblCellMar>
            <w:top w:w="0" w:type="dxa"/>
            <w:left w:w="108" w:type="dxa"/>
            <w:bottom w:w="0" w:type="dxa"/>
            <w:right w:w="108" w:type="dxa"/>
          </w:tblCellMar>
        </w:tblPrEx>
        <w:trPr>
          <w:trHeight w:val="425"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绩  效    指  标</w:t>
            </w:r>
          </w:p>
        </w:tc>
        <w:tc>
          <w:tcPr>
            <w:tcW w:w="675" w:type="dxa"/>
            <w:tcBorders>
              <w:top w:val="single" w:color="auto" w:sz="4" w:space="0"/>
              <w:left w:val="nil"/>
              <w:bottom w:val="single" w:color="auto" w:sz="4" w:space="0"/>
              <w:right w:val="nil"/>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701"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年度指标值</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198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未完成原因和</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改进措施</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产   出   指   标</w:t>
            </w:r>
          </w:p>
        </w:tc>
        <w:tc>
          <w:tcPr>
            <w:tcW w:w="70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合并后基层市场监管所数量</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10个</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10个</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商品抽检批次</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宋体" w:hAnsi="宋体" w:eastAsia="宋体" w:cs="宋体"/>
                <w:kern w:val="0"/>
                <w:szCs w:val="21"/>
              </w:rPr>
              <w:t>≧</w:t>
            </w:r>
            <w:r>
              <w:rPr>
                <w:rFonts w:hint="eastAsia" w:ascii="仿宋_GB2312" w:hAnsi="宋体" w:eastAsia="仿宋_GB2312" w:cs="宋体"/>
                <w:kern w:val="0"/>
                <w:szCs w:val="21"/>
              </w:rPr>
              <w:t>21个批次</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21个批次</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商品抽检种类</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宋体" w:hAnsi="宋体" w:eastAsia="宋体" w:cs="宋体"/>
                <w:kern w:val="0"/>
                <w:szCs w:val="21"/>
              </w:rPr>
              <w:t>≧3</w:t>
            </w:r>
            <w:r>
              <w:rPr>
                <w:rFonts w:hint="eastAsia" w:ascii="仿宋_GB2312" w:hAnsi="宋体" w:eastAsia="仿宋_GB2312" w:cs="宋体"/>
                <w:kern w:val="0"/>
                <w:szCs w:val="21"/>
              </w:rPr>
              <w:t>种</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3种</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不合格产品处置率</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宋体" w:hAnsi="宋体" w:eastAsia="宋体" w:cs="宋体"/>
                <w:kern w:val="0"/>
                <w:szCs w:val="21"/>
              </w:rPr>
              <w:t>≧</w:t>
            </w:r>
            <w:r>
              <w:rPr>
                <w:rFonts w:hint="eastAsia" w:ascii="仿宋_GB2312" w:hAnsi="宋体" w:eastAsia="仿宋_GB2312" w:cs="宋体"/>
                <w:kern w:val="0"/>
                <w:szCs w:val="21"/>
              </w:rPr>
              <w:t>90%</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市场监管所改善完成率</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宋体" w:hAnsi="宋体" w:eastAsia="宋体" w:cs="宋体"/>
                <w:kern w:val="0"/>
                <w:szCs w:val="21"/>
              </w:rPr>
              <w:t>≧</w:t>
            </w:r>
            <w:r>
              <w:rPr>
                <w:rFonts w:hint="eastAsia" w:ascii="仿宋_GB2312" w:hAnsi="宋体" w:eastAsia="仿宋_GB2312" w:cs="宋体"/>
                <w:kern w:val="0"/>
                <w:szCs w:val="21"/>
              </w:rPr>
              <w:t>90%</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改造完成时间</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2021年12月31日</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2021年12月31日</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抽检完成时间</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2021年12月31日</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2021年12月31日</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鹤城区市场监督管理局危房改造费用</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宋体" w:hAnsi="宋体" w:eastAsia="宋体" w:cs="宋体"/>
                <w:kern w:val="0"/>
                <w:szCs w:val="21"/>
              </w:rPr>
              <w:t>≦</w:t>
            </w:r>
            <w:r>
              <w:rPr>
                <w:rFonts w:hint="eastAsia" w:ascii="仿宋_GB2312" w:hAnsi="宋体" w:eastAsia="仿宋_GB2312" w:cs="宋体"/>
                <w:kern w:val="0"/>
                <w:szCs w:val="21"/>
              </w:rPr>
              <w:t>26万元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26万元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基层能力建设经费</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宋体" w:hAnsi="宋体" w:eastAsia="宋体" w:cs="宋体"/>
                <w:kern w:val="0"/>
                <w:szCs w:val="21"/>
              </w:rPr>
              <w:t>≦</w:t>
            </w:r>
            <w:r>
              <w:rPr>
                <w:rFonts w:hint="eastAsia" w:ascii="仿宋_GB2312" w:hAnsi="宋体" w:eastAsia="仿宋_GB2312" w:cs="宋体"/>
                <w:kern w:val="0"/>
                <w:szCs w:val="21"/>
              </w:rPr>
              <w:t>5万元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5万元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流通领域商品抽检经费</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宋体" w:hAnsi="宋体" w:eastAsia="宋体" w:cs="宋体"/>
                <w:kern w:val="0"/>
                <w:szCs w:val="21"/>
              </w:rPr>
              <w:t>≦</w:t>
            </w:r>
            <w:r>
              <w:rPr>
                <w:rFonts w:hint="eastAsia" w:ascii="仿宋_GB2312" w:hAnsi="宋体" w:eastAsia="仿宋_GB2312" w:cs="宋体"/>
                <w:kern w:val="0"/>
                <w:szCs w:val="21"/>
              </w:rPr>
              <w:t>5万元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5万元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效   益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经济效益  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jc w:val="left"/>
              <w:rPr>
                <w:rFonts w:ascii="仿宋_GB2312" w:hAnsi="宋体" w:eastAsia="仿宋_GB2312" w:cs="宋体"/>
                <w:kern w:val="0"/>
                <w:szCs w:val="21"/>
              </w:rPr>
            </w:pPr>
            <w:r>
              <w:rPr>
                <w:rFonts w:hint="eastAsia" w:ascii="仿宋_GB2312" w:hAnsi="宋体" w:eastAsia="仿宋_GB2312" w:cs="宋体"/>
                <w:kern w:val="0"/>
                <w:szCs w:val="21"/>
              </w:rPr>
              <w:t>绩  效    指  标</w:t>
            </w:r>
          </w:p>
        </w:tc>
        <w:tc>
          <w:tcPr>
            <w:tcW w:w="675" w:type="dxa"/>
            <w:vMerge w:val="restart"/>
            <w:tcBorders>
              <w:top w:val="single" w:color="auto" w:sz="4" w:space="0"/>
              <w:left w:val="single" w:color="auto" w:sz="4" w:space="0"/>
              <w:bottom w:val="single" w:color="auto" w:sz="4" w:space="0"/>
              <w:right w:val="single" w:color="auto" w:sz="4" w:space="0"/>
            </w:tcBorders>
            <w:noWrap/>
            <w:vAlign w:val="center"/>
          </w:tcPr>
          <w:p>
            <w:pPr>
              <w:jc w:val="left"/>
              <w:rPr>
                <w:rFonts w:ascii="仿宋_GB2312" w:hAnsi="宋体" w:eastAsia="仿宋_GB2312" w:cs="宋体"/>
                <w:kern w:val="0"/>
                <w:szCs w:val="21"/>
              </w:rPr>
            </w:pPr>
            <w:r>
              <w:rPr>
                <w:rFonts w:hint="eastAsia" w:ascii="仿宋_GB2312" w:hAnsi="宋体" w:eastAsia="仿宋_GB2312" w:cs="宋体"/>
                <w:kern w:val="0"/>
                <w:szCs w:val="21"/>
              </w:rPr>
              <w:t>效   益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生态效益  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Times New Roman" w:hAnsi="Times New Roman" w:eastAsia="仿宋_GB2312" w:cs="Times New Roman"/>
                <w:kern w:val="0"/>
                <w:szCs w:val="21"/>
              </w:rPr>
              <w:t>发现产品质量安全问题，化解安全风险</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Times New Roman" w:eastAsia="仿宋_GB2312" w:cs="仿宋_GB2312"/>
                <w:kern w:val="0"/>
                <w:szCs w:val="21"/>
              </w:rPr>
              <w:t>安全风险逐渐降低</w:t>
            </w:r>
          </w:p>
        </w:tc>
        <w:tc>
          <w:tcPr>
            <w:tcW w:w="1104" w:type="dxa"/>
            <w:gridSpan w:val="2"/>
            <w:tcBorders>
              <w:top w:val="single" w:color="auto" w:sz="4" w:space="0"/>
              <w:left w:val="nil"/>
              <w:bottom w:val="single" w:color="auto" w:sz="4" w:space="0"/>
              <w:right w:val="single" w:color="auto" w:sz="4" w:space="0"/>
            </w:tcBorders>
            <w:noWrap/>
            <w:vAlign w:val="center"/>
          </w:tcPr>
          <w:p>
            <w:pPr>
              <w:widowControl/>
              <w:spacing w:line="28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Times New Roman" w:hAnsi="Times New Roman" w:eastAsia="仿宋_GB2312" w:cs="Times New Roman"/>
                <w:kern w:val="0"/>
                <w:szCs w:val="21"/>
              </w:rPr>
              <w:t>持续促进本区产品质量安全水平趋势向上</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Times New Roman" w:eastAsia="仿宋_GB2312" w:cs="仿宋_GB2312"/>
                <w:kern w:val="0"/>
                <w:szCs w:val="21"/>
              </w:rPr>
              <w:t>持续向上</w:t>
            </w:r>
          </w:p>
        </w:tc>
        <w:tc>
          <w:tcPr>
            <w:tcW w:w="1104" w:type="dxa"/>
            <w:gridSpan w:val="2"/>
            <w:tcBorders>
              <w:top w:val="single" w:color="auto" w:sz="4" w:space="0"/>
              <w:left w:val="nil"/>
              <w:bottom w:val="single" w:color="auto" w:sz="4" w:space="0"/>
              <w:right w:val="single" w:color="auto" w:sz="4" w:space="0"/>
            </w:tcBorders>
            <w:noWrap/>
            <w:vAlign w:val="center"/>
          </w:tcPr>
          <w:p>
            <w:pPr>
              <w:widowControl/>
              <w:spacing w:line="28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改善办公环境，提高办公效率</w:t>
            </w:r>
          </w:p>
        </w:tc>
        <w:tc>
          <w:tcPr>
            <w:tcW w:w="184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spacing w:line="280" w:lineRule="exact"/>
              <w:jc w:val="center"/>
              <w:rPr>
                <w:rFonts w:ascii="仿宋_GB2312" w:hAnsi="宋体" w:eastAsia="仿宋_GB2312" w:cs="宋体"/>
                <w:kern w:val="0"/>
                <w:szCs w:val="21"/>
              </w:rPr>
            </w:pPr>
            <w:r>
              <w:rPr>
                <w:rFonts w:hint="eastAsia" w:ascii="仿宋_GB2312" w:hAnsi="宋体" w:eastAsia="仿宋_GB2312" w:cs="宋体"/>
                <w:kern w:val="0"/>
                <w:szCs w:val="21"/>
              </w:rPr>
              <w:t>长期</w:t>
            </w:r>
          </w:p>
        </w:tc>
        <w:tc>
          <w:tcPr>
            <w:tcW w:w="1104" w:type="dxa"/>
            <w:gridSpan w:val="2"/>
            <w:tcBorders>
              <w:top w:val="single" w:color="auto" w:sz="4" w:space="0"/>
              <w:left w:val="nil"/>
              <w:bottom w:val="single" w:color="auto" w:sz="4" w:space="0"/>
              <w:right w:val="single" w:color="auto" w:sz="4" w:space="0"/>
            </w:tcBorders>
            <w:noWrap/>
            <w:vAlign w:val="center"/>
          </w:tcPr>
          <w:p>
            <w:pPr>
              <w:widowControl/>
              <w:spacing w:line="28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70"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满意度指标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基层工作人员满意度</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满意</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952" w:hRule="atLeast"/>
          <w:jc w:val="center"/>
        </w:trPr>
        <w:tc>
          <w:tcPr>
            <w:tcW w:w="769" w:type="dxa"/>
            <w:tcBorders>
              <w:top w:val="single" w:color="auto" w:sz="4" w:space="0"/>
              <w:left w:val="single" w:color="auto" w:sz="4" w:space="0"/>
              <w:bottom w:val="nil"/>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说明</w:t>
            </w:r>
          </w:p>
        </w:tc>
        <w:tc>
          <w:tcPr>
            <w:tcW w:w="9291" w:type="dxa"/>
            <w:gridSpan w:val="8"/>
            <w:tcBorders>
              <w:top w:val="single" w:color="auto" w:sz="4" w:space="0"/>
              <w:left w:val="nil"/>
              <w:bottom w:val="nil"/>
              <w:right w:val="single" w:color="000000"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1785" w:hRule="atLeast"/>
          <w:jc w:val="center"/>
        </w:trPr>
        <w:tc>
          <w:tcPr>
            <w:tcW w:w="10060" w:type="dxa"/>
            <w:gridSpan w:val="9"/>
            <w:vMerge w:val="restart"/>
            <w:tcBorders>
              <w:top w:val="single" w:color="auto" w:sz="8" w:space="0"/>
              <w:left w:val="nil"/>
              <w:bottom w:val="nil"/>
              <w:right w:val="nil"/>
            </w:tcBorders>
            <w:noWrap/>
          </w:tcPr>
          <w:p>
            <w:pPr>
              <w:widowControl/>
              <w:ind w:firstLine="420" w:firstLineChars="200"/>
              <w:jc w:val="left"/>
              <w:rPr>
                <w:rFonts w:ascii="仿宋_GB2312" w:hAnsi="宋体" w:eastAsia="仿宋_GB2312" w:cs="宋体"/>
                <w:kern w:val="0"/>
                <w:szCs w:val="21"/>
              </w:rPr>
            </w:pP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 xml:space="preserve">注：1、其他资金包括和中央补助、地方财政资金共同投入到同一项目的自有资金、社会资金，以及以前年度的结转结余资金等。 </w:t>
            </w: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2、定量指标，资金使用单位填写本地区实际完成数。市直各部门汇总时，对绝对值直接累加计算，相对值按照资金额度加权平均计算。</w:t>
            </w: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3、定性指标根据指标完成情况分为：全部或基本达成预期指标、部分达成预期指标并具有一定效果、未达成预期指标且效果较差三档，资金使用单位分别按照100％—80％（含）、80％—60％（含）、60％—0％合理填写完成比例。</w:t>
            </w:r>
          </w:p>
          <w:p>
            <w:pPr>
              <w:widowControl/>
              <w:spacing w:line="360" w:lineRule="exact"/>
              <w:ind w:firstLine="420" w:firstLineChars="200"/>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atLeast"/>
          <w:jc w:val="center"/>
        </w:trPr>
        <w:tc>
          <w:tcPr>
            <w:tcW w:w="10060" w:type="dxa"/>
            <w:gridSpan w:val="9"/>
            <w:vMerge w:val="continue"/>
            <w:tcBorders>
              <w:top w:val="single" w:color="auto" w:sz="8" w:space="0"/>
              <w:left w:val="nil"/>
              <w:bottom w:val="nil"/>
              <w:right w:val="nil"/>
            </w:tcBorders>
            <w:noWrap/>
            <w:vAlign w:val="center"/>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atLeast"/>
          <w:jc w:val="center"/>
        </w:trPr>
        <w:tc>
          <w:tcPr>
            <w:tcW w:w="10060" w:type="dxa"/>
            <w:gridSpan w:val="9"/>
            <w:vMerge w:val="continue"/>
            <w:tcBorders>
              <w:top w:val="single" w:color="auto" w:sz="8" w:space="0"/>
              <w:left w:val="nil"/>
              <w:bottom w:val="nil"/>
              <w:right w:val="nil"/>
            </w:tcBorders>
            <w:noWrap/>
            <w:vAlign w:val="center"/>
          </w:tcPr>
          <w:p>
            <w:pPr>
              <w:widowControl/>
              <w:jc w:val="left"/>
              <w:rPr>
                <w:rFonts w:ascii="仿宋_GB2312" w:hAnsi="宋体" w:eastAsia="仿宋_GB2312" w:cs="宋体"/>
                <w:kern w:val="0"/>
                <w:szCs w:val="21"/>
              </w:rPr>
            </w:pPr>
          </w:p>
        </w:tc>
      </w:tr>
    </w:tbl>
    <w:p/>
    <w:p>
      <w:r>
        <w:br w:type="page"/>
      </w:r>
    </w:p>
    <w:p>
      <w:pPr>
        <w:spacing w:line="560" w:lineRule="exact"/>
        <w:jc w:val="center"/>
        <w:rPr>
          <w:rFonts w:ascii="黑体" w:hAnsi="宋体" w:eastAsia="黑体" w:cs="宋体"/>
          <w:kern w:val="0"/>
          <w:sz w:val="32"/>
          <w:szCs w:val="32"/>
        </w:rPr>
      </w:pPr>
      <w:r>
        <w:rPr>
          <w:rFonts w:hint="eastAsia" w:ascii="黑体" w:hAnsi="宋体" w:eastAsia="黑体" w:cs="宋体"/>
          <w:kern w:val="0"/>
          <w:sz w:val="32"/>
          <w:szCs w:val="32"/>
        </w:rPr>
        <w:t>专项资金绩效目标自评表7</w:t>
      </w:r>
    </w:p>
    <w:tbl>
      <w:tblPr>
        <w:tblStyle w:val="9"/>
        <w:tblW w:w="10060" w:type="dxa"/>
        <w:jc w:val="center"/>
        <w:tblLayout w:type="fixed"/>
        <w:tblCellMar>
          <w:top w:w="0" w:type="dxa"/>
          <w:left w:w="108" w:type="dxa"/>
          <w:bottom w:w="0" w:type="dxa"/>
          <w:right w:w="108" w:type="dxa"/>
        </w:tblCellMar>
      </w:tblPr>
      <w:tblGrid>
        <w:gridCol w:w="769"/>
        <w:gridCol w:w="675"/>
        <w:gridCol w:w="709"/>
        <w:gridCol w:w="1701"/>
        <w:gridCol w:w="1843"/>
        <w:gridCol w:w="1276"/>
        <w:gridCol w:w="1073"/>
        <w:gridCol w:w="31"/>
        <w:gridCol w:w="1983"/>
      </w:tblGrid>
      <w:tr>
        <w:tblPrEx>
          <w:tblCellMar>
            <w:top w:w="0" w:type="dxa"/>
            <w:left w:w="108" w:type="dxa"/>
            <w:bottom w:w="0" w:type="dxa"/>
            <w:right w:w="108" w:type="dxa"/>
          </w:tblCellMar>
        </w:tblPrEx>
        <w:trPr>
          <w:trHeight w:val="98" w:hRule="atLeast"/>
          <w:jc w:val="center"/>
        </w:trPr>
        <w:tc>
          <w:tcPr>
            <w:tcW w:w="10060" w:type="dxa"/>
            <w:gridSpan w:val="9"/>
            <w:tcBorders>
              <w:top w:val="nil"/>
              <w:left w:val="nil"/>
              <w:bottom w:val="single" w:color="auto" w:sz="4" w:space="0"/>
              <w:right w:val="nil"/>
            </w:tcBorders>
            <w:noWrap/>
            <w:vAlign w:val="center"/>
          </w:tcPr>
          <w:p>
            <w:pPr>
              <w:widowControl/>
              <w:jc w:val="center"/>
              <w:rPr>
                <w:rFonts w:ascii="楷体_GB2312" w:hAnsi="宋体" w:eastAsia="楷体_GB2312" w:cs="宋体"/>
                <w:b/>
                <w:bCs/>
                <w:kern w:val="0"/>
                <w:sz w:val="22"/>
              </w:rPr>
            </w:pP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专项资金名称</w:t>
            </w:r>
          </w:p>
        </w:tc>
        <w:tc>
          <w:tcPr>
            <w:tcW w:w="354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区级专项资金</w:t>
            </w:r>
          </w:p>
        </w:tc>
        <w:tc>
          <w:tcPr>
            <w:tcW w:w="127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负责人</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及电话</w:t>
            </w:r>
          </w:p>
        </w:tc>
        <w:tc>
          <w:tcPr>
            <w:tcW w:w="3087" w:type="dxa"/>
            <w:gridSpan w:val="3"/>
            <w:tcBorders>
              <w:top w:val="single" w:color="auto" w:sz="4" w:space="0"/>
              <w:left w:val="single" w:color="auto" w:sz="4" w:space="0"/>
              <w:bottom w:val="single" w:color="auto" w:sz="4" w:space="0"/>
              <w:right w:val="single" w:color="auto" w:sz="4" w:space="0"/>
            </w:tcBorders>
            <w:noWrap/>
            <w:vAlign w:val="bottom"/>
          </w:tcPr>
          <w:p>
            <w:pPr>
              <w:widowControl/>
              <w:jc w:val="left"/>
              <w:rPr>
                <w:rFonts w:ascii="宋体" w:hAnsi="宋体" w:cs="宋体"/>
                <w:kern w:val="0"/>
                <w:sz w:val="20"/>
                <w:szCs w:val="20"/>
              </w:rPr>
            </w:pPr>
            <w:r>
              <w:rPr>
                <w:rFonts w:hint="eastAsia" w:ascii="宋体" w:hAnsi="宋体" w:cs="宋体"/>
                <w:kern w:val="0"/>
                <w:sz w:val="20"/>
                <w:szCs w:val="20"/>
              </w:rPr>
              <w:t>刘洪</w:t>
            </w:r>
          </w:p>
          <w:p>
            <w:pPr>
              <w:widowControl/>
              <w:jc w:val="left"/>
              <w:rPr>
                <w:rFonts w:ascii="宋体" w:hAnsi="宋体" w:cs="宋体"/>
                <w:kern w:val="0"/>
                <w:szCs w:val="21"/>
              </w:rPr>
            </w:pPr>
            <w:r>
              <w:rPr>
                <w:rFonts w:hint="eastAsia" w:ascii="宋体" w:hAnsi="宋体" w:cs="宋体"/>
                <w:kern w:val="0"/>
                <w:sz w:val="20"/>
                <w:szCs w:val="20"/>
              </w:rPr>
              <w:t>2267007</w:t>
            </w: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nil"/>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市级主管部门</w:t>
            </w:r>
          </w:p>
        </w:tc>
        <w:tc>
          <w:tcPr>
            <w:tcW w:w="7907" w:type="dxa"/>
            <w:gridSpan w:val="6"/>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怀化市市场监督管理局</w:t>
            </w: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地方主管部门</w:t>
            </w:r>
          </w:p>
        </w:tc>
        <w:tc>
          <w:tcPr>
            <w:tcW w:w="354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鹤城区人民政府</w:t>
            </w:r>
          </w:p>
        </w:tc>
        <w:tc>
          <w:tcPr>
            <w:tcW w:w="127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3087"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仿宋_GB2312" w:hAnsi="宋体" w:eastAsia="仿宋_GB2312" w:cs="宋体"/>
                <w:kern w:val="0"/>
                <w:szCs w:val="21"/>
              </w:rPr>
              <w:t>怀化市鹤城区市场监督管理局</w:t>
            </w:r>
          </w:p>
        </w:tc>
      </w:tr>
      <w:tr>
        <w:tblPrEx>
          <w:tblCellMar>
            <w:top w:w="0" w:type="dxa"/>
            <w:left w:w="108" w:type="dxa"/>
            <w:bottom w:w="0" w:type="dxa"/>
            <w:right w:w="108" w:type="dxa"/>
          </w:tblCellMar>
        </w:tblPrEx>
        <w:trPr>
          <w:trHeight w:val="425" w:hRule="atLeast"/>
          <w:jc w:val="center"/>
        </w:trPr>
        <w:tc>
          <w:tcPr>
            <w:tcW w:w="2153" w:type="dxa"/>
            <w:gridSpan w:val="3"/>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项目资金（万元）</w:t>
            </w: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全年预算数（A）</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全年执行数（B）</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执行率（B／A）</w:t>
            </w:r>
          </w:p>
        </w:tc>
      </w:tr>
      <w:tr>
        <w:tblPrEx>
          <w:tblCellMar>
            <w:top w:w="0" w:type="dxa"/>
            <w:left w:w="108" w:type="dxa"/>
            <w:bottom w:w="0" w:type="dxa"/>
            <w:right w:w="108" w:type="dxa"/>
          </w:tblCellMar>
        </w:tblPrEx>
        <w:trPr>
          <w:trHeight w:val="425"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Times New Roman" w:hAnsi="Times New Roman" w:eastAsia="仿宋_GB2312" w:cs="Times New Roman"/>
                <w:sz w:val="20"/>
                <w:szCs w:val="20"/>
              </w:rPr>
              <w:t>2,907,000.00</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Times New Roman" w:hAnsi="Times New Roman" w:eastAsia="仿宋_GB2312" w:cs="Times New Roman"/>
                <w:sz w:val="20"/>
                <w:szCs w:val="20"/>
              </w:rPr>
              <w:t>2,907,000.00</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r>
      <w:tr>
        <w:tblPrEx>
          <w:tblCellMar>
            <w:top w:w="0" w:type="dxa"/>
            <w:left w:w="108" w:type="dxa"/>
            <w:bottom w:w="0" w:type="dxa"/>
            <w:right w:w="108" w:type="dxa"/>
          </w:tblCellMar>
        </w:tblPrEx>
        <w:trPr>
          <w:trHeight w:val="425"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其中：中央补助</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40"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ind w:firstLine="420" w:firstLineChars="200"/>
              <w:rPr>
                <w:rFonts w:ascii="仿宋_GB2312" w:hAnsi="宋体" w:eastAsia="仿宋_GB2312" w:cs="宋体"/>
                <w:kern w:val="0"/>
                <w:szCs w:val="21"/>
              </w:rPr>
            </w:pPr>
            <w:r>
              <w:rPr>
                <w:rFonts w:hint="eastAsia" w:ascii="仿宋_GB2312" w:hAnsi="宋体" w:eastAsia="仿宋_GB2312" w:cs="宋体"/>
                <w:kern w:val="0"/>
                <w:szCs w:val="21"/>
              </w:rPr>
              <w:t xml:space="preserve"> 省级资金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02"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xml:space="preserve">    市级资金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02" w:hRule="atLeast"/>
          <w:jc w:val="center"/>
        </w:trPr>
        <w:tc>
          <w:tcPr>
            <w:tcW w:w="2153" w:type="dxa"/>
            <w:gridSpan w:val="3"/>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其他资金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Times New Roman" w:hAnsi="Times New Roman" w:eastAsia="仿宋_GB2312" w:cs="Times New Roman"/>
                <w:sz w:val="20"/>
                <w:szCs w:val="20"/>
              </w:rPr>
              <w:t>2,907,000.00</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Times New Roman" w:hAnsi="Times New Roman" w:eastAsia="仿宋_GB2312" w:cs="Times New Roman"/>
                <w:sz w:val="20"/>
                <w:szCs w:val="20"/>
              </w:rPr>
              <w:t>2,907,000.00</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r>
      <w:tr>
        <w:tblPrEx>
          <w:tblCellMar>
            <w:top w:w="0" w:type="dxa"/>
            <w:left w:w="108" w:type="dxa"/>
            <w:bottom w:w="0" w:type="dxa"/>
            <w:right w:w="108" w:type="dxa"/>
          </w:tblCellMar>
        </w:tblPrEx>
        <w:trPr>
          <w:trHeight w:val="425"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928"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仿宋_GB2312" w:hAnsi="宋体" w:eastAsia="仿宋_GB2312" w:cs="宋体"/>
                <w:kern w:val="0"/>
                <w:szCs w:val="21"/>
              </w:rPr>
              <w:t>年初设定目标</w:t>
            </w:r>
            <w:r>
              <w:rPr>
                <w:rFonts w:hint="eastAsia" w:ascii="宋体" w:hAnsi="宋体" w:cs="宋体"/>
                <w:kern w:val="0"/>
                <w:szCs w:val="21"/>
              </w:rPr>
              <w:t>　</w:t>
            </w:r>
          </w:p>
        </w:tc>
        <w:tc>
          <w:tcPr>
            <w:tcW w:w="4363"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全年实际完成情况</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4928" w:type="dxa"/>
            <w:gridSpan w:val="4"/>
            <w:tcBorders>
              <w:top w:val="single" w:color="auto" w:sz="4" w:space="0"/>
              <w:left w:val="single" w:color="auto" w:sz="4" w:space="0"/>
              <w:bottom w:val="single" w:color="auto" w:sz="4" w:space="0"/>
              <w:right w:val="single" w:color="auto" w:sz="4" w:space="0"/>
            </w:tcBorders>
            <w:noWrap/>
            <w:vAlign w:val="center"/>
          </w:tcPr>
          <w:p>
            <w:pPr>
              <w:pStyle w:val="16"/>
              <w:numPr>
                <w:ilvl w:val="0"/>
                <w:numId w:val="10"/>
              </w:numPr>
              <w:spacing w:line="240" w:lineRule="auto"/>
              <w:ind w:firstLine="0"/>
              <w:jc w:val="left"/>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加强消费维权投诉处理，强化市场监管工作；开展3.15消费者权益日宣传活动；开展日常宣传。</w:t>
            </w:r>
          </w:p>
          <w:p>
            <w:pPr>
              <w:widowControl/>
              <w:numPr>
                <w:ilvl w:val="0"/>
                <w:numId w:val="10"/>
              </w:numPr>
              <w:jc w:val="left"/>
            </w:pPr>
            <w:r>
              <w:rPr>
                <w:rFonts w:hint="eastAsia"/>
              </w:rPr>
              <w:t>深入推进注册登记全程电子化；深化商事登记制度改革。</w:t>
            </w:r>
          </w:p>
          <w:p>
            <w:pPr>
              <w:widowControl/>
              <w:numPr>
                <w:ilvl w:val="0"/>
                <w:numId w:val="10"/>
              </w:numPr>
              <w:jc w:val="left"/>
            </w:pPr>
            <w:r>
              <w:rPr>
                <w:rFonts w:hint="eastAsia"/>
              </w:rPr>
              <w:t>做好非洲猪瘟常态化防控工作，加强白板肉日常巡查监管力度。</w:t>
            </w:r>
          </w:p>
          <w:p>
            <w:pPr>
              <w:pStyle w:val="16"/>
              <w:numPr>
                <w:ilvl w:val="0"/>
                <w:numId w:val="10"/>
              </w:numPr>
              <w:spacing w:line="240" w:lineRule="auto"/>
              <w:ind w:firstLine="0"/>
              <w:jc w:val="left"/>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制定抽检计划，完成2021年抽检计划。</w:t>
            </w:r>
          </w:p>
          <w:p>
            <w:pPr>
              <w:pStyle w:val="16"/>
              <w:numPr>
                <w:ilvl w:val="0"/>
                <w:numId w:val="10"/>
              </w:numPr>
              <w:spacing w:line="240" w:lineRule="auto"/>
              <w:ind w:firstLine="0"/>
              <w:jc w:val="left"/>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完成食品安全省抽计划。</w:t>
            </w:r>
          </w:p>
          <w:p>
            <w:pPr>
              <w:pStyle w:val="16"/>
              <w:numPr>
                <w:ilvl w:val="0"/>
                <w:numId w:val="10"/>
              </w:numPr>
              <w:spacing w:line="240" w:lineRule="auto"/>
              <w:ind w:firstLine="0"/>
              <w:jc w:val="left"/>
              <w:rPr>
                <w:rFonts w:ascii="Times New Roman" w:hAnsi="Times New Roman" w:eastAsia="宋体" w:cs="Times New Roman"/>
                <w:color w:val="auto"/>
                <w:sz w:val="21"/>
                <w:szCs w:val="24"/>
              </w:rPr>
            </w:pPr>
            <w:r>
              <w:rPr>
                <w:rFonts w:ascii="Times New Roman" w:hAnsi="Times New Roman" w:eastAsia="宋体" w:cs="Times New Roman"/>
                <w:color w:val="auto"/>
                <w:sz w:val="21"/>
                <w:szCs w:val="24"/>
              </w:rPr>
              <w:t>推动</w:t>
            </w:r>
            <w:r>
              <w:rPr>
                <w:rFonts w:hint="eastAsia" w:ascii="Times New Roman" w:hAnsi="Times New Roman" w:eastAsia="宋体" w:cs="Times New Roman"/>
                <w:color w:val="auto"/>
                <w:sz w:val="21"/>
                <w:szCs w:val="24"/>
              </w:rPr>
              <w:t>鹤城区</w:t>
            </w:r>
            <w:r>
              <w:rPr>
                <w:rFonts w:ascii="Times New Roman" w:hAnsi="Times New Roman" w:eastAsia="宋体" w:cs="Times New Roman"/>
                <w:color w:val="auto"/>
                <w:sz w:val="21"/>
                <w:szCs w:val="24"/>
              </w:rPr>
              <w:t>疫苗监管体系建设，提升疫苗监督管理水平，做好迎接世界卫生组织对我国疫苗国家监管体系评估的准备工作</w:t>
            </w:r>
            <w:r>
              <w:rPr>
                <w:rFonts w:hint="eastAsia" w:ascii="Times New Roman" w:hAnsi="Times New Roman" w:eastAsia="宋体" w:cs="Times New Roman"/>
                <w:color w:val="auto"/>
                <w:sz w:val="21"/>
                <w:szCs w:val="24"/>
              </w:rPr>
              <w:t>。</w:t>
            </w:r>
          </w:p>
          <w:p>
            <w:pPr>
              <w:pStyle w:val="16"/>
              <w:numPr>
                <w:ilvl w:val="0"/>
                <w:numId w:val="10"/>
              </w:numPr>
              <w:spacing w:line="240" w:lineRule="auto"/>
              <w:ind w:firstLine="0"/>
              <w:jc w:val="left"/>
              <w:rPr>
                <w:rFonts w:ascii="Times New Roman" w:hAnsi="Times New Roman" w:eastAsia="宋体" w:cs="Times New Roman"/>
                <w:color w:val="auto"/>
                <w:sz w:val="21"/>
                <w:szCs w:val="24"/>
              </w:rPr>
            </w:pPr>
            <w:r>
              <w:rPr>
                <w:rFonts w:ascii="Times New Roman" w:hAnsi="Times New Roman" w:eastAsia="宋体" w:cs="Times New Roman"/>
                <w:color w:val="auto"/>
                <w:sz w:val="21"/>
                <w:szCs w:val="24"/>
              </w:rPr>
              <w:t>组织开展安全生产</w:t>
            </w:r>
            <w:r>
              <w:rPr>
                <w:rFonts w:hint="eastAsia" w:ascii="Times New Roman" w:hAnsi="Times New Roman" w:eastAsia="宋体" w:cs="Times New Roman"/>
                <w:color w:val="auto"/>
                <w:sz w:val="21"/>
                <w:szCs w:val="24"/>
              </w:rPr>
              <w:t>领域“打非治违”</w:t>
            </w:r>
            <w:r>
              <w:rPr>
                <w:rFonts w:ascii="Times New Roman" w:hAnsi="Times New Roman" w:eastAsia="宋体" w:cs="Times New Roman"/>
                <w:color w:val="auto"/>
                <w:sz w:val="21"/>
                <w:szCs w:val="24"/>
              </w:rPr>
              <w:t>三年行动、</w:t>
            </w:r>
            <w:r>
              <w:rPr>
                <w:rFonts w:hint="eastAsia" w:ascii="Times New Roman" w:hAnsi="Times New Roman" w:eastAsia="宋体" w:cs="Times New Roman"/>
                <w:color w:val="auto"/>
                <w:sz w:val="21"/>
                <w:szCs w:val="24"/>
              </w:rPr>
              <w:t>怀化市鹤城区市场监管领域安全生产专项整治三年行动。</w:t>
            </w:r>
          </w:p>
          <w:p>
            <w:pPr>
              <w:pStyle w:val="16"/>
              <w:numPr>
                <w:ilvl w:val="0"/>
                <w:numId w:val="10"/>
              </w:numPr>
              <w:spacing w:line="240" w:lineRule="auto"/>
              <w:ind w:firstLine="0"/>
              <w:jc w:val="left"/>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做好禁毒宣传教育，统筹群众力量有效遏制毒品滋生蔓延势头，确保本辖区毒情形势总体稳定中向好发展。</w:t>
            </w:r>
          </w:p>
          <w:p>
            <w:pPr>
              <w:pStyle w:val="16"/>
              <w:numPr>
                <w:ilvl w:val="0"/>
                <w:numId w:val="10"/>
              </w:numPr>
              <w:spacing w:line="240" w:lineRule="auto"/>
              <w:ind w:firstLine="0"/>
              <w:jc w:val="left"/>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根据区疫情防控要求，我局于2020年1月25日至8月7日开展了新冠疫情防控消毒工作，消毒范围包括17个农贸市场、8个工商和食药所、市委佳惠广场、高铁南站、区市场监管局机关办公楼、黄金坳镇和同田湾火车站，以上费用经审计局审核后除已付费用外尚需支付62.28万元。</w:t>
            </w:r>
          </w:p>
        </w:tc>
        <w:tc>
          <w:tcPr>
            <w:tcW w:w="4363" w:type="dxa"/>
            <w:gridSpan w:val="4"/>
            <w:tcBorders>
              <w:top w:val="single" w:color="auto" w:sz="4" w:space="0"/>
              <w:left w:val="single" w:color="auto" w:sz="4" w:space="0"/>
              <w:bottom w:val="single" w:color="auto" w:sz="4" w:space="0"/>
              <w:right w:val="single" w:color="auto" w:sz="4" w:space="0"/>
            </w:tcBorders>
            <w:noWrap/>
            <w:vAlign w:val="center"/>
          </w:tcPr>
          <w:p>
            <w:pPr>
              <w:pStyle w:val="16"/>
              <w:spacing w:line="240" w:lineRule="auto"/>
              <w:ind w:firstLine="0"/>
              <w:jc w:val="left"/>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1.2021年度我局共受理消费者投诉、举报3416起，均按照市场监督管理投诉举报处理暂行办法自我局收到投诉之日起七个工作日内作出受理或者不予受理的决定，截止2021年底消费投诉处理率达到100%；开展3.15消费者权益日宣传活动；开展日常宣传。</w:t>
            </w:r>
          </w:p>
          <w:p>
            <w:pPr>
              <w:widowControl/>
              <w:jc w:val="left"/>
            </w:pPr>
            <w:r>
              <w:rPr>
                <w:rFonts w:hint="eastAsia"/>
              </w:rPr>
              <w:t>2.深入推进注册登记全程电子化；深化商事制度改革。</w:t>
            </w:r>
          </w:p>
          <w:p>
            <w:pPr>
              <w:widowControl/>
              <w:jc w:val="left"/>
            </w:pPr>
            <w:r>
              <w:rPr>
                <w:rFonts w:hint="eastAsia"/>
              </w:rPr>
              <w:t>3.持续落实非洲猪瘟常态化防控工作，加强白板肉日常巡查监管力度。</w:t>
            </w:r>
          </w:p>
          <w:p>
            <w:pPr>
              <w:pStyle w:val="16"/>
              <w:spacing w:line="240" w:lineRule="auto"/>
              <w:ind w:firstLine="0"/>
              <w:jc w:val="left"/>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4.完成2021年抽检计划。</w:t>
            </w:r>
          </w:p>
          <w:p>
            <w:pPr>
              <w:pStyle w:val="16"/>
              <w:spacing w:line="240" w:lineRule="auto"/>
              <w:ind w:firstLine="0"/>
              <w:jc w:val="left"/>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5.完成食品安全省抽计划。</w:t>
            </w:r>
          </w:p>
          <w:p>
            <w:pPr>
              <w:pStyle w:val="16"/>
              <w:spacing w:line="240" w:lineRule="auto"/>
              <w:ind w:firstLine="0"/>
              <w:jc w:val="left"/>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6.按照国家药监局的部署安排，完成2021年疫苗国家监管体系职能评估准备工作。</w:t>
            </w:r>
          </w:p>
          <w:p>
            <w:pPr>
              <w:pStyle w:val="16"/>
              <w:spacing w:line="240" w:lineRule="auto"/>
              <w:ind w:firstLine="0"/>
              <w:jc w:val="left"/>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7.</w:t>
            </w:r>
            <w:r>
              <w:rPr>
                <w:rFonts w:ascii="Times New Roman" w:hAnsi="Times New Roman" w:eastAsia="宋体" w:cs="Times New Roman"/>
                <w:color w:val="auto"/>
                <w:sz w:val="21"/>
                <w:szCs w:val="24"/>
              </w:rPr>
              <w:t>开展</w:t>
            </w:r>
            <w:r>
              <w:rPr>
                <w:rFonts w:hint="eastAsia" w:ascii="Times New Roman" w:hAnsi="Times New Roman" w:eastAsia="宋体" w:cs="Times New Roman"/>
                <w:color w:val="auto"/>
                <w:sz w:val="21"/>
                <w:szCs w:val="24"/>
              </w:rPr>
              <w:t>了</w:t>
            </w:r>
            <w:r>
              <w:rPr>
                <w:rFonts w:ascii="Times New Roman" w:hAnsi="Times New Roman" w:eastAsia="宋体" w:cs="Times New Roman"/>
                <w:color w:val="auto"/>
                <w:sz w:val="21"/>
                <w:szCs w:val="24"/>
              </w:rPr>
              <w:t>安全生产</w:t>
            </w:r>
            <w:r>
              <w:rPr>
                <w:rFonts w:hint="eastAsia" w:ascii="Times New Roman" w:hAnsi="Times New Roman" w:eastAsia="宋体" w:cs="Times New Roman"/>
                <w:color w:val="auto"/>
                <w:sz w:val="21"/>
                <w:szCs w:val="24"/>
              </w:rPr>
              <w:t>领域“打非治违”</w:t>
            </w:r>
            <w:r>
              <w:rPr>
                <w:rFonts w:ascii="Times New Roman" w:hAnsi="Times New Roman" w:eastAsia="宋体" w:cs="Times New Roman"/>
                <w:color w:val="auto"/>
                <w:sz w:val="21"/>
                <w:szCs w:val="24"/>
              </w:rPr>
              <w:t>三年行动、</w:t>
            </w:r>
            <w:r>
              <w:rPr>
                <w:rFonts w:hint="eastAsia" w:ascii="Times New Roman" w:hAnsi="Times New Roman" w:eastAsia="宋体" w:cs="Times New Roman"/>
                <w:color w:val="auto"/>
                <w:sz w:val="21"/>
                <w:szCs w:val="24"/>
              </w:rPr>
              <w:t>怀化市鹤城区市场监管领域安全生产专项整治三年行动。</w:t>
            </w:r>
          </w:p>
          <w:p>
            <w:pPr>
              <w:pStyle w:val="16"/>
              <w:spacing w:line="240" w:lineRule="auto"/>
              <w:ind w:firstLine="0"/>
              <w:jc w:val="left"/>
              <w:rPr>
                <w:rFonts w:ascii="Times New Roman" w:hAnsi="Times New Roman" w:eastAsia="宋体" w:cs="Times New Roman"/>
                <w:color w:val="auto"/>
                <w:sz w:val="21"/>
                <w:szCs w:val="24"/>
              </w:rPr>
            </w:pPr>
            <w:r>
              <w:rPr>
                <w:rFonts w:hint="eastAsia" w:ascii="Times New Roman" w:hAnsi="Times New Roman" w:eastAsia="宋体" w:cs="Times New Roman"/>
                <w:color w:val="auto"/>
                <w:sz w:val="21"/>
                <w:szCs w:val="24"/>
              </w:rPr>
              <w:t>8.开展禁毒宣传教育工作，统筹群众力量有效遏制毒品滋生蔓延势头，确保本辖区毒情形势总体稳定中向好发展。</w:t>
            </w:r>
          </w:p>
          <w:p>
            <w:pPr>
              <w:widowControl/>
              <w:jc w:val="left"/>
              <w:rPr>
                <w:rFonts w:ascii="仿宋_GB2312" w:hAnsi="宋体" w:eastAsia="仿宋_GB2312" w:cs="宋体"/>
                <w:kern w:val="0"/>
                <w:szCs w:val="21"/>
              </w:rPr>
            </w:pPr>
            <w:r>
              <w:rPr>
                <w:rFonts w:hint="eastAsia" w:ascii="Times New Roman" w:hAnsi="Times New Roman" w:eastAsia="宋体" w:cs="Times New Roman"/>
                <w:szCs w:val="24"/>
              </w:rPr>
              <w:t>9.完成2020年1月25日至8月7日新冠疫情防控消毒工作费用支付。</w:t>
            </w:r>
          </w:p>
        </w:tc>
      </w:tr>
      <w:tr>
        <w:tblPrEx>
          <w:tblCellMar>
            <w:top w:w="0" w:type="dxa"/>
            <w:left w:w="108" w:type="dxa"/>
            <w:bottom w:w="0" w:type="dxa"/>
            <w:right w:w="108" w:type="dxa"/>
          </w:tblCellMar>
        </w:tblPrEx>
        <w:trPr>
          <w:trHeight w:val="425"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绩  效    指  标</w:t>
            </w:r>
          </w:p>
        </w:tc>
        <w:tc>
          <w:tcPr>
            <w:tcW w:w="675" w:type="dxa"/>
            <w:tcBorders>
              <w:top w:val="single" w:color="auto" w:sz="4" w:space="0"/>
              <w:left w:val="nil"/>
              <w:bottom w:val="single" w:color="auto" w:sz="4" w:space="0"/>
              <w:right w:val="nil"/>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701"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年度指标值</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198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未完成原因和</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改进措施</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产   出   指   标</w:t>
            </w:r>
          </w:p>
        </w:tc>
        <w:tc>
          <w:tcPr>
            <w:tcW w:w="709" w:type="dxa"/>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消费者权益日宣传</w:t>
            </w:r>
          </w:p>
        </w:tc>
        <w:tc>
          <w:tcPr>
            <w:tcW w:w="1843" w:type="dxa"/>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≧1次</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1次</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Times New Roman" w:hAnsi="Times New Roman" w:eastAsia="仿宋_GB2312" w:cs="Times New Roman"/>
                <w:kern w:val="0"/>
                <w:szCs w:val="21"/>
              </w:rPr>
              <w:t>消费者投诉受理时间</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Times New Roman" w:hAnsi="Times New Roman" w:eastAsia="仿宋_GB2312" w:cs="Times New Roman"/>
                <w:kern w:val="0"/>
                <w:szCs w:val="21"/>
              </w:rPr>
              <w:t>≦7个工作日</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Times New Roman" w:hAnsi="Times New Roman" w:eastAsia="仿宋_GB2312" w:cs="Times New Roman"/>
                <w:kern w:val="0"/>
                <w:szCs w:val="21"/>
              </w:rPr>
              <w:t>≦7个工作日</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全年新增市场主体</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≧6000户</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6970户</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全程电子化登记业务</w:t>
            </w:r>
          </w:p>
        </w:tc>
        <w:tc>
          <w:tcPr>
            <w:tcW w:w="1843" w:type="dxa"/>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≧2300户</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2522</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简易注销企业数量</w:t>
            </w:r>
          </w:p>
        </w:tc>
        <w:tc>
          <w:tcPr>
            <w:tcW w:w="1843" w:type="dxa"/>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≧250</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296</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检查市场数量</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≧14家次</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14家次</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食用农产品和食品抽检批次</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完成2021年农产品和食品抽检量目标任务（1340批次）</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1340批次</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2021年其他专项抽检</w:t>
            </w:r>
          </w:p>
        </w:tc>
        <w:tc>
          <w:tcPr>
            <w:tcW w:w="1843" w:type="dxa"/>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≧23批次</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23批次</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安全生产专项整治</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≧2次</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2次</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禁毒宣传</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≧1次</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1次</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restart"/>
            <w:tcBorders>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Times New Roman" w:hAnsi="Times New Roman" w:eastAsia="仿宋_GB2312" w:cs="Times New Roman"/>
                <w:kern w:val="0"/>
                <w:szCs w:val="21"/>
              </w:rPr>
              <w:t>消费投诉处理率</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Times New Roman" w:hAnsi="Times New Roman" w:eastAsia="仿宋_GB2312" w:cs="Times New Roman"/>
                <w:kern w:val="0"/>
                <w:szCs w:val="21"/>
              </w:rPr>
              <w:t>≧95%</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Times New Roman" w:hAnsi="Times New Roman" w:eastAsia="仿宋_GB2312" w:cs="Times New Roman"/>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鹤城区较大安全生产事故发生率</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非洲猪瘟重大安全事故率</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全程电子化受理时间</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1个工作日</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1个工作日</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食品安全抽检任务完成率</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不合格（问题）食品核查处置任务完成率</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2021年疫苗国家监管体系职能评估准备工作</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完成</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任务完成时间</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2021年12月31日</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2021年12月31日</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12315维权专项</w:t>
            </w:r>
          </w:p>
        </w:tc>
        <w:tc>
          <w:tcPr>
            <w:tcW w:w="1843" w:type="dxa"/>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≧7万元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7万元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1530"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商事登记制度改革专项（含信息化建设）</w:t>
            </w:r>
          </w:p>
        </w:tc>
        <w:tc>
          <w:tcPr>
            <w:tcW w:w="1843" w:type="dxa"/>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≧70万元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70万元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非洲猪瘟及白板肉整治</w:t>
            </w:r>
          </w:p>
        </w:tc>
        <w:tc>
          <w:tcPr>
            <w:tcW w:w="1843" w:type="dxa"/>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≧21万元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21万元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流通领域商品质量抽检</w:t>
            </w:r>
          </w:p>
        </w:tc>
        <w:tc>
          <w:tcPr>
            <w:tcW w:w="1843" w:type="dxa"/>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≧21万元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21万元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市场监督管理局食品抽检专项资金</w:t>
            </w:r>
          </w:p>
        </w:tc>
        <w:tc>
          <w:tcPr>
            <w:tcW w:w="1843" w:type="dxa"/>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≧103.42万元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103.42万元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区疫苗国家监管体系评估工作专项经费</w:t>
            </w:r>
          </w:p>
        </w:tc>
        <w:tc>
          <w:tcPr>
            <w:tcW w:w="1843" w:type="dxa"/>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安全生产专项整治三年行动工作经费（区安委会办公室）</w:t>
            </w:r>
          </w:p>
        </w:tc>
        <w:tc>
          <w:tcPr>
            <w:tcW w:w="1843" w:type="dxa"/>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禁毒专项</w:t>
            </w:r>
          </w:p>
        </w:tc>
        <w:tc>
          <w:tcPr>
            <w:tcW w:w="1843" w:type="dxa"/>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区市场监管局新冠消毒经费</w:t>
            </w:r>
          </w:p>
        </w:tc>
        <w:tc>
          <w:tcPr>
            <w:tcW w:w="1843" w:type="dxa"/>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≧40万元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40万元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区市场监督局新冠防控消毒费用</w:t>
            </w:r>
          </w:p>
        </w:tc>
        <w:tc>
          <w:tcPr>
            <w:tcW w:w="1843" w:type="dxa"/>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≧22.28万元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22.28万元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效   益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经济效益  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挽回消费者经济损失</w:t>
            </w:r>
          </w:p>
        </w:tc>
        <w:tc>
          <w:tcPr>
            <w:tcW w:w="1843" w:type="dxa"/>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宋体" w:hAnsi="宋体" w:eastAsia="宋体" w:cs="宋体"/>
                <w:kern w:val="0"/>
                <w:szCs w:val="21"/>
              </w:rPr>
              <w:t>≧</w:t>
            </w:r>
            <w:r>
              <w:rPr>
                <w:rFonts w:hint="eastAsia" w:ascii="仿宋_GB2312" w:hAnsi="宋体" w:eastAsia="仿宋_GB2312" w:cs="宋体"/>
                <w:kern w:val="0"/>
                <w:szCs w:val="21"/>
              </w:rPr>
              <w:t>320万元</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320万元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jc w:val="left"/>
              <w:rPr>
                <w:rFonts w:ascii="仿宋_GB2312" w:hAnsi="宋体" w:eastAsia="仿宋_GB2312" w:cs="宋体"/>
                <w:kern w:val="0"/>
                <w:szCs w:val="21"/>
              </w:rPr>
            </w:pPr>
            <w:r>
              <w:rPr>
                <w:rFonts w:hint="eastAsia" w:ascii="仿宋_GB2312" w:hAnsi="宋体" w:eastAsia="仿宋_GB2312" w:cs="宋体"/>
                <w:kern w:val="0"/>
                <w:szCs w:val="21"/>
              </w:rPr>
              <w:t>绩  效    指  标</w:t>
            </w:r>
          </w:p>
        </w:tc>
        <w:tc>
          <w:tcPr>
            <w:tcW w:w="675" w:type="dxa"/>
            <w:vMerge w:val="restart"/>
            <w:tcBorders>
              <w:top w:val="single" w:color="auto" w:sz="4" w:space="0"/>
              <w:left w:val="single" w:color="auto" w:sz="4" w:space="0"/>
              <w:right w:val="single" w:color="auto" w:sz="4" w:space="0"/>
            </w:tcBorders>
            <w:noWrap/>
            <w:vAlign w:val="center"/>
          </w:tcPr>
          <w:p>
            <w:pPr>
              <w:jc w:val="left"/>
              <w:rPr>
                <w:rFonts w:ascii="仿宋_GB2312" w:hAnsi="宋体" w:eastAsia="仿宋_GB2312" w:cs="宋体"/>
                <w:kern w:val="0"/>
                <w:szCs w:val="21"/>
              </w:rPr>
            </w:pPr>
            <w:r>
              <w:rPr>
                <w:rFonts w:hint="eastAsia" w:ascii="仿宋_GB2312" w:hAnsi="宋体" w:eastAsia="仿宋_GB2312" w:cs="宋体"/>
                <w:kern w:val="0"/>
                <w:szCs w:val="21"/>
              </w:rPr>
              <w:t>效   益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生态效益  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w:t>
            </w:r>
          </w:p>
        </w:tc>
        <w:tc>
          <w:tcPr>
            <w:tcW w:w="1843" w:type="dxa"/>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营造安全放心的消费环境</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逐步提高</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聚焦商事登记制度改革，提高审批效率，优化营商环境</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长期</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市场准入、竞争、消费环境改善</w:t>
            </w:r>
          </w:p>
        </w:tc>
        <w:tc>
          <w:tcPr>
            <w:tcW w:w="1843" w:type="dxa"/>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长期</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开展非洲猪瘟防控宣传工作，增强群众自主防范意识</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持续增强</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促进本区产品质量安全水平的趋势向好</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长期</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杜绝辖区内重大食品安全事故的发生，促进辖区食品行业健康有序发展，保障公众食品安全</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长期</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有效遏制毒品滋生蔓延势头，确保本辖区毒情形势总体稳定中向好发展</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长期</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常态化疫情防控，确保老百姓生命安全和一方平安</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长期</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983"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270"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满意度指标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消费投诉和维权处理满意率</w:t>
            </w:r>
          </w:p>
        </w:tc>
        <w:tc>
          <w:tcPr>
            <w:tcW w:w="1843" w:type="dxa"/>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满意</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满意</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952" w:hRule="atLeast"/>
          <w:jc w:val="center"/>
        </w:trPr>
        <w:tc>
          <w:tcPr>
            <w:tcW w:w="769" w:type="dxa"/>
            <w:tcBorders>
              <w:top w:val="single" w:color="auto" w:sz="4" w:space="0"/>
              <w:left w:val="single" w:color="auto" w:sz="4" w:space="0"/>
              <w:bottom w:val="nil"/>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说明</w:t>
            </w:r>
          </w:p>
        </w:tc>
        <w:tc>
          <w:tcPr>
            <w:tcW w:w="9291" w:type="dxa"/>
            <w:gridSpan w:val="8"/>
            <w:tcBorders>
              <w:top w:val="single" w:color="auto" w:sz="4" w:space="0"/>
              <w:left w:val="nil"/>
              <w:bottom w:val="nil"/>
              <w:right w:val="single" w:color="000000"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1785" w:hRule="atLeast"/>
          <w:jc w:val="center"/>
        </w:trPr>
        <w:tc>
          <w:tcPr>
            <w:tcW w:w="10060" w:type="dxa"/>
            <w:gridSpan w:val="9"/>
            <w:vMerge w:val="restart"/>
            <w:tcBorders>
              <w:top w:val="single" w:color="auto" w:sz="8" w:space="0"/>
              <w:left w:val="nil"/>
              <w:bottom w:val="nil"/>
              <w:right w:val="nil"/>
            </w:tcBorders>
            <w:noWrap/>
          </w:tcPr>
          <w:p>
            <w:pPr>
              <w:widowControl/>
              <w:ind w:firstLine="420" w:firstLineChars="200"/>
              <w:jc w:val="left"/>
              <w:rPr>
                <w:rFonts w:ascii="仿宋_GB2312" w:hAnsi="宋体" w:eastAsia="仿宋_GB2312" w:cs="宋体"/>
                <w:kern w:val="0"/>
                <w:szCs w:val="21"/>
              </w:rPr>
            </w:pP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 xml:space="preserve">注：1、其他资金包括和中央补助、地方财政资金共同投入到同一项目的自有资金、社会资金，以及以前年度的结转结余资金等。 </w:t>
            </w: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2、定量指标，资金使用单位填写本地区实际完成数。市直各部门汇总时，对绝对值直接累加计算，相对值按照资金额度加权平均计算。</w:t>
            </w: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3、定性指标根据指标完成情况分为：全部或基本达成预期指标、部分达成预期指标并具有一定效果、未达成预期指标且效果较差三档，资金使用单位分别按照100％—80％（含）、80％—60％（含）、60％—0％合理填写完成比例。</w:t>
            </w:r>
          </w:p>
          <w:p>
            <w:pPr>
              <w:widowControl/>
              <w:spacing w:line="360" w:lineRule="exact"/>
              <w:ind w:firstLine="420" w:firstLineChars="200"/>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atLeast"/>
          <w:jc w:val="center"/>
        </w:trPr>
        <w:tc>
          <w:tcPr>
            <w:tcW w:w="10060" w:type="dxa"/>
            <w:gridSpan w:val="9"/>
            <w:vMerge w:val="continue"/>
            <w:tcBorders>
              <w:top w:val="single" w:color="auto" w:sz="8" w:space="0"/>
              <w:left w:val="nil"/>
              <w:bottom w:val="nil"/>
              <w:right w:val="nil"/>
            </w:tcBorders>
            <w:noWrap/>
            <w:vAlign w:val="center"/>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atLeast"/>
          <w:jc w:val="center"/>
        </w:trPr>
        <w:tc>
          <w:tcPr>
            <w:tcW w:w="10060" w:type="dxa"/>
            <w:gridSpan w:val="9"/>
            <w:vMerge w:val="continue"/>
            <w:tcBorders>
              <w:top w:val="single" w:color="auto" w:sz="8" w:space="0"/>
              <w:left w:val="nil"/>
              <w:bottom w:val="nil"/>
              <w:right w:val="nil"/>
            </w:tcBorders>
            <w:noWrap/>
            <w:vAlign w:val="center"/>
          </w:tcPr>
          <w:p>
            <w:pPr>
              <w:widowControl/>
              <w:jc w:val="left"/>
              <w:rPr>
                <w:rFonts w:ascii="仿宋_GB2312" w:hAnsi="宋体" w:eastAsia="仿宋_GB2312" w:cs="宋体"/>
                <w:kern w:val="0"/>
                <w:szCs w:val="21"/>
              </w:rPr>
            </w:pPr>
          </w:p>
        </w:tc>
      </w:tr>
    </w:tbl>
    <w:p/>
    <w:p>
      <w:r>
        <w:br w:type="page"/>
      </w:r>
    </w:p>
    <w:p>
      <w:pPr>
        <w:spacing w:line="560" w:lineRule="exact"/>
        <w:jc w:val="center"/>
        <w:rPr>
          <w:rFonts w:ascii="黑体" w:hAnsi="宋体" w:eastAsia="黑体" w:cs="宋体"/>
          <w:kern w:val="0"/>
          <w:sz w:val="32"/>
          <w:szCs w:val="32"/>
        </w:rPr>
      </w:pPr>
      <w:r>
        <w:rPr>
          <w:rFonts w:hint="eastAsia" w:ascii="黑体" w:hAnsi="宋体" w:eastAsia="黑体" w:cs="宋体"/>
          <w:kern w:val="0"/>
          <w:sz w:val="32"/>
          <w:szCs w:val="32"/>
        </w:rPr>
        <w:t>专项资金绩效目标自评表8</w:t>
      </w:r>
    </w:p>
    <w:tbl>
      <w:tblPr>
        <w:tblStyle w:val="9"/>
        <w:tblW w:w="10060" w:type="dxa"/>
        <w:jc w:val="center"/>
        <w:tblLayout w:type="fixed"/>
        <w:tblCellMar>
          <w:top w:w="0" w:type="dxa"/>
          <w:left w:w="108" w:type="dxa"/>
          <w:bottom w:w="0" w:type="dxa"/>
          <w:right w:w="108" w:type="dxa"/>
        </w:tblCellMar>
      </w:tblPr>
      <w:tblGrid>
        <w:gridCol w:w="769"/>
        <w:gridCol w:w="675"/>
        <w:gridCol w:w="709"/>
        <w:gridCol w:w="1701"/>
        <w:gridCol w:w="1843"/>
        <w:gridCol w:w="1276"/>
        <w:gridCol w:w="1073"/>
        <w:gridCol w:w="307"/>
        <w:gridCol w:w="1707"/>
      </w:tblGrid>
      <w:tr>
        <w:tblPrEx>
          <w:tblCellMar>
            <w:top w:w="0" w:type="dxa"/>
            <w:left w:w="108" w:type="dxa"/>
            <w:bottom w:w="0" w:type="dxa"/>
            <w:right w:w="108" w:type="dxa"/>
          </w:tblCellMar>
        </w:tblPrEx>
        <w:trPr>
          <w:trHeight w:val="98" w:hRule="atLeast"/>
          <w:jc w:val="center"/>
        </w:trPr>
        <w:tc>
          <w:tcPr>
            <w:tcW w:w="10060" w:type="dxa"/>
            <w:gridSpan w:val="9"/>
            <w:tcBorders>
              <w:top w:val="nil"/>
              <w:left w:val="nil"/>
              <w:bottom w:val="single" w:color="auto" w:sz="4" w:space="0"/>
              <w:right w:val="nil"/>
            </w:tcBorders>
            <w:noWrap/>
            <w:vAlign w:val="center"/>
          </w:tcPr>
          <w:p>
            <w:pPr>
              <w:widowControl/>
              <w:jc w:val="center"/>
              <w:rPr>
                <w:rFonts w:ascii="楷体_GB2312" w:hAnsi="宋体" w:eastAsia="楷体_GB2312" w:cs="宋体"/>
                <w:b/>
                <w:bCs/>
                <w:kern w:val="0"/>
                <w:sz w:val="22"/>
              </w:rPr>
            </w:pP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专项资金名称</w:t>
            </w:r>
          </w:p>
        </w:tc>
        <w:tc>
          <w:tcPr>
            <w:tcW w:w="354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非税执收成本</w:t>
            </w:r>
          </w:p>
        </w:tc>
        <w:tc>
          <w:tcPr>
            <w:tcW w:w="127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负责人</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及电话</w:t>
            </w:r>
          </w:p>
        </w:tc>
        <w:tc>
          <w:tcPr>
            <w:tcW w:w="3087" w:type="dxa"/>
            <w:gridSpan w:val="3"/>
            <w:tcBorders>
              <w:top w:val="single" w:color="auto" w:sz="4" w:space="0"/>
              <w:left w:val="single" w:color="auto" w:sz="4" w:space="0"/>
              <w:bottom w:val="single" w:color="auto" w:sz="4" w:space="0"/>
              <w:right w:val="single" w:color="auto" w:sz="4" w:space="0"/>
            </w:tcBorders>
            <w:noWrap/>
            <w:vAlign w:val="bottom"/>
          </w:tcPr>
          <w:p>
            <w:pPr>
              <w:widowControl/>
              <w:jc w:val="left"/>
              <w:rPr>
                <w:rFonts w:ascii="宋体" w:hAnsi="宋体" w:cs="宋体"/>
                <w:kern w:val="0"/>
                <w:sz w:val="20"/>
                <w:szCs w:val="20"/>
              </w:rPr>
            </w:pPr>
            <w:r>
              <w:rPr>
                <w:rFonts w:hint="eastAsia" w:ascii="宋体" w:hAnsi="宋体" w:cs="宋体"/>
                <w:kern w:val="0"/>
                <w:sz w:val="20"/>
                <w:szCs w:val="20"/>
              </w:rPr>
              <w:t>刘洪</w:t>
            </w:r>
          </w:p>
          <w:p>
            <w:pPr>
              <w:widowControl/>
              <w:jc w:val="left"/>
              <w:rPr>
                <w:rFonts w:ascii="宋体" w:hAnsi="宋体" w:cs="宋体"/>
                <w:kern w:val="0"/>
                <w:szCs w:val="21"/>
              </w:rPr>
            </w:pPr>
            <w:r>
              <w:rPr>
                <w:rFonts w:hint="eastAsia" w:ascii="宋体" w:hAnsi="宋体" w:cs="宋体"/>
                <w:kern w:val="0"/>
                <w:sz w:val="20"/>
                <w:szCs w:val="20"/>
              </w:rPr>
              <w:t>2267007</w:t>
            </w: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nil"/>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市级主管部门</w:t>
            </w:r>
          </w:p>
        </w:tc>
        <w:tc>
          <w:tcPr>
            <w:tcW w:w="7907" w:type="dxa"/>
            <w:gridSpan w:val="6"/>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怀化市市场监督管理局</w:t>
            </w: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地方主管部门</w:t>
            </w:r>
          </w:p>
        </w:tc>
        <w:tc>
          <w:tcPr>
            <w:tcW w:w="354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鹤城区人民政府</w:t>
            </w:r>
          </w:p>
        </w:tc>
        <w:tc>
          <w:tcPr>
            <w:tcW w:w="127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3087"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eastAsia="宋体" w:cs="宋体"/>
                <w:kern w:val="0"/>
                <w:szCs w:val="21"/>
              </w:rPr>
            </w:pPr>
            <w:r>
              <w:rPr>
                <w:rFonts w:hint="eastAsia" w:ascii="仿宋_GB2312" w:hAnsi="宋体" w:eastAsia="仿宋_GB2312" w:cs="宋体"/>
                <w:kern w:val="0"/>
                <w:szCs w:val="21"/>
              </w:rPr>
              <w:t>怀化市鹤城区市场监督管理局</w:t>
            </w:r>
          </w:p>
        </w:tc>
      </w:tr>
      <w:tr>
        <w:tblPrEx>
          <w:tblCellMar>
            <w:top w:w="0" w:type="dxa"/>
            <w:left w:w="108" w:type="dxa"/>
            <w:bottom w:w="0" w:type="dxa"/>
            <w:right w:w="108" w:type="dxa"/>
          </w:tblCellMar>
        </w:tblPrEx>
        <w:trPr>
          <w:trHeight w:val="425" w:hRule="atLeast"/>
          <w:jc w:val="center"/>
        </w:trPr>
        <w:tc>
          <w:tcPr>
            <w:tcW w:w="2153" w:type="dxa"/>
            <w:gridSpan w:val="3"/>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项目资金（万元）</w:t>
            </w: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全年预算数（A）</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全年执行数（B）</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执行率（B／A）</w:t>
            </w:r>
          </w:p>
        </w:tc>
      </w:tr>
      <w:tr>
        <w:tblPrEx>
          <w:tblCellMar>
            <w:top w:w="0" w:type="dxa"/>
            <w:left w:w="108" w:type="dxa"/>
            <w:bottom w:w="0" w:type="dxa"/>
            <w:right w:w="108" w:type="dxa"/>
          </w:tblCellMar>
        </w:tblPrEx>
        <w:trPr>
          <w:trHeight w:val="425"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2,243,765.93</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2,243,765.93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　</w:t>
            </w:r>
          </w:p>
        </w:tc>
      </w:tr>
      <w:tr>
        <w:tblPrEx>
          <w:tblCellMar>
            <w:top w:w="0" w:type="dxa"/>
            <w:left w:w="108" w:type="dxa"/>
            <w:bottom w:w="0" w:type="dxa"/>
            <w:right w:w="108" w:type="dxa"/>
          </w:tblCellMar>
        </w:tblPrEx>
        <w:trPr>
          <w:trHeight w:val="425"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其中：中央补助</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40"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ind w:firstLine="420" w:firstLineChars="200"/>
              <w:rPr>
                <w:rFonts w:ascii="仿宋_GB2312" w:hAnsi="宋体" w:eastAsia="仿宋_GB2312" w:cs="宋体"/>
                <w:kern w:val="0"/>
                <w:szCs w:val="21"/>
              </w:rPr>
            </w:pPr>
            <w:r>
              <w:rPr>
                <w:rFonts w:hint="eastAsia" w:ascii="仿宋_GB2312" w:hAnsi="宋体" w:eastAsia="仿宋_GB2312" w:cs="宋体"/>
                <w:kern w:val="0"/>
                <w:szCs w:val="21"/>
              </w:rPr>
              <w:t xml:space="preserve"> 省级资金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02"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xml:space="preserve">    市级资金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02" w:hRule="atLeast"/>
          <w:jc w:val="center"/>
        </w:trPr>
        <w:tc>
          <w:tcPr>
            <w:tcW w:w="2153" w:type="dxa"/>
            <w:gridSpan w:val="3"/>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其他资金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2,243,765.93</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2,243,765.93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r>
      <w:tr>
        <w:tblPrEx>
          <w:tblCellMar>
            <w:top w:w="0" w:type="dxa"/>
            <w:left w:w="108" w:type="dxa"/>
            <w:bottom w:w="0" w:type="dxa"/>
            <w:right w:w="108" w:type="dxa"/>
          </w:tblCellMar>
        </w:tblPrEx>
        <w:trPr>
          <w:trHeight w:val="430"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928"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仿宋_GB2312" w:hAnsi="宋体" w:eastAsia="仿宋_GB2312" w:cs="宋体"/>
                <w:kern w:val="0"/>
                <w:szCs w:val="21"/>
              </w:rPr>
              <w:t>年初设定目标</w:t>
            </w:r>
            <w:r>
              <w:rPr>
                <w:rFonts w:hint="eastAsia" w:ascii="宋体" w:hAnsi="宋体" w:cs="宋体"/>
                <w:kern w:val="0"/>
                <w:szCs w:val="21"/>
              </w:rPr>
              <w:t>　</w:t>
            </w:r>
          </w:p>
        </w:tc>
        <w:tc>
          <w:tcPr>
            <w:tcW w:w="4363"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全年实际完成情况</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4928"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保持执法稽查高压态势，提高执法稽查的公信力和震慑力。</w:t>
            </w:r>
          </w:p>
          <w:p>
            <w:pPr>
              <w:widowControl/>
              <w:jc w:val="left"/>
              <w:rPr>
                <w:rFonts w:ascii="仿宋_GB2312" w:hAnsi="宋体" w:eastAsia="仿宋_GB2312" w:cs="宋体"/>
                <w:kern w:val="0"/>
                <w:szCs w:val="21"/>
              </w:rPr>
            </w:pPr>
            <w:r>
              <w:rPr>
                <w:rFonts w:ascii="仿宋_GB2312" w:hAnsi="宋体" w:eastAsia="仿宋_GB2312" w:cs="宋体"/>
                <w:kern w:val="0"/>
                <w:szCs w:val="21"/>
              </w:rPr>
              <w:t>加强市场监管综合执法，优化市场营商环境</w:t>
            </w:r>
            <w:r>
              <w:rPr>
                <w:rFonts w:hint="eastAsia" w:ascii="仿宋_GB2312" w:hAnsi="宋体" w:eastAsia="仿宋_GB2312" w:cs="宋体"/>
                <w:kern w:val="0"/>
                <w:szCs w:val="21"/>
              </w:rPr>
              <w:t>。</w:t>
            </w:r>
          </w:p>
        </w:tc>
        <w:tc>
          <w:tcPr>
            <w:tcW w:w="4363"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全年本局共计办理案件数量272起，上缴罚没收入369.15万元。</w:t>
            </w:r>
          </w:p>
        </w:tc>
      </w:tr>
      <w:tr>
        <w:tblPrEx>
          <w:tblCellMar>
            <w:top w:w="0" w:type="dxa"/>
            <w:left w:w="108" w:type="dxa"/>
            <w:bottom w:w="0" w:type="dxa"/>
            <w:right w:w="108" w:type="dxa"/>
          </w:tblCellMar>
        </w:tblPrEx>
        <w:trPr>
          <w:trHeight w:val="425"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绩  效    指  标</w:t>
            </w:r>
          </w:p>
        </w:tc>
        <w:tc>
          <w:tcPr>
            <w:tcW w:w="675" w:type="dxa"/>
            <w:tcBorders>
              <w:top w:val="single" w:color="auto" w:sz="4" w:space="0"/>
              <w:left w:val="nil"/>
              <w:bottom w:val="single" w:color="auto" w:sz="4" w:space="0"/>
              <w:right w:val="nil"/>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701"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年度指标值</w:t>
            </w:r>
          </w:p>
        </w:tc>
        <w:tc>
          <w:tcPr>
            <w:tcW w:w="1380"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1707"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未完成原因和</w:t>
            </w:r>
          </w:p>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改进措施</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产   出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监管市场主体数量</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宋体" w:hAnsi="宋体" w:eastAsia="宋体" w:cs="宋体"/>
                <w:kern w:val="0"/>
                <w:szCs w:val="21"/>
              </w:rPr>
              <w:t>≧</w:t>
            </w:r>
            <w:r>
              <w:rPr>
                <w:rFonts w:hint="eastAsia" w:ascii="仿宋_GB2312" w:hAnsi="宋体" w:eastAsia="仿宋_GB2312" w:cs="宋体"/>
                <w:kern w:val="0"/>
                <w:szCs w:val="21"/>
              </w:rPr>
              <w:t>54902户</w:t>
            </w:r>
          </w:p>
        </w:tc>
        <w:tc>
          <w:tcPr>
            <w:tcW w:w="1380"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54902户</w:t>
            </w:r>
          </w:p>
        </w:tc>
        <w:tc>
          <w:tcPr>
            <w:tcW w:w="1707"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查处案件处置率</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宋体" w:hAnsi="宋体" w:eastAsia="宋体" w:cs="宋体"/>
                <w:kern w:val="0"/>
                <w:szCs w:val="21"/>
              </w:rPr>
              <w:t>≧</w:t>
            </w:r>
            <w:r>
              <w:rPr>
                <w:rFonts w:hint="eastAsia" w:ascii="仿宋_GB2312" w:hAnsi="宋体" w:eastAsia="仿宋_GB2312" w:cs="宋体"/>
                <w:kern w:val="0"/>
                <w:szCs w:val="21"/>
              </w:rPr>
              <w:t>95%</w:t>
            </w:r>
          </w:p>
        </w:tc>
        <w:tc>
          <w:tcPr>
            <w:tcW w:w="1380"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707"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案件完成比率</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宋体" w:hAnsi="宋体" w:eastAsia="宋体" w:cs="宋体"/>
                <w:kern w:val="0"/>
                <w:szCs w:val="21"/>
              </w:rPr>
              <w:t>≧</w:t>
            </w:r>
            <w:r>
              <w:rPr>
                <w:rFonts w:hint="eastAsia" w:ascii="仿宋_GB2312" w:hAnsi="宋体" w:eastAsia="仿宋_GB2312" w:cs="宋体"/>
                <w:kern w:val="0"/>
                <w:szCs w:val="21"/>
              </w:rPr>
              <w:t>95%</w:t>
            </w:r>
          </w:p>
        </w:tc>
        <w:tc>
          <w:tcPr>
            <w:tcW w:w="1380"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707"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任务完成时间</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2021年12月底</w:t>
            </w:r>
          </w:p>
        </w:tc>
        <w:tc>
          <w:tcPr>
            <w:tcW w:w="1380"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2021年12月底</w:t>
            </w:r>
          </w:p>
        </w:tc>
        <w:tc>
          <w:tcPr>
            <w:tcW w:w="1707"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执收成本</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宋体" w:hAnsi="宋体" w:eastAsia="宋体" w:cs="宋体"/>
                <w:kern w:val="0"/>
                <w:szCs w:val="21"/>
              </w:rPr>
              <w:t>≦</w:t>
            </w:r>
            <w:r>
              <w:rPr>
                <w:rFonts w:hint="eastAsia" w:ascii="仿宋_GB2312" w:hAnsi="宋体" w:eastAsia="仿宋_GB2312" w:cs="宋体"/>
                <w:kern w:val="0"/>
                <w:szCs w:val="21"/>
              </w:rPr>
              <w:t>224.38</w:t>
            </w:r>
          </w:p>
        </w:tc>
        <w:tc>
          <w:tcPr>
            <w:tcW w:w="1380"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224.38</w:t>
            </w:r>
          </w:p>
        </w:tc>
        <w:tc>
          <w:tcPr>
            <w:tcW w:w="1707"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效   益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经济效益  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上缴罚没收入</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宋体" w:hAnsi="宋体" w:eastAsia="宋体" w:cs="宋体"/>
                <w:kern w:val="0"/>
                <w:szCs w:val="21"/>
              </w:rPr>
              <w:t>≧</w:t>
            </w:r>
            <w:r>
              <w:rPr>
                <w:rFonts w:hint="eastAsia" w:ascii="仿宋_GB2312" w:hAnsi="宋体" w:eastAsia="仿宋_GB2312" w:cs="宋体"/>
                <w:kern w:val="0"/>
                <w:szCs w:val="21"/>
              </w:rPr>
              <w:t>330万元</w:t>
            </w:r>
          </w:p>
        </w:tc>
        <w:tc>
          <w:tcPr>
            <w:tcW w:w="1380" w:type="dxa"/>
            <w:gridSpan w:val="2"/>
            <w:tcBorders>
              <w:top w:val="single" w:color="auto" w:sz="4" w:space="0"/>
              <w:left w:val="nil"/>
              <w:bottom w:val="single" w:color="auto" w:sz="4" w:space="0"/>
              <w:right w:val="single" w:color="auto" w:sz="4" w:space="0"/>
            </w:tcBorders>
            <w:noWrap/>
            <w:vAlign w:val="center"/>
          </w:tcPr>
          <w:p>
            <w:pPr>
              <w:widowControl/>
              <w:jc w:val="center"/>
              <w:textAlignment w:val="center"/>
              <w:rPr>
                <w:rFonts w:ascii="宋体" w:hAnsi="宋体" w:eastAsia="宋体" w:cs="宋体"/>
                <w:sz w:val="20"/>
                <w:szCs w:val="20"/>
              </w:rPr>
            </w:pPr>
            <w:r>
              <w:rPr>
                <w:rFonts w:hint="eastAsia" w:ascii="仿宋_GB2312" w:hAnsi="宋体" w:eastAsia="仿宋_GB2312" w:cs="宋体"/>
                <w:kern w:val="0"/>
                <w:szCs w:val="21"/>
              </w:rPr>
              <w:t>369.15万元</w:t>
            </w:r>
          </w:p>
        </w:tc>
        <w:tc>
          <w:tcPr>
            <w:tcW w:w="1707"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jc w:val="left"/>
              <w:rPr>
                <w:rFonts w:ascii="仿宋_GB2312" w:hAnsi="宋体" w:eastAsia="仿宋_GB2312" w:cs="宋体"/>
                <w:kern w:val="0"/>
                <w:szCs w:val="21"/>
              </w:rPr>
            </w:pPr>
            <w:r>
              <w:rPr>
                <w:rFonts w:hint="eastAsia" w:ascii="仿宋_GB2312" w:hAnsi="宋体" w:eastAsia="仿宋_GB2312" w:cs="宋体"/>
                <w:kern w:val="0"/>
                <w:szCs w:val="21"/>
              </w:rPr>
              <w:t>绩  效    指  标</w:t>
            </w:r>
          </w:p>
        </w:tc>
        <w:tc>
          <w:tcPr>
            <w:tcW w:w="675" w:type="dxa"/>
            <w:vMerge w:val="restart"/>
            <w:tcBorders>
              <w:top w:val="single" w:color="auto" w:sz="4" w:space="0"/>
              <w:left w:val="single" w:color="auto" w:sz="4" w:space="0"/>
              <w:bottom w:val="single" w:color="auto" w:sz="4" w:space="0"/>
              <w:right w:val="single" w:color="auto" w:sz="4" w:space="0"/>
            </w:tcBorders>
            <w:noWrap/>
            <w:vAlign w:val="center"/>
          </w:tcPr>
          <w:p>
            <w:pPr>
              <w:jc w:val="left"/>
              <w:rPr>
                <w:rFonts w:ascii="仿宋_GB2312" w:hAnsi="宋体" w:eastAsia="仿宋_GB2312" w:cs="宋体"/>
                <w:kern w:val="0"/>
                <w:szCs w:val="21"/>
              </w:rPr>
            </w:pPr>
            <w:r>
              <w:rPr>
                <w:rFonts w:hint="eastAsia" w:ascii="仿宋_GB2312" w:hAnsi="宋体" w:eastAsia="仿宋_GB2312" w:cs="宋体"/>
                <w:kern w:val="0"/>
                <w:szCs w:val="21"/>
              </w:rPr>
              <w:t>效   益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生态效益  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380"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p>
        </w:tc>
        <w:tc>
          <w:tcPr>
            <w:tcW w:w="1707"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保持执法稽查高压态势，提高执法稽查的公信力和震慑力。</w:t>
            </w:r>
          </w:p>
        </w:tc>
        <w:tc>
          <w:tcPr>
            <w:tcW w:w="184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spacing w:line="280" w:lineRule="exact"/>
              <w:jc w:val="center"/>
              <w:rPr>
                <w:rFonts w:ascii="仿宋_GB2312" w:hAnsi="宋体" w:eastAsia="仿宋_GB2312" w:cs="宋体"/>
                <w:kern w:val="0"/>
                <w:szCs w:val="21"/>
              </w:rPr>
            </w:pPr>
            <w:r>
              <w:rPr>
                <w:rFonts w:hint="eastAsia" w:ascii="仿宋_GB2312" w:hAnsi="宋体" w:eastAsia="仿宋_GB2312" w:cs="宋体"/>
                <w:kern w:val="0"/>
                <w:szCs w:val="21"/>
              </w:rPr>
              <w:t>长期</w:t>
            </w:r>
          </w:p>
        </w:tc>
        <w:tc>
          <w:tcPr>
            <w:tcW w:w="1380" w:type="dxa"/>
            <w:gridSpan w:val="2"/>
            <w:tcBorders>
              <w:top w:val="single" w:color="auto" w:sz="4" w:space="0"/>
              <w:left w:val="nil"/>
              <w:bottom w:val="single" w:color="auto" w:sz="4" w:space="0"/>
              <w:right w:val="single" w:color="auto" w:sz="4" w:space="0"/>
            </w:tcBorders>
            <w:noWrap/>
            <w:vAlign w:val="center"/>
          </w:tcPr>
          <w:p>
            <w:pPr>
              <w:widowControl/>
              <w:spacing w:line="28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707"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kern w:val="0"/>
                <w:szCs w:val="21"/>
              </w:rPr>
            </w:pPr>
            <w:r>
              <w:rPr>
                <w:rFonts w:ascii="仿宋_GB2312" w:hAnsi="宋体" w:eastAsia="仿宋_GB2312" w:cs="宋体"/>
                <w:kern w:val="0"/>
                <w:szCs w:val="21"/>
              </w:rPr>
              <w:t>加强市场监管综合执法，优化市场营商环境</w:t>
            </w:r>
            <w:r>
              <w:rPr>
                <w:rFonts w:hint="eastAsia" w:ascii="仿宋_GB2312" w:hAnsi="宋体" w:eastAsia="仿宋_GB2312" w:cs="宋体"/>
                <w:kern w:val="0"/>
                <w:szCs w:val="21"/>
              </w:rPr>
              <w:t>。</w:t>
            </w:r>
          </w:p>
        </w:tc>
        <w:tc>
          <w:tcPr>
            <w:tcW w:w="184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spacing w:line="280" w:lineRule="exact"/>
              <w:jc w:val="center"/>
              <w:rPr>
                <w:rFonts w:ascii="仿宋_GB2312" w:hAnsi="宋体" w:eastAsia="仿宋_GB2312" w:cs="宋体"/>
                <w:kern w:val="0"/>
                <w:szCs w:val="21"/>
              </w:rPr>
            </w:pPr>
            <w:r>
              <w:rPr>
                <w:rFonts w:hint="eastAsia" w:ascii="仿宋_GB2312" w:hAnsi="宋体" w:eastAsia="仿宋_GB2312" w:cs="宋体"/>
                <w:kern w:val="0"/>
                <w:szCs w:val="21"/>
              </w:rPr>
              <w:t>长期</w:t>
            </w:r>
          </w:p>
        </w:tc>
        <w:tc>
          <w:tcPr>
            <w:tcW w:w="1380" w:type="dxa"/>
            <w:gridSpan w:val="2"/>
            <w:tcBorders>
              <w:top w:val="single" w:color="auto" w:sz="4" w:space="0"/>
              <w:left w:val="nil"/>
              <w:bottom w:val="single" w:color="auto" w:sz="4" w:space="0"/>
              <w:right w:val="single" w:color="auto" w:sz="4" w:space="0"/>
            </w:tcBorders>
            <w:noWrap/>
            <w:vAlign w:val="center"/>
          </w:tcPr>
          <w:p>
            <w:pPr>
              <w:widowControl/>
              <w:spacing w:line="28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707"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70"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Cs w:val="21"/>
              </w:rPr>
            </w:pPr>
          </w:p>
        </w:tc>
        <w:tc>
          <w:tcPr>
            <w:tcW w:w="67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满意度指标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执法对象满意度</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宋体" w:hAnsi="宋体" w:cs="宋体"/>
                <w:kern w:val="0"/>
                <w:szCs w:val="21"/>
              </w:rPr>
              <w:t>满意</w:t>
            </w:r>
          </w:p>
        </w:tc>
        <w:tc>
          <w:tcPr>
            <w:tcW w:w="1380"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kern w:val="0"/>
                <w:szCs w:val="21"/>
              </w:rPr>
            </w:pPr>
            <w:r>
              <w:rPr>
                <w:rFonts w:hint="eastAsia" w:ascii="宋体" w:hAnsi="宋体" w:cs="宋体"/>
                <w:kern w:val="0"/>
                <w:szCs w:val="21"/>
              </w:rPr>
              <w:t>满意</w:t>
            </w:r>
          </w:p>
        </w:tc>
        <w:tc>
          <w:tcPr>
            <w:tcW w:w="1707"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952" w:hRule="atLeast"/>
          <w:jc w:val="center"/>
        </w:trPr>
        <w:tc>
          <w:tcPr>
            <w:tcW w:w="769" w:type="dxa"/>
            <w:tcBorders>
              <w:top w:val="single" w:color="auto" w:sz="4" w:space="0"/>
              <w:left w:val="single" w:color="auto" w:sz="4" w:space="0"/>
              <w:bottom w:val="nil"/>
              <w:right w:val="single" w:color="auto" w:sz="4" w:space="0"/>
            </w:tcBorders>
            <w:noWrap/>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说明</w:t>
            </w:r>
          </w:p>
        </w:tc>
        <w:tc>
          <w:tcPr>
            <w:tcW w:w="9291" w:type="dxa"/>
            <w:gridSpan w:val="8"/>
            <w:tcBorders>
              <w:top w:val="single" w:color="auto" w:sz="4" w:space="0"/>
              <w:left w:val="nil"/>
              <w:bottom w:val="nil"/>
              <w:right w:val="single" w:color="000000" w:sz="4" w:space="0"/>
            </w:tcBorders>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1785" w:hRule="atLeast"/>
          <w:jc w:val="center"/>
        </w:trPr>
        <w:tc>
          <w:tcPr>
            <w:tcW w:w="10060" w:type="dxa"/>
            <w:gridSpan w:val="9"/>
            <w:vMerge w:val="restart"/>
            <w:tcBorders>
              <w:top w:val="single" w:color="auto" w:sz="8" w:space="0"/>
              <w:left w:val="nil"/>
              <w:bottom w:val="nil"/>
              <w:right w:val="nil"/>
            </w:tcBorders>
            <w:noWrap/>
          </w:tcPr>
          <w:p>
            <w:pPr>
              <w:widowControl/>
              <w:ind w:firstLine="420" w:firstLineChars="200"/>
              <w:jc w:val="left"/>
              <w:rPr>
                <w:rFonts w:ascii="仿宋_GB2312" w:hAnsi="宋体" w:eastAsia="仿宋_GB2312" w:cs="宋体"/>
                <w:kern w:val="0"/>
                <w:szCs w:val="21"/>
              </w:rPr>
            </w:pP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 xml:space="preserve">注：1、其他资金包括和中央补助、地方财政资金共同投入到同一项目的自有资金、社会资金，以及以前年度的结转结余资金等。 </w:t>
            </w: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2、定量指标，资金使用单位填写本地区实际完成数。市直各部门汇总时，对绝对值直接累加计算，相对值按照资金额度加权平均计算。</w:t>
            </w:r>
          </w:p>
          <w:p>
            <w:pPr>
              <w:widowControl/>
              <w:spacing w:line="36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3、定性指标根据指标完成情况分为：全部或基本达成预期指标、部分达成预期指标并具有一定效果、未达成预期指标且效果较差三档，资金使用单位分别按照100％—80％（含）、80％—60％（含）、60％—0％合理填写完成比例。</w:t>
            </w:r>
          </w:p>
          <w:p>
            <w:pPr>
              <w:widowControl/>
              <w:spacing w:line="360" w:lineRule="exact"/>
              <w:ind w:firstLine="420" w:firstLineChars="200"/>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atLeast"/>
          <w:jc w:val="center"/>
        </w:trPr>
        <w:tc>
          <w:tcPr>
            <w:tcW w:w="10060" w:type="dxa"/>
            <w:gridSpan w:val="9"/>
            <w:vMerge w:val="continue"/>
            <w:tcBorders>
              <w:top w:val="single" w:color="auto" w:sz="8" w:space="0"/>
              <w:left w:val="nil"/>
              <w:bottom w:val="nil"/>
              <w:right w:val="nil"/>
            </w:tcBorders>
            <w:noWrap/>
            <w:vAlign w:val="center"/>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atLeast"/>
          <w:jc w:val="center"/>
        </w:trPr>
        <w:tc>
          <w:tcPr>
            <w:tcW w:w="10060" w:type="dxa"/>
            <w:gridSpan w:val="9"/>
            <w:vMerge w:val="continue"/>
            <w:tcBorders>
              <w:top w:val="single" w:color="auto" w:sz="8" w:space="0"/>
              <w:left w:val="nil"/>
              <w:bottom w:val="nil"/>
              <w:right w:val="nil"/>
            </w:tcBorders>
            <w:noWrap/>
            <w:vAlign w:val="center"/>
          </w:tcPr>
          <w:p>
            <w:pPr>
              <w:widowControl/>
              <w:jc w:val="left"/>
              <w:rPr>
                <w:rFonts w:ascii="仿宋_GB2312" w:hAnsi="宋体" w:eastAsia="仿宋_GB2312" w:cs="宋体"/>
                <w:kern w:val="0"/>
                <w:szCs w:val="21"/>
              </w:rPr>
            </w:pPr>
          </w:p>
        </w:tc>
      </w:tr>
    </w:tbl>
    <w:p/>
    <w:p>
      <w:pPr>
        <w:pStyle w:val="8"/>
        <w:ind w:left="0" w:leftChars="0" w:firstLine="0" w:firstLineChars="0"/>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C3CB52"/>
    <w:multiLevelType w:val="singleLevel"/>
    <w:tmpl w:val="81C3CB52"/>
    <w:lvl w:ilvl="0" w:tentative="0">
      <w:start w:val="4"/>
      <w:numFmt w:val="chineseCounting"/>
      <w:suff w:val="nothing"/>
      <w:lvlText w:val="%1、"/>
      <w:lvlJc w:val="left"/>
      <w:rPr>
        <w:rFonts w:hint="eastAsia"/>
      </w:rPr>
    </w:lvl>
  </w:abstractNum>
  <w:abstractNum w:abstractNumId="1">
    <w:nsid w:val="B68C7278"/>
    <w:multiLevelType w:val="singleLevel"/>
    <w:tmpl w:val="B68C7278"/>
    <w:lvl w:ilvl="0" w:tentative="0">
      <w:start w:val="2"/>
      <w:numFmt w:val="decimal"/>
      <w:suff w:val="nothing"/>
      <w:lvlText w:val="（%1）"/>
      <w:lvlJc w:val="left"/>
    </w:lvl>
  </w:abstractNum>
  <w:abstractNum w:abstractNumId="2">
    <w:nsid w:val="D2B1AB87"/>
    <w:multiLevelType w:val="singleLevel"/>
    <w:tmpl w:val="D2B1AB87"/>
    <w:lvl w:ilvl="0" w:tentative="0">
      <w:start w:val="1"/>
      <w:numFmt w:val="decimal"/>
      <w:lvlText w:val="%1."/>
      <w:lvlJc w:val="left"/>
      <w:pPr>
        <w:tabs>
          <w:tab w:val="left" w:pos="312"/>
        </w:tabs>
      </w:pPr>
    </w:lvl>
  </w:abstractNum>
  <w:abstractNum w:abstractNumId="3">
    <w:nsid w:val="E5540FB2"/>
    <w:multiLevelType w:val="singleLevel"/>
    <w:tmpl w:val="E5540FB2"/>
    <w:lvl w:ilvl="0" w:tentative="0">
      <w:start w:val="2"/>
      <w:numFmt w:val="decimal"/>
      <w:suff w:val="nothing"/>
      <w:lvlText w:val="%1、"/>
      <w:lvlJc w:val="left"/>
    </w:lvl>
  </w:abstractNum>
  <w:abstractNum w:abstractNumId="4">
    <w:nsid w:val="F0068970"/>
    <w:multiLevelType w:val="singleLevel"/>
    <w:tmpl w:val="F0068970"/>
    <w:lvl w:ilvl="0" w:tentative="0">
      <w:start w:val="1"/>
      <w:numFmt w:val="decimal"/>
      <w:lvlText w:val="%1."/>
      <w:lvlJc w:val="left"/>
      <w:pPr>
        <w:tabs>
          <w:tab w:val="left" w:pos="312"/>
        </w:tabs>
      </w:pPr>
    </w:lvl>
  </w:abstractNum>
  <w:abstractNum w:abstractNumId="5">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3BDA2F39"/>
    <w:multiLevelType w:val="singleLevel"/>
    <w:tmpl w:val="3BDA2F39"/>
    <w:lvl w:ilvl="0" w:tentative="0">
      <w:start w:val="2"/>
      <w:numFmt w:val="decimal"/>
      <w:suff w:val="nothing"/>
      <w:lvlText w:val="（%1）"/>
      <w:lvlJc w:val="left"/>
    </w:lvl>
  </w:abstractNum>
  <w:abstractNum w:abstractNumId="7">
    <w:nsid w:val="490C74EE"/>
    <w:multiLevelType w:val="singleLevel"/>
    <w:tmpl w:val="490C74EE"/>
    <w:lvl w:ilvl="0" w:tentative="0">
      <w:start w:val="1"/>
      <w:numFmt w:val="decimal"/>
      <w:lvlText w:val="%1."/>
      <w:lvlJc w:val="left"/>
      <w:pPr>
        <w:tabs>
          <w:tab w:val="left" w:pos="312"/>
        </w:tabs>
      </w:pPr>
    </w:lvl>
  </w:abstractNum>
  <w:abstractNum w:abstractNumId="8">
    <w:nsid w:val="4B53123A"/>
    <w:multiLevelType w:val="singleLevel"/>
    <w:tmpl w:val="4B53123A"/>
    <w:lvl w:ilvl="0" w:tentative="0">
      <w:start w:val="2"/>
      <w:numFmt w:val="decimal"/>
      <w:suff w:val="nothing"/>
      <w:lvlText w:val="%1、"/>
      <w:lvlJc w:val="left"/>
    </w:lvl>
  </w:abstractNum>
  <w:abstractNum w:abstractNumId="9">
    <w:nsid w:val="76D7BDD7"/>
    <w:multiLevelType w:val="singleLevel"/>
    <w:tmpl w:val="76D7BDD7"/>
    <w:lvl w:ilvl="0" w:tentative="0">
      <w:start w:val="3"/>
      <w:numFmt w:val="decimal"/>
      <w:suff w:val="nothing"/>
      <w:lvlText w:val="%1、"/>
      <w:lvlJc w:val="left"/>
    </w:lvl>
  </w:abstractNum>
  <w:num w:numId="1">
    <w:abstractNumId w:val="5"/>
  </w:num>
  <w:num w:numId="2">
    <w:abstractNumId w:val="9"/>
  </w:num>
  <w:num w:numId="3">
    <w:abstractNumId w:val="8"/>
  </w:num>
  <w:num w:numId="4">
    <w:abstractNumId w:val="3"/>
  </w:num>
  <w:num w:numId="5">
    <w:abstractNumId w:val="1"/>
  </w:num>
  <w:num w:numId="6">
    <w:abstractNumId w:val="6"/>
  </w:num>
  <w:num w:numId="7">
    <w:abstractNumId w:val="0"/>
  </w:num>
  <w:num w:numId="8">
    <w:abstractNumId w:val="2"/>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Mjc3ZDVhOTM0NTczYTJiNzUyZTVkM2Y3OTA1OGQifQ=="/>
  </w:docVars>
  <w:rsids>
    <w:rsidRoot w:val="004506F9"/>
    <w:rsid w:val="0002229B"/>
    <w:rsid w:val="000273BD"/>
    <w:rsid w:val="000415B7"/>
    <w:rsid w:val="00041E3F"/>
    <w:rsid w:val="00055DAA"/>
    <w:rsid w:val="00061F7B"/>
    <w:rsid w:val="000658A3"/>
    <w:rsid w:val="00074155"/>
    <w:rsid w:val="00081AF1"/>
    <w:rsid w:val="000873EF"/>
    <w:rsid w:val="000A3F69"/>
    <w:rsid w:val="00103957"/>
    <w:rsid w:val="00124A1F"/>
    <w:rsid w:val="00152C6D"/>
    <w:rsid w:val="00162D39"/>
    <w:rsid w:val="001678BD"/>
    <w:rsid w:val="00182373"/>
    <w:rsid w:val="00182B50"/>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2F53BB"/>
    <w:rsid w:val="003130C4"/>
    <w:rsid w:val="00316C4B"/>
    <w:rsid w:val="0032192B"/>
    <w:rsid w:val="00327FFA"/>
    <w:rsid w:val="003479BD"/>
    <w:rsid w:val="0037197D"/>
    <w:rsid w:val="003768D5"/>
    <w:rsid w:val="003C4197"/>
    <w:rsid w:val="003C47E6"/>
    <w:rsid w:val="003C4FC2"/>
    <w:rsid w:val="003E2331"/>
    <w:rsid w:val="003F09E1"/>
    <w:rsid w:val="00416E61"/>
    <w:rsid w:val="0042790C"/>
    <w:rsid w:val="004506F9"/>
    <w:rsid w:val="004717A2"/>
    <w:rsid w:val="00473DF3"/>
    <w:rsid w:val="00487911"/>
    <w:rsid w:val="00491741"/>
    <w:rsid w:val="00497300"/>
    <w:rsid w:val="004B0CEE"/>
    <w:rsid w:val="004E71CA"/>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0317E"/>
    <w:rsid w:val="00611D0C"/>
    <w:rsid w:val="0062378F"/>
    <w:rsid w:val="00641842"/>
    <w:rsid w:val="00651EEC"/>
    <w:rsid w:val="00683D5A"/>
    <w:rsid w:val="00686673"/>
    <w:rsid w:val="00691E8C"/>
    <w:rsid w:val="006A22C4"/>
    <w:rsid w:val="006A348B"/>
    <w:rsid w:val="006A351B"/>
    <w:rsid w:val="006B0422"/>
    <w:rsid w:val="006B0ECC"/>
    <w:rsid w:val="006C1B53"/>
    <w:rsid w:val="006D7730"/>
    <w:rsid w:val="006E5284"/>
    <w:rsid w:val="006F3EB5"/>
    <w:rsid w:val="006F6E93"/>
    <w:rsid w:val="00702E34"/>
    <w:rsid w:val="00704395"/>
    <w:rsid w:val="00710FE7"/>
    <w:rsid w:val="00717621"/>
    <w:rsid w:val="00720FF1"/>
    <w:rsid w:val="00727A53"/>
    <w:rsid w:val="0076627B"/>
    <w:rsid w:val="00767FBF"/>
    <w:rsid w:val="00787B42"/>
    <w:rsid w:val="007C4539"/>
    <w:rsid w:val="007F3657"/>
    <w:rsid w:val="00812ED5"/>
    <w:rsid w:val="008277D9"/>
    <w:rsid w:val="0084478C"/>
    <w:rsid w:val="00853B8B"/>
    <w:rsid w:val="0086638C"/>
    <w:rsid w:val="008675D5"/>
    <w:rsid w:val="00896B37"/>
    <w:rsid w:val="008A3E8D"/>
    <w:rsid w:val="009237C4"/>
    <w:rsid w:val="00944C48"/>
    <w:rsid w:val="00950252"/>
    <w:rsid w:val="00967F5D"/>
    <w:rsid w:val="009A0F95"/>
    <w:rsid w:val="009B3ADF"/>
    <w:rsid w:val="009C3B52"/>
    <w:rsid w:val="009E6817"/>
    <w:rsid w:val="009E6E9A"/>
    <w:rsid w:val="00A01D2B"/>
    <w:rsid w:val="00A37EC9"/>
    <w:rsid w:val="00A42218"/>
    <w:rsid w:val="00A70249"/>
    <w:rsid w:val="00A70B02"/>
    <w:rsid w:val="00A71D9F"/>
    <w:rsid w:val="00A92E9F"/>
    <w:rsid w:val="00B33BEA"/>
    <w:rsid w:val="00B42C25"/>
    <w:rsid w:val="00B43F86"/>
    <w:rsid w:val="00B57C9F"/>
    <w:rsid w:val="00B63572"/>
    <w:rsid w:val="00B845B3"/>
    <w:rsid w:val="00B85D8B"/>
    <w:rsid w:val="00BB4A40"/>
    <w:rsid w:val="00BD6C3E"/>
    <w:rsid w:val="00BE3674"/>
    <w:rsid w:val="00C10681"/>
    <w:rsid w:val="00C25441"/>
    <w:rsid w:val="00C3049A"/>
    <w:rsid w:val="00C31B1E"/>
    <w:rsid w:val="00C65926"/>
    <w:rsid w:val="00C77645"/>
    <w:rsid w:val="00CE04C3"/>
    <w:rsid w:val="00CE76A0"/>
    <w:rsid w:val="00D148C6"/>
    <w:rsid w:val="00D17A8A"/>
    <w:rsid w:val="00D204AD"/>
    <w:rsid w:val="00D205B4"/>
    <w:rsid w:val="00D415BA"/>
    <w:rsid w:val="00D63780"/>
    <w:rsid w:val="00D644EE"/>
    <w:rsid w:val="00D75489"/>
    <w:rsid w:val="00DD06FF"/>
    <w:rsid w:val="00DD3A35"/>
    <w:rsid w:val="00DD5FE9"/>
    <w:rsid w:val="00E00C7A"/>
    <w:rsid w:val="00E209CF"/>
    <w:rsid w:val="00E37D6C"/>
    <w:rsid w:val="00E443D2"/>
    <w:rsid w:val="00E55B68"/>
    <w:rsid w:val="00E67BE6"/>
    <w:rsid w:val="00E8683C"/>
    <w:rsid w:val="00EA2B72"/>
    <w:rsid w:val="00F74360"/>
    <w:rsid w:val="00FB462F"/>
    <w:rsid w:val="00FE16FA"/>
    <w:rsid w:val="00FE328A"/>
    <w:rsid w:val="00FE6269"/>
    <w:rsid w:val="00FF5CD6"/>
    <w:rsid w:val="024D332E"/>
    <w:rsid w:val="02501AFF"/>
    <w:rsid w:val="02610C22"/>
    <w:rsid w:val="053E79FB"/>
    <w:rsid w:val="05A61ACE"/>
    <w:rsid w:val="0697274E"/>
    <w:rsid w:val="07023E77"/>
    <w:rsid w:val="071A4FFB"/>
    <w:rsid w:val="07426936"/>
    <w:rsid w:val="077B5E33"/>
    <w:rsid w:val="078E56D1"/>
    <w:rsid w:val="07B10ED3"/>
    <w:rsid w:val="07C06F8A"/>
    <w:rsid w:val="08CF7F83"/>
    <w:rsid w:val="097454ED"/>
    <w:rsid w:val="097D6A28"/>
    <w:rsid w:val="09EA5535"/>
    <w:rsid w:val="0B0E5630"/>
    <w:rsid w:val="0B131104"/>
    <w:rsid w:val="0C704941"/>
    <w:rsid w:val="0CB14328"/>
    <w:rsid w:val="0CEE0DCB"/>
    <w:rsid w:val="0E0C5B00"/>
    <w:rsid w:val="0E4D3588"/>
    <w:rsid w:val="0F16700C"/>
    <w:rsid w:val="0F664418"/>
    <w:rsid w:val="106038FC"/>
    <w:rsid w:val="10EC37EF"/>
    <w:rsid w:val="11DD55A3"/>
    <w:rsid w:val="123B2186"/>
    <w:rsid w:val="128A7E1B"/>
    <w:rsid w:val="13F0766E"/>
    <w:rsid w:val="14525891"/>
    <w:rsid w:val="149A5040"/>
    <w:rsid w:val="14AE48E4"/>
    <w:rsid w:val="153C1C6E"/>
    <w:rsid w:val="16900E36"/>
    <w:rsid w:val="193621C5"/>
    <w:rsid w:val="19F65025"/>
    <w:rsid w:val="1A4166F0"/>
    <w:rsid w:val="1A7C4FB3"/>
    <w:rsid w:val="1B011CC7"/>
    <w:rsid w:val="1B0C498B"/>
    <w:rsid w:val="1B9A4DFC"/>
    <w:rsid w:val="1BC05F3E"/>
    <w:rsid w:val="1CF05187"/>
    <w:rsid w:val="1D2A50A8"/>
    <w:rsid w:val="1D6B6EF8"/>
    <w:rsid w:val="1DB55626"/>
    <w:rsid w:val="1E1E7868"/>
    <w:rsid w:val="1E441F56"/>
    <w:rsid w:val="1F1F3457"/>
    <w:rsid w:val="1F5A670E"/>
    <w:rsid w:val="1F9759D3"/>
    <w:rsid w:val="204F6F26"/>
    <w:rsid w:val="20A50C14"/>
    <w:rsid w:val="21A02DB6"/>
    <w:rsid w:val="21D2516A"/>
    <w:rsid w:val="21DC13D3"/>
    <w:rsid w:val="2244516D"/>
    <w:rsid w:val="22A40D42"/>
    <w:rsid w:val="22D00C5A"/>
    <w:rsid w:val="22E024E9"/>
    <w:rsid w:val="23735EAA"/>
    <w:rsid w:val="24286B52"/>
    <w:rsid w:val="2681079B"/>
    <w:rsid w:val="268D7140"/>
    <w:rsid w:val="26DA41CD"/>
    <w:rsid w:val="27BC4207"/>
    <w:rsid w:val="27E17278"/>
    <w:rsid w:val="2841056E"/>
    <w:rsid w:val="28E31299"/>
    <w:rsid w:val="2921252D"/>
    <w:rsid w:val="29494D32"/>
    <w:rsid w:val="297E6FF1"/>
    <w:rsid w:val="2A2953D2"/>
    <w:rsid w:val="2B3F259D"/>
    <w:rsid w:val="2B97636B"/>
    <w:rsid w:val="2DAD7227"/>
    <w:rsid w:val="30FC0F59"/>
    <w:rsid w:val="310444A3"/>
    <w:rsid w:val="319122F4"/>
    <w:rsid w:val="31E931F9"/>
    <w:rsid w:val="31EF157A"/>
    <w:rsid w:val="329B725B"/>
    <w:rsid w:val="32F707CD"/>
    <w:rsid w:val="33B76B53"/>
    <w:rsid w:val="34C72E2C"/>
    <w:rsid w:val="34D50D7F"/>
    <w:rsid w:val="357C2364"/>
    <w:rsid w:val="359830DF"/>
    <w:rsid w:val="35C14309"/>
    <w:rsid w:val="35DC734B"/>
    <w:rsid w:val="362339DA"/>
    <w:rsid w:val="364762A9"/>
    <w:rsid w:val="36F10968"/>
    <w:rsid w:val="376A3655"/>
    <w:rsid w:val="37904CE2"/>
    <w:rsid w:val="39AE31FE"/>
    <w:rsid w:val="39CF4AD1"/>
    <w:rsid w:val="3A1D4380"/>
    <w:rsid w:val="3AF805AF"/>
    <w:rsid w:val="3B3B7FAA"/>
    <w:rsid w:val="3BBA7822"/>
    <w:rsid w:val="3C3A00BA"/>
    <w:rsid w:val="3CF36758"/>
    <w:rsid w:val="3D376BF5"/>
    <w:rsid w:val="406B2988"/>
    <w:rsid w:val="40BE1F7E"/>
    <w:rsid w:val="40C235E2"/>
    <w:rsid w:val="4109799A"/>
    <w:rsid w:val="4416728F"/>
    <w:rsid w:val="449A3737"/>
    <w:rsid w:val="451C5E46"/>
    <w:rsid w:val="453653D8"/>
    <w:rsid w:val="46281EC6"/>
    <w:rsid w:val="463964B8"/>
    <w:rsid w:val="468A344A"/>
    <w:rsid w:val="492B4E36"/>
    <w:rsid w:val="49B616A7"/>
    <w:rsid w:val="4A593341"/>
    <w:rsid w:val="4B740405"/>
    <w:rsid w:val="4B994A48"/>
    <w:rsid w:val="4C2555A1"/>
    <w:rsid w:val="4C575B93"/>
    <w:rsid w:val="4D374349"/>
    <w:rsid w:val="4D6A2FB0"/>
    <w:rsid w:val="4DAA00A1"/>
    <w:rsid w:val="4E0336C0"/>
    <w:rsid w:val="4F1D45B9"/>
    <w:rsid w:val="50065996"/>
    <w:rsid w:val="5043033E"/>
    <w:rsid w:val="51721B9B"/>
    <w:rsid w:val="52315B87"/>
    <w:rsid w:val="54F66D4F"/>
    <w:rsid w:val="55E40E17"/>
    <w:rsid w:val="5636680B"/>
    <w:rsid w:val="57B16414"/>
    <w:rsid w:val="58117322"/>
    <w:rsid w:val="581E7640"/>
    <w:rsid w:val="58A635C1"/>
    <w:rsid w:val="58FB2FB3"/>
    <w:rsid w:val="59BF2588"/>
    <w:rsid w:val="5B3D38DA"/>
    <w:rsid w:val="5B8E24E2"/>
    <w:rsid w:val="5C2E3213"/>
    <w:rsid w:val="5CD12125"/>
    <w:rsid w:val="5CFB6F29"/>
    <w:rsid w:val="5DCA6C46"/>
    <w:rsid w:val="5ECB73A4"/>
    <w:rsid w:val="5F2344CA"/>
    <w:rsid w:val="5F4B4EC7"/>
    <w:rsid w:val="602B1F27"/>
    <w:rsid w:val="6036484A"/>
    <w:rsid w:val="60544F6C"/>
    <w:rsid w:val="60AC53DB"/>
    <w:rsid w:val="62633C19"/>
    <w:rsid w:val="62C52604"/>
    <w:rsid w:val="632B78FF"/>
    <w:rsid w:val="633D546F"/>
    <w:rsid w:val="639413E6"/>
    <w:rsid w:val="63B776CF"/>
    <w:rsid w:val="63DB2E1B"/>
    <w:rsid w:val="641C30AA"/>
    <w:rsid w:val="64B76C5B"/>
    <w:rsid w:val="660C2317"/>
    <w:rsid w:val="66F05576"/>
    <w:rsid w:val="6750219E"/>
    <w:rsid w:val="67581AC8"/>
    <w:rsid w:val="67877CA1"/>
    <w:rsid w:val="67A32265"/>
    <w:rsid w:val="67D81FA4"/>
    <w:rsid w:val="685E1FCD"/>
    <w:rsid w:val="68733AB6"/>
    <w:rsid w:val="69D36D49"/>
    <w:rsid w:val="6A457966"/>
    <w:rsid w:val="6A61016A"/>
    <w:rsid w:val="6A8C4CF2"/>
    <w:rsid w:val="6B0D1397"/>
    <w:rsid w:val="6BC92915"/>
    <w:rsid w:val="6C494D86"/>
    <w:rsid w:val="6D8812C0"/>
    <w:rsid w:val="6E46550B"/>
    <w:rsid w:val="6E676244"/>
    <w:rsid w:val="6E71421E"/>
    <w:rsid w:val="702D1B0E"/>
    <w:rsid w:val="71CE1957"/>
    <w:rsid w:val="72021D5D"/>
    <w:rsid w:val="73595801"/>
    <w:rsid w:val="73A77261"/>
    <w:rsid w:val="73F06D47"/>
    <w:rsid w:val="7489779C"/>
    <w:rsid w:val="74CC2789"/>
    <w:rsid w:val="75E55F4D"/>
    <w:rsid w:val="7696784F"/>
    <w:rsid w:val="76FC3210"/>
    <w:rsid w:val="77BC7D69"/>
    <w:rsid w:val="781157AB"/>
    <w:rsid w:val="79617AFF"/>
    <w:rsid w:val="7A477399"/>
    <w:rsid w:val="7AA16381"/>
    <w:rsid w:val="7B2261C0"/>
    <w:rsid w:val="7BBF25AE"/>
    <w:rsid w:val="7C516D8B"/>
    <w:rsid w:val="7EA777DE"/>
    <w:rsid w:val="7FC01C0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BodyText"/>
    <w:basedOn w:val="1"/>
    <w:qFormat/>
    <w:uiPriority w:val="0"/>
    <w:pPr>
      <w:spacing w:after="120"/>
      <w:textAlignment w:val="baseline"/>
    </w:pPr>
  </w:style>
  <w:style w:type="paragraph" w:styleId="3">
    <w:name w:val="annotation text"/>
    <w:basedOn w:val="1"/>
    <w:semiHidden/>
    <w:unhideWhenUsed/>
    <w:qFormat/>
    <w:uiPriority w:val="99"/>
    <w:pPr>
      <w:jc w:val="left"/>
    </w:pPr>
  </w:style>
  <w:style w:type="paragraph" w:styleId="4">
    <w:name w:val="Body Text Indent"/>
    <w:basedOn w:val="1"/>
    <w:qFormat/>
    <w:uiPriority w:val="0"/>
    <w:pPr>
      <w:spacing w:after="120"/>
      <w:ind w:left="420" w:leftChars="200"/>
    </w:pPr>
  </w:style>
  <w:style w:type="paragraph" w:styleId="5">
    <w:name w:val="Balloon Text"/>
    <w:basedOn w:val="1"/>
    <w:link w:val="15"/>
    <w:semiHidden/>
    <w:unhideWhenUsed/>
    <w:qFormat/>
    <w:uiPriority w:val="99"/>
    <w:rPr>
      <w:sz w:val="18"/>
      <w:szCs w:val="18"/>
    </w:r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Body Text First Indent 2"/>
    <w:basedOn w:val="4"/>
    <w:qFormat/>
    <w:uiPriority w:val="0"/>
    <w:pPr>
      <w:ind w:firstLine="420" w:firstLineChars="200"/>
    </w:pPr>
  </w:style>
  <w:style w:type="character" w:customStyle="1" w:styleId="11">
    <w:name w:val="页眉 Char"/>
    <w:basedOn w:val="10"/>
    <w:link w:val="7"/>
    <w:qFormat/>
    <w:uiPriority w:val="99"/>
    <w:rPr>
      <w:sz w:val="18"/>
      <w:szCs w:val="18"/>
    </w:rPr>
  </w:style>
  <w:style w:type="character" w:customStyle="1" w:styleId="12">
    <w:name w:val="页脚 Char"/>
    <w:basedOn w:val="10"/>
    <w:link w:val="6"/>
    <w:qFormat/>
    <w:uiPriority w:val="99"/>
    <w:rPr>
      <w:sz w:val="18"/>
      <w:szCs w:val="18"/>
    </w:rPr>
  </w:style>
  <w:style w:type="paragraph" w:customStyle="1" w:styleId="13">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4">
    <w:name w:val="List Paragraph"/>
    <w:basedOn w:val="1"/>
    <w:qFormat/>
    <w:uiPriority w:val="34"/>
    <w:pPr>
      <w:ind w:firstLine="420" w:firstLineChars="200"/>
    </w:pPr>
  </w:style>
  <w:style w:type="character" w:customStyle="1" w:styleId="15">
    <w:name w:val="批注框文本 Char"/>
    <w:basedOn w:val="10"/>
    <w:link w:val="5"/>
    <w:semiHidden/>
    <w:qFormat/>
    <w:uiPriority w:val="99"/>
    <w:rPr>
      <w:sz w:val="18"/>
      <w:szCs w:val="18"/>
    </w:rPr>
  </w:style>
  <w:style w:type="paragraph" w:customStyle="1" w:styleId="16">
    <w:name w:val="_Style 1"/>
    <w:basedOn w:val="1"/>
    <w:qFormat/>
    <w:uiPriority w:val="99"/>
    <w:pPr>
      <w:spacing w:line="481" w:lineRule="atLeast"/>
      <w:ind w:firstLine="623"/>
      <w:textAlignment w:val="baseline"/>
    </w:pPr>
    <w:rPr>
      <w:rFonts w:eastAsia="仿宋_GB2312"/>
      <w:color w:val="000000"/>
      <w:sz w:val="31"/>
      <w:szCs w:val="31"/>
    </w:rPr>
  </w:style>
  <w:style w:type="paragraph" w:customStyle="1" w:styleId="17">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8">
    <w:name w:val="无间隔11"/>
    <w:qFormat/>
    <w:uiPriority w:val="0"/>
    <w:pPr>
      <w:widowControl w:val="0"/>
      <w:jc w:val="both"/>
    </w:pPr>
    <w:rPr>
      <w:rFonts w:ascii="Calibri" w:hAnsi="Calibri" w:eastAsia="宋体" w:cs="Times New Roman"/>
      <w:kern w:val="2"/>
      <w:sz w:val="21"/>
      <w:szCs w:val="22"/>
      <w:lang w:val="en-US" w:eastAsia="zh-CN" w:bidi="ar-SA"/>
    </w:rPr>
  </w:style>
  <w:style w:type="paragraph" w:styleId="19">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20">
    <w:name w:val="Table Paragraph"/>
    <w:basedOn w:val="1"/>
    <w:qFormat/>
    <w:uiPriority w:val="0"/>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78</Pages>
  <Words>42136</Words>
  <Characters>45157</Characters>
  <Lines>346</Lines>
  <Paragraphs>97</Paragraphs>
  <TotalTime>9</TotalTime>
  <ScaleCrop>false</ScaleCrop>
  <LinksUpToDate>false</LinksUpToDate>
  <CharactersWithSpaces>45885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2022-09-26T01:36:00Z</dcterms:created>
  <dc:creator>李航 null</dc:creator>
  <cp:lastModifiedBy>养鱼的猫</cp:lastModifiedBy>
  <cp:lastPrinted>2022-07-27T12:55:00Z</cp:lastPrinted>
  <dcterms:modified xsi:type="dcterms:W3CDTF">2023-09-27T13:23:27Z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F8DC761F4DC649BF93494C7FF3C51C3E_13</vt:lpwstr>
  </property>
</Properties>
</file>