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C22" w:rsidRDefault="00D40C22">
      <w:pPr>
        <w:pStyle w:val="Default"/>
        <w:jc w:val="center"/>
        <w:rPr>
          <w:sz w:val="56"/>
          <w:szCs w:val="56"/>
        </w:rPr>
      </w:pPr>
    </w:p>
    <w:p w:rsidR="00D40C22" w:rsidRDefault="00D40C22">
      <w:pPr>
        <w:pStyle w:val="Default"/>
        <w:jc w:val="center"/>
        <w:rPr>
          <w:sz w:val="56"/>
          <w:szCs w:val="56"/>
        </w:rPr>
      </w:pPr>
    </w:p>
    <w:p w:rsidR="00D40C22" w:rsidRDefault="00D40C22">
      <w:pPr>
        <w:pStyle w:val="Default"/>
        <w:jc w:val="center"/>
        <w:rPr>
          <w:sz w:val="84"/>
          <w:szCs w:val="84"/>
        </w:rPr>
      </w:pPr>
    </w:p>
    <w:p w:rsidR="00D40C22" w:rsidRDefault="00D40C22">
      <w:pPr>
        <w:pStyle w:val="Default"/>
        <w:jc w:val="center"/>
        <w:rPr>
          <w:sz w:val="84"/>
          <w:szCs w:val="84"/>
        </w:rPr>
      </w:pPr>
    </w:p>
    <w:p w:rsidR="00D40C22" w:rsidRDefault="003368AE">
      <w:pPr>
        <w:pStyle w:val="Default"/>
        <w:jc w:val="center"/>
        <w:rPr>
          <w:sz w:val="84"/>
          <w:szCs w:val="84"/>
        </w:rPr>
      </w:pPr>
      <w:r>
        <w:rPr>
          <w:rFonts w:hint="eastAsia"/>
          <w:sz w:val="84"/>
          <w:szCs w:val="84"/>
        </w:rPr>
        <w:t>2021年度怀化市鹤城</w:t>
      </w:r>
    </w:p>
    <w:p w:rsidR="00D40C22" w:rsidRDefault="003368AE">
      <w:pPr>
        <w:pStyle w:val="Default"/>
        <w:jc w:val="center"/>
        <w:rPr>
          <w:sz w:val="84"/>
          <w:szCs w:val="84"/>
        </w:rPr>
      </w:pPr>
      <w:r>
        <w:rPr>
          <w:rFonts w:hint="eastAsia"/>
          <w:sz w:val="84"/>
          <w:szCs w:val="84"/>
        </w:rPr>
        <w:t>养老和工伤保险服务中心</w:t>
      </w:r>
    </w:p>
    <w:p w:rsidR="00D40C22" w:rsidRDefault="003368AE">
      <w:pPr>
        <w:pStyle w:val="Default"/>
        <w:jc w:val="center"/>
        <w:rPr>
          <w:sz w:val="84"/>
          <w:szCs w:val="84"/>
        </w:rPr>
      </w:pPr>
      <w:r>
        <w:rPr>
          <w:rFonts w:hint="eastAsia"/>
          <w:sz w:val="84"/>
          <w:szCs w:val="84"/>
        </w:rPr>
        <w:t>部门决算</w:t>
      </w:r>
    </w:p>
    <w:p w:rsidR="00D40C22" w:rsidRDefault="00D40C22">
      <w:pPr>
        <w:pStyle w:val="Default"/>
        <w:jc w:val="center"/>
        <w:rPr>
          <w:sz w:val="56"/>
          <w:szCs w:val="56"/>
        </w:rPr>
      </w:pPr>
    </w:p>
    <w:p w:rsidR="00D40C22" w:rsidRDefault="00D40C22">
      <w:pPr>
        <w:pStyle w:val="Default"/>
        <w:jc w:val="center"/>
        <w:rPr>
          <w:sz w:val="56"/>
          <w:szCs w:val="56"/>
        </w:rPr>
      </w:pPr>
    </w:p>
    <w:p w:rsidR="00D40C22" w:rsidRDefault="00D40C22">
      <w:pPr>
        <w:pStyle w:val="Default"/>
        <w:jc w:val="center"/>
        <w:rPr>
          <w:sz w:val="56"/>
          <w:szCs w:val="56"/>
        </w:rPr>
      </w:pPr>
    </w:p>
    <w:p w:rsidR="00D40C22" w:rsidRDefault="00D40C22">
      <w:pPr>
        <w:pStyle w:val="Default"/>
        <w:jc w:val="center"/>
        <w:rPr>
          <w:sz w:val="56"/>
          <w:szCs w:val="56"/>
        </w:rPr>
      </w:pPr>
    </w:p>
    <w:p w:rsidR="00D40C22" w:rsidRDefault="00D40C22">
      <w:pPr>
        <w:pStyle w:val="Default"/>
        <w:jc w:val="center"/>
        <w:rPr>
          <w:sz w:val="32"/>
          <w:szCs w:val="32"/>
        </w:rPr>
      </w:pPr>
    </w:p>
    <w:p w:rsidR="00D40C22" w:rsidRDefault="00D40C22">
      <w:pPr>
        <w:pStyle w:val="Default"/>
        <w:jc w:val="center"/>
        <w:rPr>
          <w:sz w:val="32"/>
          <w:szCs w:val="32"/>
        </w:rPr>
      </w:pPr>
    </w:p>
    <w:p w:rsidR="00D40C22" w:rsidRDefault="00D40C22">
      <w:pPr>
        <w:pStyle w:val="Default"/>
        <w:jc w:val="center"/>
        <w:rPr>
          <w:sz w:val="32"/>
          <w:szCs w:val="32"/>
        </w:rPr>
      </w:pPr>
    </w:p>
    <w:p w:rsidR="00D40C22" w:rsidRDefault="00D40C22">
      <w:pPr>
        <w:pStyle w:val="Default"/>
        <w:jc w:val="center"/>
        <w:rPr>
          <w:sz w:val="32"/>
          <w:szCs w:val="32"/>
        </w:rPr>
      </w:pPr>
    </w:p>
    <w:p w:rsidR="00D40C22" w:rsidRDefault="00D40C22">
      <w:pPr>
        <w:pStyle w:val="Default"/>
        <w:spacing w:line="500" w:lineRule="exact"/>
        <w:jc w:val="both"/>
        <w:rPr>
          <w:b/>
          <w:sz w:val="36"/>
          <w:szCs w:val="28"/>
        </w:rPr>
      </w:pPr>
    </w:p>
    <w:p w:rsidR="00D40C22" w:rsidRDefault="00D40C22">
      <w:pPr>
        <w:pStyle w:val="Default"/>
        <w:spacing w:line="500" w:lineRule="exact"/>
        <w:jc w:val="both"/>
        <w:rPr>
          <w:b/>
          <w:sz w:val="36"/>
          <w:szCs w:val="28"/>
        </w:rPr>
      </w:pPr>
    </w:p>
    <w:p w:rsidR="00D40C22" w:rsidRDefault="003368AE">
      <w:pPr>
        <w:pStyle w:val="Default"/>
        <w:spacing w:line="500" w:lineRule="exact"/>
        <w:jc w:val="center"/>
        <w:rPr>
          <w:b/>
          <w:sz w:val="36"/>
          <w:szCs w:val="28"/>
        </w:rPr>
      </w:pPr>
      <w:r>
        <w:rPr>
          <w:rFonts w:hint="eastAsia"/>
          <w:b/>
          <w:sz w:val="36"/>
          <w:szCs w:val="28"/>
        </w:rPr>
        <w:lastRenderedPageBreak/>
        <w:t>目录</w:t>
      </w:r>
    </w:p>
    <w:p w:rsidR="00D40C22" w:rsidRDefault="003368AE">
      <w:pPr>
        <w:pStyle w:val="Default"/>
        <w:jc w:val="both"/>
        <w:rPr>
          <w:rFonts w:ascii="仿宋_GB2312" w:hAnsi="仿宋_GB2312" w:cs="仿宋_GB2312"/>
          <w:b/>
          <w:sz w:val="28"/>
          <w:szCs w:val="28"/>
        </w:rPr>
      </w:pPr>
      <w:r>
        <w:rPr>
          <w:rFonts w:hint="eastAsia"/>
          <w:b/>
          <w:sz w:val="28"/>
          <w:szCs w:val="28"/>
        </w:rPr>
        <w:t>第一部分怀化市鹤城养老和工伤保险服务中心单位概况</w:t>
      </w:r>
    </w:p>
    <w:p w:rsidR="00D40C22" w:rsidRDefault="003368A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D40C22" w:rsidRDefault="003368A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D40C22" w:rsidRDefault="003368AE">
      <w:pPr>
        <w:pStyle w:val="Default"/>
        <w:spacing w:line="50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w:t>
      </w:r>
      <w:r>
        <w:rPr>
          <w:rFonts w:hAnsi="仿宋_GB2312" w:hint="eastAsia"/>
          <w:b/>
          <w:sz w:val="28"/>
          <w:szCs w:val="28"/>
        </w:rPr>
        <w:t>21年度部门决算表</w:t>
      </w:r>
    </w:p>
    <w:p w:rsidR="00D40C22" w:rsidRDefault="003368A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D40C22" w:rsidRDefault="003368A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D40C22" w:rsidRDefault="003368A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D40C22" w:rsidRDefault="003368A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D40C22" w:rsidRDefault="003368A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D40C22" w:rsidRDefault="003368A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w:t>
      </w:r>
      <w:r>
        <w:rPr>
          <w:rFonts w:asciiTheme="minorEastAsia" w:eastAsiaTheme="minorEastAsia" w:hAnsiTheme="minorEastAsia" w:cs="仿宋_GB2312" w:hint="eastAsia"/>
          <w:sz w:val="28"/>
          <w:szCs w:val="28"/>
        </w:rPr>
        <w:t>明细</w:t>
      </w:r>
      <w:r>
        <w:rPr>
          <w:rFonts w:asciiTheme="minorEastAsia" w:eastAsiaTheme="minorEastAsia" w:hAnsiTheme="minorEastAsia" w:cs="仿宋_GB2312"/>
          <w:sz w:val="28"/>
          <w:szCs w:val="28"/>
        </w:rPr>
        <w:t>表</w:t>
      </w:r>
    </w:p>
    <w:p w:rsidR="00D40C22" w:rsidRDefault="003368A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七、一般公共预算财政拨款“三公”经费支出决算表</w:t>
      </w:r>
    </w:p>
    <w:p w:rsidR="00D40C22" w:rsidRDefault="003368A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D40C22" w:rsidRDefault="003368A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hint="eastAsia"/>
          <w:sz w:val="28"/>
          <w:szCs w:val="28"/>
        </w:rPr>
        <w:t>九、国有资本经营预算财政拨款支出决算表</w:t>
      </w:r>
    </w:p>
    <w:p w:rsidR="00D40C22" w:rsidRDefault="003368AE">
      <w:pPr>
        <w:pStyle w:val="Default"/>
        <w:spacing w:line="50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w:t>
      </w:r>
      <w:r>
        <w:rPr>
          <w:rFonts w:hAnsi="仿宋_GB2312" w:hint="eastAsia"/>
          <w:b/>
          <w:sz w:val="28"/>
          <w:szCs w:val="28"/>
        </w:rPr>
        <w:t>21年度部门决算情况说明</w:t>
      </w:r>
    </w:p>
    <w:p w:rsidR="00D40C22" w:rsidRDefault="003368A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D40C22" w:rsidRDefault="003368AE">
      <w:pPr>
        <w:spacing w:line="50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D40C22" w:rsidRDefault="003368A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D40C22" w:rsidRDefault="003368A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D40C22" w:rsidRDefault="003368A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D40C22" w:rsidRDefault="003368A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D40C22" w:rsidRDefault="003368A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三公</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经费支出决算情况说明</w:t>
      </w:r>
    </w:p>
    <w:p w:rsidR="00D40C22" w:rsidRDefault="003368A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D40C22" w:rsidRDefault="003368AE">
      <w:pPr>
        <w:autoSpaceDE w:val="0"/>
        <w:autoSpaceDN w:val="0"/>
        <w:adjustRightInd w:val="0"/>
        <w:spacing w:line="500" w:lineRule="exact"/>
        <w:ind w:firstLineChars="250" w:firstLine="700"/>
        <w:jc w:val="left"/>
        <w:rPr>
          <w:rFonts w:asciiTheme="minorEastAsia" w:hAnsiTheme="minorEastAsia" w:cs="仿宋_GB2312"/>
          <w:sz w:val="28"/>
          <w:szCs w:val="28"/>
        </w:rPr>
      </w:pPr>
      <w:r>
        <w:rPr>
          <w:rFonts w:ascii="仿宋_GB2312" w:hAnsi="仿宋_GB2312" w:cs="仿宋_GB2312" w:hint="eastAsia"/>
          <w:color w:val="000000"/>
          <w:kern w:val="0"/>
          <w:sz w:val="28"/>
          <w:szCs w:val="28"/>
        </w:rPr>
        <w:t>九、</w:t>
      </w:r>
      <w:r>
        <w:rPr>
          <w:rFonts w:asciiTheme="minorEastAsia" w:hAnsiTheme="minorEastAsia" w:cs="仿宋_GB2312" w:hint="eastAsia"/>
          <w:sz w:val="28"/>
          <w:szCs w:val="28"/>
        </w:rPr>
        <w:t>国有资本经营预算财政拨款收支决算情况</w:t>
      </w:r>
    </w:p>
    <w:p w:rsidR="00D40C22" w:rsidRDefault="003368A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机关运行经费支出说明</w:t>
      </w:r>
    </w:p>
    <w:p w:rsidR="00D40C22" w:rsidRDefault="003368A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十一、一般性支出情况说明</w:t>
      </w:r>
    </w:p>
    <w:p w:rsidR="00D40C22" w:rsidRDefault="003368A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十二、政府采购支出说明</w:t>
      </w:r>
    </w:p>
    <w:p w:rsidR="00D40C22" w:rsidRDefault="003368AE">
      <w:pPr>
        <w:pStyle w:val="Default"/>
        <w:spacing w:line="50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十三、国有资产占用情况说明</w:t>
      </w:r>
    </w:p>
    <w:p w:rsidR="00D40C22" w:rsidRDefault="003368AE">
      <w:pPr>
        <w:pStyle w:val="Default"/>
        <w:spacing w:line="50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十四、</w:t>
      </w:r>
      <w:r>
        <w:rPr>
          <w:rFonts w:asciiTheme="minorEastAsia" w:eastAsiaTheme="minorEastAsia" w:hAnsiTheme="minorEastAsia" w:cs="仿宋_GB2312" w:hint="eastAsia"/>
          <w:sz w:val="28"/>
          <w:szCs w:val="28"/>
        </w:rPr>
        <w:t>2021年</w:t>
      </w:r>
      <w:r>
        <w:rPr>
          <w:rFonts w:ascii="仿宋_GB2312" w:eastAsiaTheme="minorEastAsia" w:hAnsi="仿宋_GB2312" w:cs="仿宋_GB2312" w:hint="eastAsia"/>
          <w:sz w:val="28"/>
          <w:szCs w:val="28"/>
        </w:rPr>
        <w:t>度预算绩效情况说明</w:t>
      </w:r>
    </w:p>
    <w:p w:rsidR="00D40C22" w:rsidRDefault="003368AE" w:rsidP="003368AE">
      <w:pPr>
        <w:autoSpaceDE w:val="0"/>
        <w:autoSpaceDN w:val="0"/>
        <w:adjustRightInd w:val="0"/>
        <w:spacing w:line="500" w:lineRule="exact"/>
        <w:ind w:firstLineChars="48" w:firstLine="135"/>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r>
        <w:rPr>
          <w:rFonts w:ascii="黑体" w:eastAsia="黑体" w:hAnsi="黑体" w:cs="黑体" w:hint="eastAsia"/>
          <w:b/>
          <w:color w:val="000000"/>
          <w:kern w:val="0"/>
          <w:sz w:val="28"/>
          <w:szCs w:val="28"/>
        </w:rPr>
        <w:t xml:space="preserve">    第五部分附件</w:t>
      </w:r>
    </w:p>
    <w:p w:rsidR="00D40C22" w:rsidRDefault="00D40C22">
      <w:pPr>
        <w:jc w:val="center"/>
        <w:rPr>
          <w:sz w:val="72"/>
          <w:szCs w:val="72"/>
        </w:rPr>
      </w:pPr>
    </w:p>
    <w:p w:rsidR="00D40C22" w:rsidRDefault="00D40C22">
      <w:pPr>
        <w:jc w:val="center"/>
        <w:rPr>
          <w:sz w:val="72"/>
          <w:szCs w:val="72"/>
        </w:rPr>
      </w:pPr>
    </w:p>
    <w:p w:rsidR="00D40C22" w:rsidRDefault="00D40C22">
      <w:pPr>
        <w:jc w:val="center"/>
        <w:rPr>
          <w:sz w:val="72"/>
          <w:szCs w:val="72"/>
        </w:rPr>
      </w:pPr>
    </w:p>
    <w:p w:rsidR="00D40C22" w:rsidRDefault="00D40C22">
      <w:pPr>
        <w:jc w:val="center"/>
        <w:rPr>
          <w:sz w:val="72"/>
          <w:szCs w:val="72"/>
        </w:rPr>
      </w:pPr>
    </w:p>
    <w:p w:rsidR="00D40C22" w:rsidRDefault="00D40C22">
      <w:pPr>
        <w:rPr>
          <w:sz w:val="72"/>
          <w:szCs w:val="72"/>
        </w:rPr>
      </w:pPr>
    </w:p>
    <w:p w:rsidR="00D40C22" w:rsidRDefault="003368AE">
      <w:pPr>
        <w:pStyle w:val="Default"/>
        <w:jc w:val="center"/>
        <w:rPr>
          <w:sz w:val="84"/>
          <w:szCs w:val="84"/>
        </w:rPr>
      </w:pPr>
      <w:r>
        <w:rPr>
          <w:rFonts w:hint="eastAsia"/>
          <w:sz w:val="84"/>
          <w:szCs w:val="84"/>
        </w:rPr>
        <w:t>第一部分</w:t>
      </w:r>
    </w:p>
    <w:p w:rsidR="00D40C22" w:rsidRDefault="00D40C22">
      <w:pPr>
        <w:pStyle w:val="Default"/>
        <w:jc w:val="center"/>
        <w:rPr>
          <w:sz w:val="84"/>
          <w:szCs w:val="84"/>
        </w:rPr>
      </w:pPr>
    </w:p>
    <w:p w:rsidR="00D40C22" w:rsidRDefault="003368AE">
      <w:pPr>
        <w:pStyle w:val="Default"/>
        <w:jc w:val="center"/>
        <w:rPr>
          <w:sz w:val="84"/>
          <w:szCs w:val="84"/>
        </w:rPr>
      </w:pPr>
      <w:r>
        <w:rPr>
          <w:rFonts w:hint="eastAsia"/>
          <w:sz w:val="84"/>
          <w:szCs w:val="84"/>
        </w:rPr>
        <w:t>怀化市鹤城区养老和工伤保险服务中心单位概况</w:t>
      </w:r>
    </w:p>
    <w:p w:rsidR="00D40C22" w:rsidRDefault="00D40C22">
      <w:pPr>
        <w:jc w:val="center"/>
        <w:rPr>
          <w:sz w:val="72"/>
          <w:szCs w:val="72"/>
        </w:rPr>
      </w:pPr>
    </w:p>
    <w:p w:rsidR="00D40C22" w:rsidRDefault="00D40C22">
      <w:pPr>
        <w:jc w:val="center"/>
        <w:rPr>
          <w:sz w:val="72"/>
          <w:szCs w:val="72"/>
        </w:rPr>
      </w:pPr>
    </w:p>
    <w:p w:rsidR="00D40C22" w:rsidRDefault="00D40C22">
      <w:pPr>
        <w:jc w:val="center"/>
        <w:rPr>
          <w:sz w:val="72"/>
          <w:szCs w:val="72"/>
        </w:rPr>
      </w:pPr>
    </w:p>
    <w:p w:rsidR="00D40C22" w:rsidRDefault="00D40C22">
      <w:pPr>
        <w:jc w:val="center"/>
        <w:rPr>
          <w:sz w:val="72"/>
          <w:szCs w:val="72"/>
        </w:rPr>
      </w:pPr>
    </w:p>
    <w:p w:rsidR="00D40C22" w:rsidRDefault="00D40C22">
      <w:pPr>
        <w:jc w:val="center"/>
        <w:rPr>
          <w:sz w:val="72"/>
          <w:szCs w:val="72"/>
        </w:rPr>
      </w:pPr>
    </w:p>
    <w:p w:rsidR="00D40C22" w:rsidRDefault="00D40C22">
      <w:pPr>
        <w:pStyle w:val="a8"/>
        <w:ind w:left="720" w:firstLineChars="0" w:firstLine="0"/>
        <w:jc w:val="left"/>
        <w:rPr>
          <w:rFonts w:ascii="黑体" w:eastAsia="黑体" w:hAnsi="黑体"/>
          <w:sz w:val="32"/>
          <w:szCs w:val="32"/>
        </w:rPr>
      </w:pPr>
    </w:p>
    <w:p w:rsidR="00D40C22" w:rsidRDefault="003368AE">
      <w:pPr>
        <w:pStyle w:val="a8"/>
        <w:numPr>
          <w:ilvl w:val="0"/>
          <w:numId w:val="1"/>
        </w:numPr>
        <w:ind w:firstLineChars="0"/>
        <w:jc w:val="left"/>
        <w:rPr>
          <w:rFonts w:ascii="黑体" w:eastAsia="黑体" w:hAnsi="黑体"/>
          <w:sz w:val="32"/>
          <w:szCs w:val="32"/>
        </w:rPr>
      </w:pPr>
      <w:r>
        <w:rPr>
          <w:rFonts w:ascii="黑体" w:eastAsia="黑体" w:hAnsi="黑体"/>
          <w:sz w:val="32"/>
          <w:szCs w:val="32"/>
        </w:rPr>
        <w:lastRenderedPageBreak/>
        <w:t>部门职责</w:t>
      </w:r>
    </w:p>
    <w:p w:rsidR="00D40C22" w:rsidRDefault="003368AE">
      <w:pPr>
        <w:ind w:firstLineChars="200" w:firstLine="640"/>
        <w:jc w:val="left"/>
        <w:rPr>
          <w:rFonts w:ascii="宋体" w:eastAsia="宋体" w:hAnsi="宋体" w:cs="宋体"/>
          <w:sz w:val="32"/>
          <w:szCs w:val="32"/>
        </w:rPr>
      </w:pPr>
      <w:r>
        <w:rPr>
          <w:rFonts w:ascii="宋体" w:eastAsia="宋体" w:hAnsi="宋体" w:cs="宋体" w:hint="eastAsia"/>
          <w:sz w:val="32"/>
          <w:szCs w:val="32"/>
        </w:rPr>
        <w:t>（一）负责城乡居民养老保险的参保登记管理、缴费申报管理、基金征缴、个人</w:t>
      </w:r>
      <w:proofErr w:type="gramStart"/>
      <w:r>
        <w:rPr>
          <w:rFonts w:ascii="宋体" w:eastAsia="宋体" w:hAnsi="宋体" w:cs="宋体" w:hint="eastAsia"/>
          <w:sz w:val="32"/>
          <w:szCs w:val="32"/>
        </w:rPr>
        <w:t>帐户</w:t>
      </w:r>
      <w:proofErr w:type="gramEnd"/>
      <w:r>
        <w:rPr>
          <w:rFonts w:ascii="宋体" w:eastAsia="宋体" w:hAnsi="宋体" w:cs="宋体" w:hint="eastAsia"/>
          <w:sz w:val="32"/>
          <w:szCs w:val="32"/>
        </w:rPr>
        <w:t>建立与管理、待遇核定与发放、保险关系转移（接）手续、统计分析等工作，并对街道（乡镇）劳动</w:t>
      </w:r>
      <w:proofErr w:type="gramStart"/>
      <w:r>
        <w:rPr>
          <w:rFonts w:ascii="宋体" w:eastAsia="宋体" w:hAnsi="宋体" w:cs="宋体" w:hint="eastAsia"/>
          <w:sz w:val="32"/>
          <w:szCs w:val="32"/>
        </w:rPr>
        <w:t>保障站</w:t>
      </w:r>
      <w:proofErr w:type="gramEnd"/>
      <w:r>
        <w:rPr>
          <w:rFonts w:ascii="宋体" w:eastAsia="宋体" w:hAnsi="宋体" w:cs="宋体" w:hint="eastAsia"/>
          <w:sz w:val="32"/>
          <w:szCs w:val="32"/>
        </w:rPr>
        <w:t>的业务经办情况进行指导和监督考核、承接原</w:t>
      </w:r>
      <w:proofErr w:type="gramStart"/>
      <w:r>
        <w:rPr>
          <w:rFonts w:ascii="宋体" w:eastAsia="宋体" w:hAnsi="宋体" w:cs="宋体" w:hint="eastAsia"/>
          <w:sz w:val="32"/>
          <w:szCs w:val="32"/>
        </w:rPr>
        <w:t>老农保站的</w:t>
      </w:r>
      <w:proofErr w:type="gramEnd"/>
      <w:r>
        <w:rPr>
          <w:rFonts w:ascii="宋体" w:eastAsia="宋体" w:hAnsi="宋体" w:cs="宋体" w:hint="eastAsia"/>
          <w:sz w:val="32"/>
          <w:szCs w:val="32"/>
        </w:rPr>
        <w:t>相关业务工作；</w:t>
      </w:r>
    </w:p>
    <w:p w:rsidR="00D40C22" w:rsidRDefault="003368AE">
      <w:pPr>
        <w:ind w:firstLineChars="200" w:firstLine="640"/>
        <w:jc w:val="left"/>
        <w:rPr>
          <w:rFonts w:ascii="宋体" w:eastAsia="宋体" w:hAnsi="宋体" w:cs="宋体"/>
          <w:sz w:val="32"/>
          <w:szCs w:val="32"/>
        </w:rPr>
      </w:pPr>
      <w:r>
        <w:rPr>
          <w:rFonts w:ascii="宋体" w:eastAsia="宋体" w:hAnsi="宋体" w:cs="宋体" w:hint="eastAsia"/>
          <w:sz w:val="32"/>
          <w:szCs w:val="32"/>
        </w:rPr>
        <w:t>（二）</w:t>
      </w:r>
      <w:r>
        <w:rPr>
          <w:rFonts w:ascii="宋体" w:eastAsia="宋体" w:hAnsi="宋体" w:cs="宋体" w:hint="eastAsia"/>
          <w:kern w:val="0"/>
          <w:sz w:val="32"/>
          <w:szCs w:val="32"/>
        </w:rPr>
        <w:t>负责全区的各类企业、灵活就业人员的参保管理、基金征缴和退休人员养老金社会化发放；</w:t>
      </w:r>
    </w:p>
    <w:p w:rsidR="00D40C22" w:rsidRDefault="003368AE">
      <w:pPr>
        <w:ind w:firstLine="640"/>
        <w:jc w:val="left"/>
        <w:rPr>
          <w:rFonts w:ascii="宋体" w:eastAsia="宋体" w:hAnsi="宋体" w:cs="宋体"/>
          <w:sz w:val="32"/>
          <w:szCs w:val="32"/>
        </w:rPr>
      </w:pPr>
      <w:r>
        <w:rPr>
          <w:rFonts w:ascii="宋体" w:eastAsia="宋体" w:hAnsi="宋体" w:cs="宋体" w:hint="eastAsia"/>
          <w:sz w:val="32"/>
          <w:szCs w:val="32"/>
        </w:rPr>
        <w:t>（三）负责全区机关事业单位养老保险基金及职业年金的征收及发放工作；</w:t>
      </w:r>
    </w:p>
    <w:p w:rsidR="00D40C22" w:rsidRDefault="003368AE">
      <w:pPr>
        <w:ind w:firstLine="640"/>
        <w:jc w:val="left"/>
        <w:rPr>
          <w:rFonts w:ascii="宋体" w:eastAsia="宋体" w:hAnsi="宋体" w:cs="宋体"/>
          <w:sz w:val="32"/>
          <w:szCs w:val="32"/>
        </w:rPr>
      </w:pPr>
      <w:r>
        <w:rPr>
          <w:rFonts w:ascii="宋体" w:eastAsia="宋体" w:hAnsi="宋体" w:cs="宋体" w:hint="eastAsia"/>
          <w:sz w:val="32"/>
          <w:szCs w:val="32"/>
        </w:rPr>
        <w:t>（四）负责全区工伤保险的参保登记，工伤事故调查，领取资格审核、待遇核定以及待遇社会化发放工作。</w:t>
      </w:r>
    </w:p>
    <w:p w:rsidR="00D40C22" w:rsidRDefault="003368AE">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D40C22" w:rsidRDefault="003368AE">
      <w:pPr>
        <w:spacing w:line="570" w:lineRule="exact"/>
        <w:ind w:firstLineChars="200" w:firstLine="640"/>
        <w:rPr>
          <w:rFonts w:ascii="宋体" w:eastAsia="宋体" w:hAnsi="宋体" w:cs="宋体"/>
          <w:sz w:val="32"/>
          <w:szCs w:val="32"/>
        </w:rPr>
      </w:pPr>
      <w:r>
        <w:rPr>
          <w:rFonts w:asciiTheme="minorEastAsia" w:hAnsiTheme="minorEastAsia" w:hint="eastAsia"/>
          <w:bCs/>
          <w:kern w:val="0"/>
          <w:sz w:val="32"/>
          <w:szCs w:val="32"/>
        </w:rPr>
        <w:t>（一）内设机构设置。怀化市鹤城区养老和工伤保险服务中心内设机构包括：</w:t>
      </w:r>
      <w:r>
        <w:rPr>
          <w:rFonts w:ascii="宋体" w:eastAsia="宋体" w:hAnsi="宋体" w:cs="宋体" w:hint="eastAsia"/>
          <w:sz w:val="32"/>
          <w:szCs w:val="32"/>
        </w:rPr>
        <w:t>综合部，财务和基金管理部，权益部，待遇部，职业年金部，工伤保险部，稽核部，信息（档案）部，统筹部，城乡居民养老保险部。</w:t>
      </w:r>
    </w:p>
    <w:p w:rsidR="00D40C22" w:rsidRDefault="003368AE">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（二）决算单位构成。怀化市鹤城区养老和工伤保险服务中心</w:t>
      </w:r>
      <w:r>
        <w:rPr>
          <w:rFonts w:asciiTheme="minorEastAsia" w:hAnsiTheme="minorEastAsia"/>
          <w:bCs/>
          <w:kern w:val="0"/>
          <w:sz w:val="32"/>
          <w:szCs w:val="32"/>
        </w:rPr>
        <w:t>20</w:t>
      </w:r>
      <w:r>
        <w:rPr>
          <w:rFonts w:asciiTheme="minorEastAsia" w:hAnsiTheme="minorEastAsia" w:hint="eastAsia"/>
          <w:bCs/>
          <w:kern w:val="0"/>
          <w:sz w:val="32"/>
          <w:szCs w:val="32"/>
        </w:rPr>
        <w:t>21年部门决算汇总公开单位构成包括：区养老和工伤保险服务中心本级。</w:t>
      </w:r>
    </w:p>
    <w:p w:rsidR="00D40C22" w:rsidRDefault="00D40C22">
      <w:pPr>
        <w:jc w:val="left"/>
        <w:rPr>
          <w:rFonts w:ascii="仿宋_GB2312" w:eastAsia="仿宋_GB2312" w:hAnsiTheme="minorEastAsia"/>
          <w:sz w:val="28"/>
          <w:szCs w:val="32"/>
        </w:rPr>
      </w:pPr>
    </w:p>
    <w:p w:rsidR="00D40C22" w:rsidRDefault="00D40C22">
      <w:pPr>
        <w:jc w:val="center"/>
        <w:rPr>
          <w:rFonts w:ascii="黑体" w:eastAsia="黑体" w:hAnsi="黑体"/>
          <w:sz w:val="28"/>
          <w:szCs w:val="28"/>
        </w:rPr>
      </w:pPr>
    </w:p>
    <w:p w:rsidR="00D40C22" w:rsidRDefault="00D40C22">
      <w:pPr>
        <w:jc w:val="center"/>
        <w:rPr>
          <w:rFonts w:ascii="黑体" w:eastAsia="黑体" w:hAnsi="黑体"/>
          <w:sz w:val="28"/>
          <w:szCs w:val="28"/>
        </w:rPr>
      </w:pPr>
    </w:p>
    <w:p w:rsidR="00D40C22" w:rsidRDefault="00D40C22">
      <w:pPr>
        <w:jc w:val="center"/>
        <w:rPr>
          <w:rFonts w:ascii="黑体" w:eastAsia="黑体" w:hAnsi="黑体"/>
          <w:sz w:val="28"/>
          <w:szCs w:val="28"/>
        </w:rPr>
      </w:pPr>
    </w:p>
    <w:p w:rsidR="00D40C22" w:rsidRDefault="00D40C22">
      <w:pPr>
        <w:jc w:val="center"/>
        <w:rPr>
          <w:rFonts w:ascii="黑体" w:eastAsia="黑体" w:hAnsi="黑体"/>
          <w:sz w:val="28"/>
          <w:szCs w:val="28"/>
        </w:rPr>
      </w:pPr>
    </w:p>
    <w:p w:rsidR="00D40C22" w:rsidRDefault="00D40C22">
      <w:pPr>
        <w:jc w:val="center"/>
        <w:rPr>
          <w:rFonts w:ascii="黑体" w:eastAsia="黑体" w:hAnsi="黑体"/>
          <w:sz w:val="28"/>
          <w:szCs w:val="28"/>
        </w:rPr>
      </w:pPr>
    </w:p>
    <w:p w:rsidR="00D40C22" w:rsidRDefault="00D40C22">
      <w:pPr>
        <w:jc w:val="center"/>
        <w:rPr>
          <w:rFonts w:ascii="黑体" w:eastAsia="黑体" w:hAnsi="黑体"/>
          <w:sz w:val="28"/>
          <w:szCs w:val="28"/>
        </w:rPr>
      </w:pPr>
    </w:p>
    <w:p w:rsidR="00D40C22" w:rsidRDefault="00D40C22">
      <w:pPr>
        <w:jc w:val="center"/>
        <w:rPr>
          <w:rFonts w:ascii="黑体" w:eastAsia="黑体" w:hAnsi="黑体"/>
          <w:sz w:val="28"/>
          <w:szCs w:val="28"/>
        </w:rPr>
      </w:pPr>
    </w:p>
    <w:p w:rsidR="00D40C22" w:rsidRDefault="00D40C22">
      <w:pPr>
        <w:jc w:val="center"/>
        <w:rPr>
          <w:rFonts w:ascii="黑体" w:eastAsia="黑体" w:hAnsi="黑体"/>
          <w:sz w:val="28"/>
          <w:szCs w:val="28"/>
        </w:rPr>
      </w:pPr>
    </w:p>
    <w:p w:rsidR="00D40C22" w:rsidRDefault="00D40C22">
      <w:pPr>
        <w:jc w:val="center"/>
        <w:rPr>
          <w:rFonts w:ascii="黑体" w:eastAsia="黑体" w:hAnsi="黑体"/>
          <w:sz w:val="28"/>
          <w:szCs w:val="28"/>
        </w:rPr>
      </w:pPr>
    </w:p>
    <w:p w:rsidR="00D40C22" w:rsidRDefault="00D40C22">
      <w:pPr>
        <w:jc w:val="center"/>
        <w:rPr>
          <w:rFonts w:ascii="黑体" w:eastAsia="黑体" w:hAnsi="黑体"/>
          <w:sz w:val="28"/>
          <w:szCs w:val="28"/>
        </w:rPr>
      </w:pPr>
    </w:p>
    <w:p w:rsidR="00D40C22" w:rsidRDefault="00D40C22">
      <w:pPr>
        <w:jc w:val="center"/>
        <w:rPr>
          <w:rFonts w:ascii="黑体" w:eastAsia="黑体" w:hAnsi="黑体"/>
          <w:sz w:val="28"/>
          <w:szCs w:val="28"/>
        </w:rPr>
      </w:pPr>
    </w:p>
    <w:p w:rsidR="00D40C22" w:rsidRDefault="00D40C22">
      <w:pPr>
        <w:jc w:val="center"/>
        <w:rPr>
          <w:rFonts w:ascii="黑体" w:eastAsia="黑体" w:hAnsi="黑体"/>
          <w:sz w:val="28"/>
          <w:szCs w:val="28"/>
        </w:rPr>
      </w:pPr>
    </w:p>
    <w:p w:rsidR="00D40C22" w:rsidRDefault="00D40C22">
      <w:pPr>
        <w:rPr>
          <w:sz w:val="72"/>
          <w:szCs w:val="72"/>
        </w:rPr>
      </w:pPr>
    </w:p>
    <w:p w:rsidR="00D40C22" w:rsidRDefault="00D40C22">
      <w:pPr>
        <w:jc w:val="center"/>
        <w:rPr>
          <w:sz w:val="72"/>
          <w:szCs w:val="72"/>
        </w:rPr>
      </w:pPr>
    </w:p>
    <w:p w:rsidR="00D40C22" w:rsidRDefault="003368AE">
      <w:pPr>
        <w:jc w:val="center"/>
        <w:rPr>
          <w:sz w:val="72"/>
          <w:szCs w:val="72"/>
        </w:rPr>
      </w:pPr>
      <w:r>
        <w:rPr>
          <w:rFonts w:hint="eastAsia"/>
          <w:sz w:val="72"/>
          <w:szCs w:val="72"/>
        </w:rPr>
        <w:t>第二部分</w:t>
      </w:r>
    </w:p>
    <w:p w:rsidR="00D40C22" w:rsidRDefault="00D40C22">
      <w:pPr>
        <w:jc w:val="center"/>
        <w:rPr>
          <w:sz w:val="72"/>
          <w:szCs w:val="72"/>
        </w:rPr>
      </w:pPr>
    </w:p>
    <w:p w:rsidR="00D40C22" w:rsidRDefault="003368AE">
      <w:pPr>
        <w:jc w:val="center"/>
        <w:rPr>
          <w:sz w:val="72"/>
          <w:szCs w:val="72"/>
        </w:rPr>
      </w:pPr>
      <w:r>
        <w:rPr>
          <w:rFonts w:hint="eastAsia"/>
          <w:sz w:val="72"/>
          <w:szCs w:val="72"/>
        </w:rPr>
        <w:t>部门决算表</w:t>
      </w:r>
      <w:r>
        <w:rPr>
          <w:sz w:val="72"/>
          <w:szCs w:val="72"/>
        </w:rPr>
        <w:br/>
      </w:r>
      <w:r>
        <w:rPr>
          <w:rFonts w:hint="eastAsia"/>
          <w:sz w:val="72"/>
          <w:szCs w:val="72"/>
        </w:rPr>
        <w:t>（表格见附件）</w:t>
      </w:r>
    </w:p>
    <w:p w:rsidR="00D40C22" w:rsidRDefault="00D40C22">
      <w:pPr>
        <w:jc w:val="center"/>
        <w:rPr>
          <w:sz w:val="72"/>
          <w:szCs w:val="72"/>
        </w:rPr>
      </w:pPr>
    </w:p>
    <w:p w:rsidR="00D40C22" w:rsidRDefault="00D40C22">
      <w:pPr>
        <w:jc w:val="center"/>
        <w:rPr>
          <w:sz w:val="72"/>
          <w:szCs w:val="72"/>
        </w:rPr>
      </w:pPr>
    </w:p>
    <w:p w:rsidR="00D40C22" w:rsidRDefault="00D40C22">
      <w:pPr>
        <w:jc w:val="center"/>
        <w:rPr>
          <w:sz w:val="72"/>
          <w:szCs w:val="72"/>
        </w:rPr>
      </w:pPr>
    </w:p>
    <w:p w:rsidR="00D40C22" w:rsidRDefault="00D40C22">
      <w:pPr>
        <w:jc w:val="center"/>
        <w:rPr>
          <w:sz w:val="72"/>
          <w:szCs w:val="72"/>
        </w:rPr>
      </w:pPr>
    </w:p>
    <w:p w:rsidR="00D40C22" w:rsidRDefault="00D40C22">
      <w:pPr>
        <w:jc w:val="center"/>
        <w:rPr>
          <w:sz w:val="72"/>
          <w:szCs w:val="72"/>
        </w:rPr>
      </w:pPr>
    </w:p>
    <w:p w:rsidR="00D40C22" w:rsidRDefault="00D40C22">
      <w:pPr>
        <w:pStyle w:val="Default"/>
        <w:rPr>
          <w:sz w:val="72"/>
          <w:szCs w:val="72"/>
        </w:rPr>
      </w:pPr>
    </w:p>
    <w:p w:rsidR="00D40C22" w:rsidRDefault="00D40C22">
      <w:pPr>
        <w:pStyle w:val="Default"/>
        <w:rPr>
          <w:sz w:val="72"/>
          <w:szCs w:val="72"/>
        </w:rPr>
      </w:pPr>
    </w:p>
    <w:p w:rsidR="00D40C22" w:rsidRDefault="00D40C22">
      <w:pPr>
        <w:pStyle w:val="Default"/>
        <w:rPr>
          <w:sz w:val="72"/>
          <w:szCs w:val="72"/>
        </w:rPr>
      </w:pPr>
    </w:p>
    <w:p w:rsidR="00D40C22" w:rsidRDefault="00D40C22">
      <w:pPr>
        <w:pStyle w:val="Default"/>
        <w:rPr>
          <w:sz w:val="72"/>
          <w:szCs w:val="72"/>
        </w:rPr>
      </w:pPr>
    </w:p>
    <w:p w:rsidR="00D40C22" w:rsidRDefault="00D40C22">
      <w:pPr>
        <w:pStyle w:val="Default"/>
        <w:jc w:val="center"/>
        <w:rPr>
          <w:sz w:val="72"/>
          <w:szCs w:val="72"/>
        </w:rPr>
      </w:pPr>
    </w:p>
    <w:p w:rsidR="00D40C22" w:rsidRDefault="00D40C22">
      <w:pPr>
        <w:pStyle w:val="Default"/>
        <w:jc w:val="center"/>
        <w:rPr>
          <w:sz w:val="72"/>
          <w:szCs w:val="72"/>
        </w:rPr>
      </w:pPr>
    </w:p>
    <w:p w:rsidR="00D40C22" w:rsidRDefault="003368AE">
      <w:pPr>
        <w:pStyle w:val="Default"/>
        <w:jc w:val="center"/>
        <w:rPr>
          <w:sz w:val="72"/>
          <w:szCs w:val="72"/>
        </w:rPr>
      </w:pPr>
      <w:r>
        <w:rPr>
          <w:rFonts w:hint="eastAsia"/>
          <w:sz w:val="72"/>
          <w:szCs w:val="72"/>
        </w:rPr>
        <w:t>第三部分</w:t>
      </w:r>
    </w:p>
    <w:p w:rsidR="00D40C22" w:rsidRDefault="00D40C22">
      <w:pPr>
        <w:pStyle w:val="Default"/>
        <w:jc w:val="center"/>
        <w:rPr>
          <w:sz w:val="70"/>
          <w:szCs w:val="70"/>
        </w:rPr>
      </w:pPr>
    </w:p>
    <w:p w:rsidR="00D40C22" w:rsidRDefault="003368AE">
      <w:pPr>
        <w:pStyle w:val="Default"/>
        <w:jc w:val="center"/>
        <w:rPr>
          <w:sz w:val="70"/>
          <w:szCs w:val="70"/>
        </w:rPr>
      </w:pPr>
      <w:r>
        <w:rPr>
          <w:sz w:val="70"/>
          <w:szCs w:val="70"/>
        </w:rPr>
        <w:t>20</w:t>
      </w:r>
      <w:r>
        <w:rPr>
          <w:rFonts w:hint="eastAsia"/>
          <w:sz w:val="70"/>
          <w:szCs w:val="70"/>
        </w:rPr>
        <w:t>21年度部门决算情况说明</w:t>
      </w:r>
    </w:p>
    <w:p w:rsidR="00D40C22" w:rsidRDefault="003368AE">
      <w:pPr>
        <w:widowControl/>
        <w:jc w:val="left"/>
        <w:rPr>
          <w:rFonts w:asciiTheme="minorEastAsia" w:hAnsiTheme="minorEastAsia"/>
          <w:sz w:val="32"/>
          <w:szCs w:val="32"/>
        </w:rPr>
      </w:pPr>
      <w:r>
        <w:rPr>
          <w:sz w:val="70"/>
          <w:szCs w:val="70"/>
        </w:rPr>
        <w:br w:type="page"/>
      </w:r>
    </w:p>
    <w:p w:rsidR="00D40C22" w:rsidRDefault="003368AE">
      <w:pPr>
        <w:pStyle w:val="Default"/>
        <w:rPr>
          <w:rFonts w:hAnsi="黑体"/>
          <w:b/>
          <w:sz w:val="32"/>
          <w:szCs w:val="32"/>
        </w:rPr>
      </w:pPr>
      <w:r>
        <w:rPr>
          <w:rFonts w:hAnsi="黑体" w:hint="eastAsia"/>
          <w:b/>
          <w:sz w:val="32"/>
          <w:szCs w:val="32"/>
        </w:rPr>
        <w:lastRenderedPageBreak/>
        <w:t>一、收入支出决算总体情况说明</w:t>
      </w:r>
    </w:p>
    <w:p w:rsidR="00D40C22" w:rsidRDefault="003368A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2021年度收入合计577.17万元。与上年相比，增加26.46万元，增长4.8%，主要是因为机构合并增加的经费。</w:t>
      </w:r>
    </w:p>
    <w:p w:rsidR="00D40C22" w:rsidRDefault="003368A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2021年度支出合计577.17万元。与上年相比，增加26.46万元，增长4.8%，主要是因为机构合并增加的支出。</w:t>
      </w:r>
    </w:p>
    <w:p w:rsidR="00D40C22" w:rsidRDefault="003368AE">
      <w:pPr>
        <w:pStyle w:val="Default"/>
        <w:rPr>
          <w:rFonts w:hAnsi="黑体"/>
          <w:b/>
          <w:sz w:val="32"/>
          <w:szCs w:val="32"/>
        </w:rPr>
      </w:pPr>
      <w:r>
        <w:rPr>
          <w:rFonts w:hAnsi="黑体" w:hint="eastAsia"/>
          <w:b/>
          <w:sz w:val="32"/>
          <w:szCs w:val="32"/>
        </w:rPr>
        <w:t>二、收入决算情况说明</w:t>
      </w:r>
    </w:p>
    <w:p w:rsidR="00D40C22" w:rsidRDefault="003368A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2021年度收入合计577.17万元，其中：财政拨款收入577.17万元，占100%；上级补助收入0万元，占0%；事业收入0万元，占0%；经营收入0万元，占0%；附属单位上缴收入0万元，占0%；其他收入0万元，占0%。</w:t>
      </w:r>
    </w:p>
    <w:p w:rsidR="00D40C22" w:rsidRDefault="003368AE">
      <w:pPr>
        <w:pStyle w:val="Default"/>
        <w:rPr>
          <w:rFonts w:hAnsi="黑体"/>
          <w:b/>
          <w:sz w:val="32"/>
          <w:szCs w:val="32"/>
        </w:rPr>
      </w:pPr>
      <w:r>
        <w:rPr>
          <w:rFonts w:hAnsi="黑体" w:hint="eastAsia"/>
          <w:b/>
          <w:sz w:val="32"/>
          <w:szCs w:val="32"/>
        </w:rPr>
        <w:t>三、支出决算情况说明</w:t>
      </w:r>
    </w:p>
    <w:p w:rsidR="00D40C22" w:rsidRDefault="003368A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2021年度支出合计577.17万元，其中：基本支出555.77万元，占96.3%；项目支出21.4万元，占3.7%；上缴上级支出0万元，占0%；经营支出0万元，占0%；对附属单位补助支出0万元，占0%。</w:t>
      </w:r>
    </w:p>
    <w:p w:rsidR="00D40C22" w:rsidRDefault="003368AE">
      <w:pPr>
        <w:pStyle w:val="Default"/>
        <w:rPr>
          <w:rFonts w:hAnsi="黑体"/>
          <w:b/>
          <w:sz w:val="32"/>
          <w:szCs w:val="32"/>
        </w:rPr>
      </w:pPr>
      <w:r>
        <w:rPr>
          <w:rFonts w:hAnsi="黑体" w:hint="eastAsia"/>
          <w:b/>
          <w:sz w:val="32"/>
          <w:szCs w:val="32"/>
        </w:rPr>
        <w:t>四、财政拨款收入支出决算总体情况说明</w:t>
      </w:r>
    </w:p>
    <w:p w:rsidR="00D40C22" w:rsidRDefault="003368A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2021年度财政拨款收入合计577.17万元。与上年相比，增加26.46万元，增长4.8%，主要是因为机构合并增加的经费</w:t>
      </w:r>
    </w:p>
    <w:p w:rsidR="00D40C22" w:rsidRDefault="003368A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2021年度财政拨款支出合计577.17万元。与上年相比，增加26.46万元，增长4.8%，主要是因为机构合并增加的支出。</w:t>
      </w:r>
    </w:p>
    <w:p w:rsidR="00D40C22" w:rsidRDefault="003368AE">
      <w:pPr>
        <w:pStyle w:val="Default"/>
        <w:numPr>
          <w:ilvl w:val="0"/>
          <w:numId w:val="2"/>
        </w:numPr>
        <w:rPr>
          <w:rFonts w:hAnsi="黑体"/>
          <w:b/>
          <w:sz w:val="32"/>
          <w:szCs w:val="32"/>
        </w:rPr>
      </w:pPr>
      <w:r>
        <w:rPr>
          <w:rFonts w:hAnsi="黑体" w:hint="eastAsia"/>
          <w:b/>
          <w:sz w:val="32"/>
          <w:szCs w:val="32"/>
        </w:rPr>
        <w:t>一般公共预算财政拨款支出决算情况说明</w:t>
      </w:r>
    </w:p>
    <w:p w:rsidR="00D40C22" w:rsidRDefault="003368AE" w:rsidP="003368AE">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D40C22" w:rsidRDefault="003368A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2021年度财政拨款支出577.17万元，占本年支出合计的100%，与上年相比，财政拨款支出增加26.46万元，增长4.8%，主要是因为机构合并增加的支出</w:t>
      </w:r>
    </w:p>
    <w:p w:rsidR="00D40C22" w:rsidRDefault="003368AE" w:rsidP="003368AE">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D40C22" w:rsidRDefault="003368A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2021年度财政拨款支出577.17万元，主要用于以下方面：一般公共服务（类）支出4万元，占0.7%；教育（类）支出0万元，占0%;社会保障和就业（类）支出554.7万元，占96.1%；卫生健康（类）支出18.47万元，占3.2%。</w:t>
      </w:r>
    </w:p>
    <w:p w:rsidR="00D40C22" w:rsidRDefault="003368AE" w:rsidP="003368AE">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D40C22" w:rsidRDefault="003368A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2021年度财政拨款支出年初预算数为916.42万元，支出决算数为577.17万元，完成年初预算的63%，其中：</w:t>
      </w:r>
    </w:p>
    <w:p w:rsidR="00D40C22" w:rsidRDefault="003368A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1、一般公共服务（类）其他一般公共服务支出（款）其他一般公共服务支出（项）。</w:t>
      </w:r>
    </w:p>
    <w:p w:rsidR="00D40C22" w:rsidRDefault="003368A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年初预算为0万元，支出决算为4万元，因预算金额0万元，无法计算百分比。决算数大于年初预算数的主要原因是：市级财政补助工作经费</w:t>
      </w:r>
    </w:p>
    <w:p w:rsidR="00D40C22" w:rsidRDefault="003368A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2、社会保障和就业（类）人力资源和社会保障管理事务（款）行政运行（项）。</w:t>
      </w:r>
    </w:p>
    <w:p w:rsidR="00D40C22" w:rsidRDefault="003368A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年初预算为0万元，支出决算为0.12万元，因预算金额0万元，无法计算百分比。决算数大于年初预算数的主要原因是：机构合并</w:t>
      </w:r>
    </w:p>
    <w:p w:rsidR="00D40C22" w:rsidRDefault="003368AE">
      <w:pPr>
        <w:pStyle w:val="Default"/>
        <w:numPr>
          <w:ilvl w:val="0"/>
          <w:numId w:val="3"/>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社会保障和就业（类）人力资源和社会保障管理事务（款）一般行政管理事务（项）。</w:t>
      </w:r>
    </w:p>
    <w:p w:rsidR="00D40C22" w:rsidRDefault="003368A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年初预算为0万元，支出决算为11.4万元，因预算金额0万元，无法计算百分比。决算数大于年初预算数的主要原因是：回头看工作经费</w:t>
      </w:r>
    </w:p>
    <w:p w:rsidR="00D40C22" w:rsidRDefault="003368AE">
      <w:pPr>
        <w:pStyle w:val="Default"/>
        <w:numPr>
          <w:ilvl w:val="0"/>
          <w:numId w:val="3"/>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社会保障和就业（类）人力资源和社会保障管理事务（款）社会保险经办机构（项）。</w:t>
      </w:r>
    </w:p>
    <w:p w:rsidR="00D40C22" w:rsidRDefault="003368A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年初预算为753.4万元，支出决算为457.4万元，完成年初预算的61%，决算数小于年初预算数的主要原因是：项目支出减少</w:t>
      </w:r>
    </w:p>
    <w:p w:rsidR="00D40C22" w:rsidRDefault="003368AE">
      <w:pPr>
        <w:pStyle w:val="Default"/>
        <w:numPr>
          <w:ilvl w:val="0"/>
          <w:numId w:val="3"/>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社会保障和就业（类）人力资源和社会保障管理事务（款）其他人力资源和社会保障管理事务（项）。</w:t>
      </w:r>
    </w:p>
    <w:p w:rsidR="00D40C22" w:rsidRDefault="003368A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年初预算为4.77万元，支出决算为52.86万元，完成年初预算的1008%，决算数大于年初预算数的主要原因是：回头看工作经费</w:t>
      </w:r>
    </w:p>
    <w:p w:rsidR="00D40C22" w:rsidRDefault="003368AE">
      <w:pPr>
        <w:pStyle w:val="Default"/>
        <w:numPr>
          <w:ilvl w:val="0"/>
          <w:numId w:val="3"/>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社会保障和就业（类）行政事业单位养老支出（款）行政单位离退休（项）。</w:t>
      </w:r>
    </w:p>
    <w:p w:rsidR="00D40C22" w:rsidRDefault="003368A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年初预算为0.24万元，支出决算为0.14万元，完成年初预算的58%，决算数小于年初预算数的主要原因是：税务系统合并原来的四个单位数据跨年，造成本单位基本养老缴费跨年，当年未缴完。</w:t>
      </w:r>
    </w:p>
    <w:p w:rsidR="00D40C22" w:rsidRDefault="003368AE">
      <w:pPr>
        <w:pStyle w:val="Default"/>
        <w:numPr>
          <w:ilvl w:val="0"/>
          <w:numId w:val="3"/>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社会保障和就业（类）行政事业单位养老支出（款）机关事业单位基本养老保险缴费（项）。</w:t>
      </w:r>
    </w:p>
    <w:p w:rsidR="00D40C22" w:rsidRDefault="003368A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年初预算为43.56万元，支出决算为32.78万元，完成年初预算的75%，决算数小于年初预算数的主要原因是：税务系统合并原来的四个单位数据跨年，造成本单位基本养老缴费跨年，当年未缴完。</w:t>
      </w:r>
    </w:p>
    <w:p w:rsidR="00D40C22" w:rsidRDefault="003368AE">
      <w:pPr>
        <w:pStyle w:val="Default"/>
        <w:numPr>
          <w:ilvl w:val="0"/>
          <w:numId w:val="3"/>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卫生健康（类）行政事业单位医疗（款）行政单位医疗（项）。</w:t>
      </w:r>
    </w:p>
    <w:p w:rsidR="00D40C22" w:rsidRDefault="003368A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年初预算为21.78万元，支出决算为18.47万元，完成年初预算的85%，决算数小于年初预算数的主要原因是：税务系统合并原来的四个单位数据跨年，造成本单位基本医疗缴费跨年，当年未缴完。</w:t>
      </w:r>
    </w:p>
    <w:p w:rsidR="00D40C22" w:rsidRDefault="003368AE">
      <w:pPr>
        <w:pStyle w:val="Default"/>
        <w:rPr>
          <w:rFonts w:hAnsi="黑体"/>
          <w:b/>
          <w:sz w:val="32"/>
          <w:szCs w:val="32"/>
        </w:rPr>
      </w:pPr>
      <w:r>
        <w:rPr>
          <w:rFonts w:hAnsi="黑体" w:hint="eastAsia"/>
          <w:b/>
          <w:sz w:val="32"/>
          <w:szCs w:val="32"/>
        </w:rPr>
        <w:t>六、一般公共预算财政拨款基本支出决算情况说明</w:t>
      </w:r>
    </w:p>
    <w:p w:rsidR="00D40C22" w:rsidRDefault="003368AE">
      <w:pPr>
        <w:pStyle w:val="Default"/>
        <w:ind w:firstLineChars="200" w:firstLine="640"/>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2021年度财政拨款基本支出555.77万元，其中：人员经费493.02万元，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88.7%,主要包括基本工资、津贴补贴、奖金、伙食补助费、绩效工资、机关事业单位基本养老保险缴费、职工基本医疗保险缴费其他社会保障缴费、住房公积金、其他工资福利支出、对个人和家庭的补助；公用经费62.75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支出的11.3%，主要包括办公费、印刷费、邮电费、差旅费、维修（护）费、租赁费、公务接待费、劳务费、工会经费、其他商品和服务支出。</w:t>
      </w:r>
    </w:p>
    <w:p w:rsidR="00D40C22" w:rsidRDefault="003368AE">
      <w:pPr>
        <w:pStyle w:val="Default"/>
        <w:rPr>
          <w:rFonts w:hAnsi="黑体"/>
          <w:b/>
          <w:sz w:val="32"/>
          <w:szCs w:val="32"/>
        </w:rPr>
      </w:pPr>
      <w:r>
        <w:rPr>
          <w:rFonts w:hAnsi="黑体" w:hint="eastAsia"/>
          <w:b/>
          <w:sz w:val="32"/>
          <w:szCs w:val="32"/>
        </w:rPr>
        <w:lastRenderedPageBreak/>
        <w:t>七、一般公共预算财政拨款“三公”经费支出决算情况说明</w:t>
      </w:r>
    </w:p>
    <w:p w:rsidR="00D40C22" w:rsidRDefault="003368AE" w:rsidP="003368AE">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D40C22" w:rsidRDefault="003368A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2021年度“三公”经费财政拨款支出预算为0.36万元，支出决算为0.36万元，完成预算的100%，其中：</w:t>
      </w:r>
    </w:p>
    <w:p w:rsidR="00D40C22" w:rsidRDefault="003368A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因公出国（境）费支出预算为0万元，支出决算为0万元，因预算金额0万元，无法计算百分比。决算数与预算数持平，与上年相比也持平。持平的主要原因是本单位没有因公出国的支出</w:t>
      </w:r>
      <w:r>
        <w:rPr>
          <w:rFonts w:ascii="宋体" w:eastAsia="宋体" w:hAnsi="宋体" w:cs="宋体" w:hint="eastAsia"/>
          <w:sz w:val="32"/>
          <w:szCs w:val="32"/>
        </w:rPr>
        <w:t>。</w:t>
      </w:r>
    </w:p>
    <w:p w:rsidR="00D40C22" w:rsidRDefault="003368A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公务接待费支出预算为0.36万元，支出决算为0.36万元，完成预算的100%，决算数与预算数持平，与上年相比减少0.81</w:t>
      </w:r>
      <w:r w:rsidR="00D94D58">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69%,减少的主要原因是</w:t>
      </w:r>
      <w:r>
        <w:rPr>
          <w:rFonts w:ascii="仿宋_GB2312" w:eastAsia="仿宋_GB2312" w:hAnsi="仿宋_GB2312" w:cs="仿宋_GB2312" w:hint="eastAsia"/>
          <w:sz w:val="32"/>
          <w:szCs w:val="32"/>
        </w:rPr>
        <w:t>根据</w:t>
      </w:r>
      <w:r>
        <w:rPr>
          <w:rFonts w:ascii="宋体" w:eastAsia="宋体" w:hAnsi="宋体" w:cs="宋体" w:hint="eastAsia"/>
          <w:sz w:val="32"/>
          <w:szCs w:val="32"/>
        </w:rPr>
        <w:t>《中央</w:t>
      </w:r>
      <w:bookmarkStart w:id="0" w:name="_GoBack"/>
      <w:bookmarkEnd w:id="0"/>
      <w:r>
        <w:rPr>
          <w:rFonts w:ascii="宋体" w:eastAsia="宋体" w:hAnsi="宋体" w:cs="宋体" w:hint="eastAsia"/>
          <w:sz w:val="32"/>
          <w:szCs w:val="32"/>
        </w:rPr>
        <w:t>八项规定》及《党政机关厉行节约反对浪费条例》的要求减少支出</w:t>
      </w:r>
      <w:r>
        <w:rPr>
          <w:rFonts w:asciiTheme="minorEastAsia" w:eastAsiaTheme="minorEastAsia" w:hAnsiTheme="minorEastAsia" w:hint="eastAsia"/>
          <w:sz w:val="32"/>
          <w:szCs w:val="32"/>
        </w:rPr>
        <w:t>。</w:t>
      </w:r>
    </w:p>
    <w:p w:rsidR="00D40C22" w:rsidRDefault="003368A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运行维护费支出预算为0万元，支出决算为0万元，因预算金额0万元，无法计算百分比。决算数与预算数持平，与上年相比也持平。持平的主要原因是本单位没有公务用车购置费及运行维护费的支出</w:t>
      </w:r>
      <w:r>
        <w:rPr>
          <w:rFonts w:ascii="宋体" w:eastAsia="宋体" w:hAnsi="宋体" w:cs="宋体" w:hint="eastAsia"/>
          <w:sz w:val="32"/>
          <w:szCs w:val="32"/>
        </w:rPr>
        <w:t>。</w:t>
      </w:r>
    </w:p>
    <w:p w:rsidR="00D40C22" w:rsidRDefault="003368A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公务用车运行维护费支出预算为0万元，支出决算为0万元，因预算金额0万元，无法计算百分比。决算数与预算数持平，与上年相比也持平。持平的主要原因是本单位没有公务用车运行维护费支出</w:t>
      </w:r>
      <w:r>
        <w:rPr>
          <w:rFonts w:ascii="宋体" w:eastAsia="宋体" w:hAnsi="宋体" w:cs="宋体" w:hint="eastAsia"/>
          <w:sz w:val="32"/>
          <w:szCs w:val="32"/>
        </w:rPr>
        <w:t>。</w:t>
      </w:r>
    </w:p>
    <w:p w:rsidR="00D40C22" w:rsidRDefault="003368AE">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D40C22" w:rsidRDefault="003368A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2021年度“三公”经费财政拨款支出决算中，公务接待费支出决算0.36万元，占100%,因公出国（境）费支出决算0万元，占0%,公务用车购置费及运行维护费支出决算0万元，占0%。其中：</w:t>
      </w:r>
    </w:p>
    <w:p w:rsidR="00D40C22" w:rsidRDefault="003368A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1、因公出国（境）费支出决算为0万元，全年安排因公出国（境）团组0个，累计0人次</w:t>
      </w:r>
    </w:p>
    <w:p w:rsidR="00D40C22" w:rsidRDefault="003368A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2、公务接待费支出决算为0.36万元，全年共接待来访团组4个、来宾27</w:t>
      </w:r>
      <w:r>
        <w:rPr>
          <w:rFonts w:asciiTheme="minorEastAsia" w:eastAsiaTheme="minorEastAsia" w:hAnsiTheme="minorEastAsia" w:hint="eastAsia"/>
          <w:sz w:val="32"/>
          <w:szCs w:val="32"/>
        </w:rPr>
        <w:lastRenderedPageBreak/>
        <w:t>人次，主要是兄弟单位来访学习发生的接待支出。</w:t>
      </w:r>
    </w:p>
    <w:p w:rsidR="00D40C22" w:rsidRDefault="003368AE">
      <w:pPr>
        <w:ind w:firstLineChars="200" w:firstLine="640"/>
        <w:rPr>
          <w:rFonts w:asciiTheme="minorEastAsia" w:hAnsiTheme="minorEastAsia" w:cs="黑体"/>
          <w:color w:val="000000"/>
          <w:kern w:val="0"/>
          <w:sz w:val="32"/>
          <w:szCs w:val="32"/>
        </w:rPr>
      </w:pPr>
      <w:r>
        <w:rPr>
          <w:rFonts w:asciiTheme="minorEastAsia" w:hAnsiTheme="minorEastAsia" w:hint="eastAsia"/>
          <w:sz w:val="32"/>
          <w:szCs w:val="32"/>
        </w:rPr>
        <w:t>3、公务用车购置费及运行维护费支出决算为0万元，其中：公务用车购置费0万元，本单位更新公务用车0辆</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公务用车运行维护费0万元，截止2021年12月31日，我单位开支财政拨款的公务用车保有量为0辆。</w:t>
      </w:r>
    </w:p>
    <w:p w:rsidR="00D40C22" w:rsidRDefault="003368AE">
      <w:pPr>
        <w:pStyle w:val="Default"/>
        <w:rPr>
          <w:rFonts w:hAnsi="黑体"/>
          <w:b/>
          <w:sz w:val="32"/>
          <w:szCs w:val="32"/>
        </w:rPr>
      </w:pPr>
      <w:r>
        <w:rPr>
          <w:rFonts w:hAnsi="黑体" w:hint="eastAsia"/>
          <w:b/>
          <w:sz w:val="32"/>
          <w:szCs w:val="32"/>
        </w:rPr>
        <w:t>八、政府性基金预算收入支出决算情况</w:t>
      </w:r>
    </w:p>
    <w:p w:rsidR="00D40C22" w:rsidRDefault="003368AE">
      <w:pPr>
        <w:pStyle w:val="Default"/>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 xml:space="preserve">     2021年度政府性基金预算财政拨款收入0万元；年初结转和结余0万元；支出0万元，其中基本支出0万元，项目支出0万元；年末结转和结余0万元。</w:t>
      </w:r>
    </w:p>
    <w:p w:rsidR="00D40C22" w:rsidRDefault="003368AE">
      <w:pPr>
        <w:pStyle w:val="Default"/>
        <w:rPr>
          <w:rFonts w:hAnsi="黑体"/>
          <w:b/>
          <w:sz w:val="32"/>
          <w:szCs w:val="32"/>
        </w:rPr>
      </w:pPr>
      <w:r>
        <w:rPr>
          <w:rFonts w:hAnsi="黑体" w:hint="eastAsia"/>
          <w:b/>
          <w:sz w:val="32"/>
          <w:szCs w:val="32"/>
        </w:rPr>
        <w:t>九、国有资本经营预算财政拨款支出情况</w:t>
      </w:r>
    </w:p>
    <w:p w:rsidR="00D40C22" w:rsidRDefault="003368A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cstheme="minorBidi" w:hint="eastAsia"/>
          <w:color w:val="auto"/>
          <w:kern w:val="2"/>
          <w:sz w:val="32"/>
          <w:szCs w:val="32"/>
        </w:rPr>
        <w:t>2021年度国有资本经营预算财政拨款收入0万元；年初结转和结余0万元；支出0万元，其中基本支出0万元，项目支出0万元；年末结转和结余0万元。</w:t>
      </w:r>
    </w:p>
    <w:p w:rsidR="00D40C22" w:rsidRDefault="003368AE">
      <w:pPr>
        <w:pStyle w:val="Default"/>
        <w:rPr>
          <w:rFonts w:hAnsi="黑体"/>
          <w:b/>
          <w:sz w:val="32"/>
          <w:szCs w:val="32"/>
        </w:rPr>
      </w:pPr>
      <w:r>
        <w:rPr>
          <w:rFonts w:hAnsi="黑体" w:hint="eastAsia"/>
          <w:b/>
          <w:sz w:val="32"/>
          <w:szCs w:val="32"/>
        </w:rPr>
        <w:t>十、机关运行经费支出说明</w:t>
      </w:r>
    </w:p>
    <w:p w:rsidR="00D40C22" w:rsidRDefault="003368AE">
      <w:pPr>
        <w:pStyle w:val="Default"/>
        <w:ind w:firstLineChars="200" w:firstLine="640"/>
        <w:rPr>
          <w:rFonts w:asciiTheme="minorEastAsia" w:eastAsiaTheme="minorEastAsia" w:hAnsiTheme="minorEastAsia"/>
          <w:color w:val="FF0000"/>
          <w:sz w:val="32"/>
          <w:szCs w:val="32"/>
        </w:rPr>
      </w:pPr>
      <w:r>
        <w:rPr>
          <w:rFonts w:asciiTheme="minorEastAsia" w:eastAsiaTheme="minorEastAsia" w:hAnsiTheme="minorEastAsia" w:hint="eastAsia"/>
          <w:sz w:val="32"/>
          <w:szCs w:val="32"/>
        </w:rPr>
        <w:t>本部门2021年度机关运行经费支出0万元，与上年决算数持平。主要原因是：</w:t>
      </w:r>
      <w:r>
        <w:rPr>
          <w:rFonts w:ascii="宋体" w:eastAsia="宋体" w:hAnsi="宋体" w:cs="宋体" w:hint="eastAsia"/>
          <w:sz w:val="32"/>
          <w:szCs w:val="32"/>
        </w:rPr>
        <w:t>区养老和工伤保险服务中心属于一类公益事业单位</w:t>
      </w:r>
      <w:r>
        <w:rPr>
          <w:rFonts w:asciiTheme="minorEastAsia" w:eastAsiaTheme="minorEastAsia" w:hAnsiTheme="minorEastAsia" w:hint="eastAsia"/>
          <w:sz w:val="32"/>
          <w:szCs w:val="32"/>
        </w:rPr>
        <w:t>。</w:t>
      </w:r>
    </w:p>
    <w:p w:rsidR="00D40C22" w:rsidRDefault="003368AE">
      <w:pPr>
        <w:pStyle w:val="Default"/>
        <w:rPr>
          <w:rFonts w:hAnsi="黑体"/>
          <w:b/>
          <w:sz w:val="32"/>
          <w:szCs w:val="32"/>
        </w:rPr>
      </w:pPr>
      <w:r>
        <w:rPr>
          <w:rFonts w:hAnsi="黑体" w:hint="eastAsia"/>
          <w:b/>
          <w:sz w:val="32"/>
          <w:szCs w:val="32"/>
        </w:rPr>
        <w:t>十一、一般性支出情况说明</w:t>
      </w:r>
    </w:p>
    <w:p w:rsidR="00D40C22" w:rsidRDefault="003368AE">
      <w:pPr>
        <w:pStyle w:val="Default"/>
        <w:ind w:firstLineChars="200" w:firstLine="640"/>
        <w:rPr>
          <w:rFonts w:asciiTheme="minorEastAsia" w:eastAsiaTheme="minorEastAsia" w:hAnsiTheme="minorEastAsia"/>
          <w:color w:val="FF0000"/>
          <w:sz w:val="32"/>
          <w:szCs w:val="32"/>
        </w:rPr>
      </w:pPr>
      <w:r>
        <w:rPr>
          <w:rFonts w:asciiTheme="minorEastAsia" w:eastAsiaTheme="minorEastAsia" w:hAnsiTheme="minorEastAsia" w:hint="eastAsia"/>
          <w:sz w:val="32"/>
          <w:szCs w:val="32"/>
        </w:rPr>
        <w:t>2021年本部门开支会议费0万元，用于召开0会议，人数0人，内容为无；开支培训费0万元，用于开展0培训，人数0人，内容为无；举办0场节庆、晚会、论坛、赛事等活动，开支0万元。</w:t>
      </w:r>
    </w:p>
    <w:p w:rsidR="00D40C22" w:rsidRDefault="003368AE">
      <w:pPr>
        <w:pStyle w:val="Default"/>
        <w:rPr>
          <w:rFonts w:hAnsi="黑体"/>
          <w:b/>
          <w:sz w:val="32"/>
          <w:szCs w:val="32"/>
        </w:rPr>
      </w:pPr>
      <w:r>
        <w:rPr>
          <w:rFonts w:hAnsi="黑体" w:hint="eastAsia"/>
          <w:b/>
          <w:sz w:val="32"/>
          <w:szCs w:val="32"/>
        </w:rPr>
        <w:t>十二、政府采购支出说明</w:t>
      </w:r>
    </w:p>
    <w:p w:rsidR="00D40C22" w:rsidRDefault="003368A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本部门2021年度政府采购支出总额0万元，其中：政府采购货物支出0 万元、政府采购工程支出0 万元、政府采购服务支出0万元。授予中小企业合同金额0万元，占政府采购支出总额的0%，其中：授予小</w:t>
      </w:r>
      <w:proofErr w:type="gramStart"/>
      <w:r>
        <w:rPr>
          <w:rFonts w:asciiTheme="minorEastAsia" w:eastAsiaTheme="minorEastAsia" w:hAnsiTheme="minorEastAsia" w:hint="eastAsia"/>
          <w:sz w:val="32"/>
          <w:szCs w:val="32"/>
        </w:rPr>
        <w:t>微企业</w:t>
      </w:r>
      <w:proofErr w:type="gramEnd"/>
      <w:r>
        <w:rPr>
          <w:rFonts w:asciiTheme="minorEastAsia" w:eastAsiaTheme="minorEastAsia" w:hAnsiTheme="minorEastAsia" w:hint="eastAsia"/>
          <w:sz w:val="32"/>
          <w:szCs w:val="32"/>
        </w:rPr>
        <w:t>合同金额0万元，占授予中小企业合同金额的0%；货物采购授予中小企业合同金额占货物支出金额的0%，工程采购授予中小企业合同金额占工程支出金额的0%，服务采购授予中小企业合同金额占服务支出金额的0%。</w:t>
      </w:r>
    </w:p>
    <w:p w:rsidR="00D40C22" w:rsidRDefault="003368AE">
      <w:pPr>
        <w:pStyle w:val="Default"/>
        <w:rPr>
          <w:rFonts w:hAnsi="黑体"/>
          <w:b/>
          <w:sz w:val="32"/>
          <w:szCs w:val="32"/>
        </w:rPr>
      </w:pPr>
      <w:r>
        <w:rPr>
          <w:rFonts w:hAnsi="黑体" w:hint="eastAsia"/>
          <w:b/>
          <w:sz w:val="32"/>
          <w:szCs w:val="32"/>
        </w:rPr>
        <w:lastRenderedPageBreak/>
        <w:t>十三、国有资产占用情况说明</w:t>
      </w:r>
    </w:p>
    <w:p w:rsidR="00D40C22" w:rsidRDefault="003368A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截至2021年12月31日，部门（单位）共有车辆0辆，其中，主要领导干部用车0辆，机要通信用车0辆、应急保障用车0辆、执法执勤用车0辆、特种专业技术用车0辆、其他用车0辆，无其他用车；单位价值50万元以上通用设备0台（套）；单位价值100万元以上专用设备0台（套）。</w:t>
      </w:r>
    </w:p>
    <w:p w:rsidR="00D40C22" w:rsidRDefault="003368AE">
      <w:pPr>
        <w:pStyle w:val="Default"/>
        <w:rPr>
          <w:rFonts w:hAnsi="黑体"/>
          <w:b/>
          <w:sz w:val="32"/>
          <w:szCs w:val="32"/>
        </w:rPr>
      </w:pPr>
      <w:r>
        <w:rPr>
          <w:rFonts w:hAnsi="黑体" w:hint="eastAsia"/>
          <w:b/>
          <w:sz w:val="32"/>
          <w:szCs w:val="32"/>
        </w:rPr>
        <w:t>十四、2021年度预算绩效情况说明</w:t>
      </w:r>
    </w:p>
    <w:p w:rsidR="00D40C22" w:rsidRDefault="003368AE" w:rsidP="003368AE">
      <w:pPr>
        <w:autoSpaceDE w:val="0"/>
        <w:autoSpaceDN w:val="0"/>
        <w:adjustRightInd w:val="0"/>
        <w:ind w:firstLineChars="200" w:firstLine="643"/>
        <w:jc w:val="left"/>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（1）绩效管理评价工作开展情况</w:t>
      </w:r>
      <w:r>
        <w:rPr>
          <w:rFonts w:asciiTheme="minorEastAsia" w:hAnsiTheme="minorEastAsia" w:cs="黑体" w:hint="eastAsia"/>
          <w:color w:val="000000"/>
          <w:kern w:val="0"/>
          <w:sz w:val="32"/>
          <w:szCs w:val="32"/>
        </w:rPr>
        <w:t>。</w:t>
      </w:r>
    </w:p>
    <w:p w:rsidR="00D40C22" w:rsidRDefault="003368AE">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根据预算绩效管理要求，</w:t>
      </w:r>
      <w:proofErr w:type="gramStart"/>
      <w:r>
        <w:rPr>
          <w:rFonts w:asciiTheme="minorEastAsia" w:hAnsiTheme="minorEastAsia" w:cs="黑体" w:hint="eastAsia"/>
          <w:color w:val="000000"/>
          <w:kern w:val="0"/>
          <w:sz w:val="32"/>
          <w:szCs w:val="32"/>
        </w:rPr>
        <w:t>我部门</w:t>
      </w:r>
      <w:proofErr w:type="gramEnd"/>
      <w:r>
        <w:rPr>
          <w:rFonts w:asciiTheme="minorEastAsia" w:hAnsiTheme="minorEastAsia" w:cs="黑体" w:hint="eastAsia"/>
          <w:color w:val="000000"/>
          <w:kern w:val="0"/>
          <w:sz w:val="32"/>
          <w:szCs w:val="32"/>
        </w:rPr>
        <w:t>组织对</w:t>
      </w:r>
      <w:r>
        <w:rPr>
          <w:rFonts w:asciiTheme="minorEastAsia" w:hAnsiTheme="minorEastAsia" w:cs="黑体"/>
          <w:color w:val="000000"/>
          <w:kern w:val="0"/>
          <w:sz w:val="32"/>
          <w:szCs w:val="32"/>
        </w:rPr>
        <w:t xml:space="preserve">2021 </w:t>
      </w:r>
      <w:r>
        <w:rPr>
          <w:rFonts w:asciiTheme="minorEastAsia" w:hAnsiTheme="minorEastAsia" w:cs="黑体" w:hint="eastAsia"/>
          <w:color w:val="000000"/>
          <w:kern w:val="0"/>
          <w:sz w:val="32"/>
          <w:szCs w:val="32"/>
        </w:rPr>
        <w:t>年度一般公共预算项目支出全面开展绩效自评，其中，</w:t>
      </w:r>
      <w:proofErr w:type="gramStart"/>
      <w:r>
        <w:rPr>
          <w:rFonts w:asciiTheme="minorEastAsia" w:hAnsiTheme="minorEastAsia" w:cs="黑体" w:hint="eastAsia"/>
          <w:color w:val="000000"/>
          <w:kern w:val="0"/>
          <w:sz w:val="32"/>
          <w:szCs w:val="32"/>
        </w:rPr>
        <w:t>一级项目</w:t>
      </w:r>
      <w:proofErr w:type="gramEnd"/>
      <w:r>
        <w:rPr>
          <w:rFonts w:asciiTheme="minorEastAsia" w:hAnsiTheme="minorEastAsia" w:cs="黑体" w:hint="eastAsia"/>
          <w:color w:val="000000"/>
          <w:kern w:val="0"/>
          <w:sz w:val="32"/>
          <w:szCs w:val="32"/>
        </w:rPr>
        <w:t>0个，二级项目2个，共涉及资金21.4万元，占一般公共预算项目支出总额的100</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。组织对</w:t>
      </w:r>
      <w:r>
        <w:rPr>
          <w:rFonts w:asciiTheme="minorEastAsia" w:hAnsiTheme="minorEastAsia" w:cs="黑体"/>
          <w:color w:val="000000"/>
          <w:kern w:val="0"/>
          <w:sz w:val="32"/>
          <w:szCs w:val="32"/>
        </w:rPr>
        <w:t>2021</w:t>
      </w:r>
      <w:r>
        <w:rPr>
          <w:rFonts w:asciiTheme="minorEastAsia" w:hAnsiTheme="minorEastAsia" w:cs="黑体" w:hint="eastAsia"/>
          <w:color w:val="000000"/>
          <w:kern w:val="0"/>
          <w:sz w:val="32"/>
          <w:szCs w:val="32"/>
        </w:rPr>
        <w:t>年度0个政府性基金预算项目支出开展绩效自评，共涉及资金0万元，占政府性基金预算项目支出总额的0</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。组织对</w:t>
      </w:r>
      <w:r>
        <w:rPr>
          <w:rFonts w:asciiTheme="minorEastAsia" w:hAnsiTheme="minorEastAsia" w:cs="黑体"/>
          <w:color w:val="000000"/>
          <w:kern w:val="0"/>
          <w:sz w:val="32"/>
          <w:szCs w:val="32"/>
        </w:rPr>
        <w:t xml:space="preserve">2021 </w:t>
      </w:r>
      <w:r>
        <w:rPr>
          <w:rFonts w:asciiTheme="minorEastAsia" w:hAnsiTheme="minorEastAsia" w:cs="黑体" w:hint="eastAsia"/>
          <w:color w:val="000000"/>
          <w:kern w:val="0"/>
          <w:sz w:val="32"/>
          <w:szCs w:val="32"/>
        </w:rPr>
        <w:t>年度0个国有资本经营预算项目支出开展绩效自评，共涉及资金0万元，占国有资本经营预算项目支出总额的0</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w:t>
      </w:r>
    </w:p>
    <w:p w:rsidR="00D40C22" w:rsidRDefault="003368AE">
      <w:pPr>
        <w:widowControl/>
        <w:spacing w:line="600" w:lineRule="exact"/>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组织对“人社局包干工作经费”“养老保险系统维护及代发工作经费”等2个项目开展了部门评价，涉及一般公共预算支出21.4万元，政府性基金预算支出0万元，国有资本经营预算支出0万元。从评价情况来看，严格按照专项资金管理办法，专款专用。</w:t>
      </w:r>
    </w:p>
    <w:p w:rsidR="00D40C22" w:rsidRDefault="003368AE">
      <w:pPr>
        <w:widowControl/>
        <w:spacing w:line="600" w:lineRule="exact"/>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组织对区养老和工伤保险服务中心开展整体支出绩效评价，涉及一般公共预算支出577.17万元，政府性基金预算支出0 万元。从评价情况来看，资金落实到位情况良好。</w:t>
      </w:r>
    </w:p>
    <w:p w:rsidR="00D40C22" w:rsidRDefault="003368AE" w:rsidP="003368AE">
      <w:pPr>
        <w:autoSpaceDE w:val="0"/>
        <w:autoSpaceDN w:val="0"/>
        <w:adjustRightInd w:val="0"/>
        <w:ind w:firstLineChars="200" w:firstLine="643"/>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（2）部门决算</w:t>
      </w:r>
      <w:proofErr w:type="gramStart"/>
      <w:r>
        <w:rPr>
          <w:rFonts w:asciiTheme="minorEastAsia" w:hAnsiTheme="minorEastAsia" w:cs="黑体" w:hint="eastAsia"/>
          <w:b/>
          <w:color w:val="000000"/>
          <w:kern w:val="0"/>
          <w:sz w:val="32"/>
          <w:szCs w:val="32"/>
        </w:rPr>
        <w:t>中项目</w:t>
      </w:r>
      <w:proofErr w:type="gramEnd"/>
      <w:r>
        <w:rPr>
          <w:rFonts w:asciiTheme="minorEastAsia" w:hAnsiTheme="minorEastAsia" w:cs="黑体" w:hint="eastAsia"/>
          <w:b/>
          <w:color w:val="000000"/>
          <w:kern w:val="0"/>
          <w:sz w:val="32"/>
          <w:szCs w:val="32"/>
        </w:rPr>
        <w:t>绩效自评结果。</w:t>
      </w:r>
    </w:p>
    <w:p w:rsidR="00D40C22" w:rsidRDefault="003368AE">
      <w:pPr>
        <w:widowControl/>
        <w:spacing w:line="600" w:lineRule="exact"/>
        <w:ind w:firstLineChars="200" w:firstLine="640"/>
        <w:jc w:val="left"/>
        <w:rPr>
          <w:rFonts w:asciiTheme="minorEastAsia" w:hAnsiTheme="minorEastAsia" w:cs="黑体"/>
          <w:color w:val="000000"/>
          <w:kern w:val="0"/>
          <w:sz w:val="32"/>
          <w:szCs w:val="32"/>
        </w:rPr>
      </w:pPr>
      <w:proofErr w:type="gramStart"/>
      <w:r>
        <w:rPr>
          <w:rFonts w:asciiTheme="minorEastAsia" w:hAnsiTheme="minorEastAsia" w:cs="黑体" w:hint="eastAsia"/>
          <w:color w:val="000000"/>
          <w:kern w:val="0"/>
          <w:sz w:val="32"/>
          <w:szCs w:val="32"/>
        </w:rPr>
        <w:t>人社局包干</w:t>
      </w:r>
      <w:proofErr w:type="gramEnd"/>
      <w:r>
        <w:rPr>
          <w:rFonts w:asciiTheme="minorEastAsia" w:hAnsiTheme="minorEastAsia" w:cs="黑体" w:hint="eastAsia"/>
          <w:color w:val="000000"/>
          <w:kern w:val="0"/>
          <w:sz w:val="32"/>
          <w:szCs w:val="32"/>
        </w:rPr>
        <w:t>工作经费项目绩效自评综述：根据年初设定的绩效目标，项目绩效自评得分为75分。项目全年预算数为15.5万元，执行数为11.4万元，完成预算的75</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。项目绩效目标完成情况：一是保证参保人员服务率100%；二是保证退休人员养老金按时足额发放。发现的主要问题及原因：</w:t>
      </w:r>
      <w:r>
        <w:rPr>
          <w:rFonts w:asciiTheme="minorEastAsia" w:hAnsiTheme="minorEastAsia" w:cs="黑体" w:hint="eastAsia"/>
          <w:color w:val="000000"/>
          <w:kern w:val="0"/>
          <w:sz w:val="32"/>
          <w:szCs w:val="32"/>
        </w:rPr>
        <w:lastRenderedPageBreak/>
        <w:t>预算执行有偏差。下一步改进措施：合理调整、纠正预算执行偏差，切实提高部门预算收支管理水平。</w:t>
      </w:r>
    </w:p>
    <w:p w:rsidR="00D40C22" w:rsidRDefault="003368AE">
      <w:pPr>
        <w:widowControl/>
        <w:spacing w:line="600" w:lineRule="exact"/>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养老保险系统维护及代发工作经费项目绩效自评综述：根据年初设定的绩效目标，项目绩效自评得分为100分。项目全年预算数为10万元，执行数为10万元，完成预算的100</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项目绩效目标完成情况：一是确保城乡居保系统、企业养老保险系统、机关养老保险系统的正常运行及财务应用软件、终端设备的维护；二是确保代发项目按时代发到位。发现的主要问题及原因：无，下一步改进措施：</w:t>
      </w:r>
      <w:r>
        <w:rPr>
          <w:rFonts w:ascii="仿宋_GB2312" w:eastAsia="仿宋_GB2312" w:hAnsi="宋体" w:hint="eastAsia"/>
          <w:sz w:val="32"/>
          <w:szCs w:val="32"/>
        </w:rPr>
        <w:t>无。</w:t>
      </w:r>
    </w:p>
    <w:p w:rsidR="00D40C22" w:rsidRDefault="003368AE" w:rsidP="003368AE">
      <w:pPr>
        <w:autoSpaceDE w:val="0"/>
        <w:autoSpaceDN w:val="0"/>
        <w:adjustRightInd w:val="0"/>
        <w:ind w:firstLineChars="200" w:firstLine="643"/>
        <w:jc w:val="left"/>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w:t>
      </w:r>
      <w:r>
        <w:rPr>
          <w:rFonts w:asciiTheme="minorEastAsia" w:hAnsiTheme="minorEastAsia" w:cs="黑体"/>
          <w:b/>
          <w:color w:val="000000"/>
          <w:kern w:val="0"/>
          <w:sz w:val="32"/>
          <w:szCs w:val="32"/>
        </w:rPr>
        <w:t>3</w:t>
      </w:r>
      <w:r>
        <w:rPr>
          <w:rFonts w:asciiTheme="minorEastAsia" w:hAnsiTheme="minorEastAsia" w:cs="黑体" w:hint="eastAsia"/>
          <w:b/>
          <w:color w:val="000000"/>
          <w:kern w:val="0"/>
          <w:sz w:val="32"/>
          <w:szCs w:val="32"/>
        </w:rPr>
        <w:t>）部门评价项目绩效评价结果。</w:t>
      </w:r>
    </w:p>
    <w:p w:rsidR="00D40C22" w:rsidRDefault="003368AE">
      <w:pPr>
        <w:pStyle w:val="Default"/>
        <w:ind w:firstLineChars="300" w:firstLine="960"/>
        <w:jc w:val="both"/>
        <w:rPr>
          <w:sz w:val="72"/>
          <w:szCs w:val="72"/>
        </w:rPr>
      </w:pPr>
      <w:r>
        <w:rPr>
          <w:rFonts w:ascii="仿宋_GB2312" w:eastAsia="仿宋_GB2312" w:hAnsi="宋体" w:hint="eastAsia"/>
          <w:sz w:val="32"/>
          <w:szCs w:val="32"/>
        </w:rPr>
        <w:t>2个项目已单独在绩效评价中公开。</w:t>
      </w:r>
    </w:p>
    <w:p w:rsidR="00D40C22" w:rsidRDefault="00D40C22">
      <w:pPr>
        <w:pStyle w:val="Default"/>
        <w:jc w:val="center"/>
        <w:rPr>
          <w:sz w:val="72"/>
          <w:szCs w:val="72"/>
        </w:rPr>
      </w:pPr>
    </w:p>
    <w:p w:rsidR="00D40C22" w:rsidRDefault="00D40C22">
      <w:pPr>
        <w:pStyle w:val="Default"/>
        <w:jc w:val="center"/>
        <w:rPr>
          <w:sz w:val="72"/>
          <w:szCs w:val="72"/>
        </w:rPr>
      </w:pPr>
    </w:p>
    <w:p w:rsidR="00D40C22" w:rsidRDefault="00D40C22">
      <w:pPr>
        <w:pStyle w:val="Default"/>
        <w:jc w:val="center"/>
        <w:rPr>
          <w:sz w:val="72"/>
          <w:szCs w:val="72"/>
        </w:rPr>
      </w:pPr>
    </w:p>
    <w:p w:rsidR="00D40C22" w:rsidRDefault="00D40C22">
      <w:pPr>
        <w:pStyle w:val="Default"/>
        <w:jc w:val="center"/>
        <w:rPr>
          <w:sz w:val="72"/>
          <w:szCs w:val="72"/>
        </w:rPr>
      </w:pPr>
    </w:p>
    <w:p w:rsidR="00D40C22" w:rsidRDefault="00D40C22">
      <w:pPr>
        <w:pStyle w:val="Default"/>
        <w:rPr>
          <w:sz w:val="72"/>
          <w:szCs w:val="72"/>
        </w:rPr>
      </w:pPr>
    </w:p>
    <w:p w:rsidR="00D40C22" w:rsidRDefault="00D40C22">
      <w:pPr>
        <w:pStyle w:val="Default"/>
        <w:rPr>
          <w:sz w:val="72"/>
          <w:szCs w:val="72"/>
        </w:rPr>
      </w:pPr>
    </w:p>
    <w:p w:rsidR="00D40C22" w:rsidRDefault="00D40C22">
      <w:pPr>
        <w:pStyle w:val="Default"/>
        <w:jc w:val="center"/>
        <w:rPr>
          <w:sz w:val="72"/>
          <w:szCs w:val="72"/>
        </w:rPr>
      </w:pPr>
    </w:p>
    <w:p w:rsidR="00D40C22" w:rsidRDefault="00D40C22">
      <w:pPr>
        <w:pStyle w:val="Default"/>
        <w:jc w:val="center"/>
        <w:rPr>
          <w:sz w:val="72"/>
          <w:szCs w:val="72"/>
        </w:rPr>
      </w:pPr>
    </w:p>
    <w:p w:rsidR="00D40C22" w:rsidRDefault="00D40C22">
      <w:pPr>
        <w:pStyle w:val="Default"/>
        <w:jc w:val="center"/>
        <w:rPr>
          <w:sz w:val="72"/>
          <w:szCs w:val="72"/>
        </w:rPr>
      </w:pPr>
    </w:p>
    <w:p w:rsidR="00D40C22" w:rsidRDefault="00D40C22">
      <w:pPr>
        <w:pStyle w:val="Default"/>
        <w:jc w:val="center"/>
        <w:rPr>
          <w:sz w:val="72"/>
          <w:szCs w:val="72"/>
        </w:rPr>
      </w:pPr>
    </w:p>
    <w:p w:rsidR="00D40C22" w:rsidRDefault="00D40C22">
      <w:pPr>
        <w:pStyle w:val="Default"/>
        <w:jc w:val="center"/>
        <w:rPr>
          <w:sz w:val="72"/>
          <w:szCs w:val="72"/>
        </w:rPr>
      </w:pPr>
    </w:p>
    <w:p w:rsidR="00D40C22" w:rsidRDefault="00D40C22">
      <w:pPr>
        <w:pStyle w:val="Default"/>
        <w:jc w:val="center"/>
        <w:rPr>
          <w:sz w:val="72"/>
          <w:szCs w:val="72"/>
        </w:rPr>
      </w:pPr>
    </w:p>
    <w:p w:rsidR="00D40C22" w:rsidRDefault="00D40C22">
      <w:pPr>
        <w:pStyle w:val="Default"/>
        <w:jc w:val="center"/>
        <w:rPr>
          <w:sz w:val="72"/>
          <w:szCs w:val="72"/>
        </w:rPr>
      </w:pPr>
    </w:p>
    <w:p w:rsidR="00D40C22" w:rsidRDefault="00D40C22">
      <w:pPr>
        <w:pStyle w:val="Default"/>
        <w:jc w:val="center"/>
        <w:rPr>
          <w:sz w:val="72"/>
          <w:szCs w:val="72"/>
        </w:rPr>
      </w:pPr>
    </w:p>
    <w:p w:rsidR="00D40C22" w:rsidRDefault="003368AE">
      <w:pPr>
        <w:pStyle w:val="Default"/>
        <w:jc w:val="center"/>
        <w:rPr>
          <w:sz w:val="72"/>
          <w:szCs w:val="72"/>
        </w:rPr>
      </w:pPr>
      <w:r>
        <w:rPr>
          <w:rFonts w:hint="eastAsia"/>
          <w:sz w:val="72"/>
          <w:szCs w:val="72"/>
        </w:rPr>
        <w:t>第四部分</w:t>
      </w:r>
    </w:p>
    <w:p w:rsidR="00D40C22" w:rsidRDefault="00D40C22">
      <w:pPr>
        <w:jc w:val="center"/>
        <w:rPr>
          <w:rFonts w:ascii="黑体" w:eastAsia="黑体" w:cs="黑体"/>
          <w:color w:val="000000"/>
          <w:kern w:val="0"/>
          <w:sz w:val="70"/>
          <w:szCs w:val="70"/>
        </w:rPr>
      </w:pPr>
    </w:p>
    <w:p w:rsidR="00D40C22" w:rsidRDefault="003368AE">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D40C22" w:rsidRDefault="003368AE">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D40C22" w:rsidRDefault="00D40C22">
      <w:pPr>
        <w:ind w:firstLineChars="200" w:firstLine="640"/>
        <w:jc w:val="left"/>
        <w:rPr>
          <w:rFonts w:asciiTheme="minorEastAsia" w:hAnsiTheme="minorEastAsia" w:cs="黑体"/>
          <w:color w:val="000000"/>
          <w:kern w:val="0"/>
          <w:sz w:val="32"/>
          <w:szCs w:val="32"/>
        </w:rPr>
      </w:pPr>
    </w:p>
    <w:p w:rsidR="00D40C22" w:rsidRDefault="003368AE">
      <w:pPr>
        <w:widowControl/>
        <w:ind w:firstLineChars="200" w:firstLine="640"/>
        <w:jc w:val="left"/>
        <w:rPr>
          <w:rFonts w:ascii="宋体" w:hAnsi="宋体" w:cs="黑体"/>
          <w:color w:val="000000"/>
          <w:kern w:val="0"/>
          <w:sz w:val="32"/>
          <w:szCs w:val="32"/>
        </w:rPr>
      </w:pPr>
      <w:r>
        <w:rPr>
          <w:rFonts w:ascii="宋体" w:hAnsi="宋体" w:cs="黑体" w:hint="eastAsia"/>
          <w:color w:val="000000"/>
          <w:kern w:val="0"/>
          <w:sz w:val="32"/>
          <w:szCs w:val="32"/>
        </w:rPr>
        <w:t xml:space="preserve">一、财政拨款收入：指财政当年拨付的资金。 </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三、经营收入：指事业单位在专业业务活动及其辅助活动之外开展非独立核算经营活动取得的收入。如：中国财政杂志社广告收入等。 </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四、其他收入：指除上述“财政拨款收入”、“事业收入”、“经营收入”等以外的收入。主要是按规定动用的售房收入、存款利息收入等。 </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六、年初结转和结余：指以前年度尚未完成、结转到本年按有关规定继续使用的资金。 </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七、结余分配：指事业单位按规定提取的职工福利基金、事业基金和缴纳的所得税，以及建设单位按规定应交回的基本建设竣工项目结余资金。</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八、年末结转和结余：指本年度或以前年度预算安排、因客观条件发生变化无法按原计划实施，需要延迟到以后年度按有关规定继续使用的资金。 </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九、基本支出：指为保障机构正常运转、完成日常工作任务而发生的人员支出和公用支出。 </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十、项目支出：指在基本支出之外为完成特定行政任务和事业发展目标所发生的支出。 </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lastRenderedPageBreak/>
        <w:t xml:space="preserve">十一、经营支出：指事业单位在专业业务活动及其辅助活动之外开展非独立核算经营活动发生的支出。 </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十二、“三公”经费：纳入中央财政预决算管理的“三公”经费，是指中央部门用财政拨款安排的因公出国（境）费、公务用车购置及运行费和公务接待费。其中，因公出国（境）</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单位公务出国（境）的国际旅费、国外城市间交通费、住宿费、伙食费、培训费、公杂费等支出；公务用车购置及运行</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单位公务用车车辆购置支出（</w:t>
      </w:r>
      <w:proofErr w:type="gramStart"/>
      <w:r>
        <w:rPr>
          <w:rFonts w:ascii="宋体" w:hAnsi="宋体" w:cs="黑体" w:hint="eastAsia"/>
          <w:color w:val="000000"/>
          <w:kern w:val="0"/>
          <w:sz w:val="32"/>
          <w:szCs w:val="32"/>
        </w:rPr>
        <w:t>含车辆</w:t>
      </w:r>
      <w:proofErr w:type="gramEnd"/>
      <w:r>
        <w:rPr>
          <w:rFonts w:ascii="宋体" w:hAnsi="宋体" w:cs="黑体" w:hint="eastAsia"/>
          <w:color w:val="000000"/>
          <w:kern w:val="0"/>
          <w:sz w:val="32"/>
          <w:szCs w:val="32"/>
        </w:rPr>
        <w:t>购置税）及租用费、燃料费、维修费、过路过桥费、保险费、安全奖励费用等支出；公务接待</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 xml:space="preserve">单位按规定开支的各类公务接待（含外宾接待）支出。 </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D40C22" w:rsidRDefault="00D40C22">
      <w:pPr>
        <w:pStyle w:val="Default"/>
        <w:jc w:val="center"/>
        <w:rPr>
          <w:sz w:val="72"/>
          <w:szCs w:val="72"/>
        </w:rPr>
      </w:pPr>
    </w:p>
    <w:p w:rsidR="00D40C22" w:rsidRDefault="00D40C22">
      <w:pPr>
        <w:pStyle w:val="Default"/>
        <w:jc w:val="center"/>
        <w:rPr>
          <w:sz w:val="72"/>
          <w:szCs w:val="72"/>
        </w:rPr>
      </w:pPr>
    </w:p>
    <w:p w:rsidR="00D40C22" w:rsidRDefault="00D40C22">
      <w:pPr>
        <w:pStyle w:val="Default"/>
        <w:jc w:val="center"/>
        <w:rPr>
          <w:sz w:val="72"/>
          <w:szCs w:val="72"/>
        </w:rPr>
      </w:pPr>
    </w:p>
    <w:p w:rsidR="00D40C22" w:rsidRDefault="00D40C22">
      <w:pPr>
        <w:pStyle w:val="Default"/>
        <w:jc w:val="center"/>
        <w:rPr>
          <w:sz w:val="72"/>
          <w:szCs w:val="72"/>
        </w:rPr>
      </w:pPr>
    </w:p>
    <w:p w:rsidR="00D40C22" w:rsidRDefault="00D40C22">
      <w:pPr>
        <w:pStyle w:val="Default"/>
        <w:jc w:val="center"/>
        <w:rPr>
          <w:sz w:val="72"/>
          <w:szCs w:val="72"/>
        </w:rPr>
      </w:pPr>
    </w:p>
    <w:p w:rsidR="00D40C22" w:rsidRDefault="00D40C22">
      <w:pPr>
        <w:pStyle w:val="Default"/>
        <w:jc w:val="center"/>
        <w:rPr>
          <w:sz w:val="72"/>
          <w:szCs w:val="72"/>
        </w:rPr>
      </w:pPr>
    </w:p>
    <w:p w:rsidR="00D40C22" w:rsidRDefault="00D40C22">
      <w:pPr>
        <w:pStyle w:val="Default"/>
        <w:jc w:val="center"/>
        <w:rPr>
          <w:sz w:val="72"/>
          <w:szCs w:val="72"/>
        </w:rPr>
      </w:pPr>
    </w:p>
    <w:p w:rsidR="00D40C22" w:rsidRDefault="00D40C22">
      <w:pPr>
        <w:pStyle w:val="Default"/>
        <w:jc w:val="center"/>
        <w:rPr>
          <w:sz w:val="72"/>
          <w:szCs w:val="72"/>
        </w:rPr>
      </w:pPr>
    </w:p>
    <w:p w:rsidR="00D40C22" w:rsidRDefault="00D40C22">
      <w:pPr>
        <w:pStyle w:val="Default"/>
        <w:jc w:val="center"/>
        <w:rPr>
          <w:sz w:val="72"/>
          <w:szCs w:val="72"/>
        </w:rPr>
      </w:pPr>
    </w:p>
    <w:p w:rsidR="00D40C22" w:rsidRDefault="00D40C22">
      <w:pPr>
        <w:pStyle w:val="Default"/>
        <w:jc w:val="center"/>
        <w:rPr>
          <w:sz w:val="72"/>
          <w:szCs w:val="72"/>
        </w:rPr>
      </w:pPr>
    </w:p>
    <w:p w:rsidR="00D40C22" w:rsidRDefault="00D40C22">
      <w:pPr>
        <w:pStyle w:val="Default"/>
        <w:jc w:val="center"/>
        <w:rPr>
          <w:sz w:val="72"/>
          <w:szCs w:val="72"/>
        </w:rPr>
      </w:pPr>
    </w:p>
    <w:p w:rsidR="00D40C22" w:rsidRDefault="00D40C22">
      <w:pPr>
        <w:pStyle w:val="Default"/>
        <w:jc w:val="center"/>
        <w:rPr>
          <w:sz w:val="72"/>
          <w:szCs w:val="72"/>
        </w:rPr>
      </w:pPr>
    </w:p>
    <w:p w:rsidR="00D40C22" w:rsidRDefault="00D40C22">
      <w:pPr>
        <w:pStyle w:val="Default"/>
        <w:jc w:val="center"/>
        <w:rPr>
          <w:sz w:val="72"/>
          <w:szCs w:val="72"/>
        </w:rPr>
      </w:pPr>
    </w:p>
    <w:p w:rsidR="00D40C22" w:rsidRDefault="00D40C22">
      <w:pPr>
        <w:pStyle w:val="Default"/>
        <w:jc w:val="center"/>
        <w:rPr>
          <w:sz w:val="72"/>
          <w:szCs w:val="72"/>
        </w:rPr>
      </w:pPr>
    </w:p>
    <w:p w:rsidR="00D40C22" w:rsidRDefault="003368AE">
      <w:pPr>
        <w:pStyle w:val="Default"/>
        <w:jc w:val="center"/>
        <w:rPr>
          <w:sz w:val="72"/>
          <w:szCs w:val="72"/>
        </w:rPr>
      </w:pPr>
      <w:r>
        <w:rPr>
          <w:rFonts w:hint="eastAsia"/>
          <w:sz w:val="72"/>
          <w:szCs w:val="72"/>
        </w:rPr>
        <w:t>第五部分</w:t>
      </w:r>
    </w:p>
    <w:p w:rsidR="00D40C22" w:rsidRDefault="00D40C22">
      <w:pPr>
        <w:jc w:val="center"/>
        <w:rPr>
          <w:rFonts w:ascii="黑体" w:eastAsia="黑体" w:cs="黑体"/>
          <w:color w:val="000000"/>
          <w:kern w:val="0"/>
          <w:sz w:val="70"/>
          <w:szCs w:val="70"/>
        </w:rPr>
      </w:pPr>
    </w:p>
    <w:p w:rsidR="00D40C22" w:rsidRDefault="003368AE">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D40C22" w:rsidRDefault="003368AE">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D40C22" w:rsidRDefault="00D40C22">
      <w:pPr>
        <w:jc w:val="center"/>
        <w:rPr>
          <w:rFonts w:ascii="黑体" w:eastAsia="黑体" w:cs="黑体"/>
          <w:color w:val="000000"/>
          <w:kern w:val="0"/>
          <w:sz w:val="70"/>
          <w:szCs w:val="70"/>
        </w:rPr>
      </w:pPr>
    </w:p>
    <w:p w:rsidR="00D40C22" w:rsidRDefault="003368AE" w:rsidP="003368AE">
      <w:pPr>
        <w:ind w:firstLineChars="200" w:firstLine="64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2021年度部门整体支出绩效评价报告</w:t>
      </w:r>
    </w:p>
    <w:p w:rsidR="00D40C22" w:rsidRDefault="003368AE">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一、部门概况</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（一）部门基本情况（包括部门的在职人员情况、机构设置、主要职能及重点工作计划等）。</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1、单位机构设置：根据省委关于深化事业单位改革试点工作有关要求和《中共怀化市委机构编制委员会印发〈怀化市鹤城区深化事业单位改革试点实施方案〉的通知》（</w:t>
      </w:r>
      <w:proofErr w:type="gramStart"/>
      <w:r>
        <w:rPr>
          <w:rFonts w:ascii="宋体" w:hAnsi="宋体" w:cs="黑体" w:hint="eastAsia"/>
          <w:color w:val="000000"/>
          <w:kern w:val="0"/>
          <w:sz w:val="32"/>
          <w:szCs w:val="32"/>
        </w:rPr>
        <w:t>怀编〔2021〕</w:t>
      </w:r>
      <w:proofErr w:type="gramEnd"/>
      <w:r>
        <w:rPr>
          <w:rFonts w:ascii="宋体" w:hAnsi="宋体" w:cs="黑体" w:hint="eastAsia"/>
          <w:color w:val="000000"/>
          <w:kern w:val="0"/>
          <w:sz w:val="32"/>
          <w:szCs w:val="32"/>
        </w:rPr>
        <w:t>14号）精神，设立怀化市鹤城区养老和工伤保险服务中心（以下简称区养老和工伤保险服务中心）。区养老和工伤保险服务中心为怀化市鹤城区人力资源和社会保障局管理的公益一类事业单位，机构规格相当于副科级。内设10个内设机构，分别为综合部，财务和基金管理部，权益部，待遇部，职业年金部，工伤保险部，稽核部，信息（档案）部，统筹部，城乡居民养老保险部。</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2、重点工作计划：（一）承担区本级养老保险、工伤保险经办相关服务工作。</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（二）组织实施区本级养老保险、工伤保险基金风险防控工作；承担区本级养老保险、工伤保险稽核工作。</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（三）参与区本级养老保险、工伤保险信息化建设和管理；承担区本级养老保险、工伤保险数据信息资源的集中管理和分析应用。</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四）承办企业职工基本养老保险省级统筹相关的区本级经办工作；承办企业职工基本养老保险中央调剂金、工伤保险省级调剂金制度相关的区本级经办工作；承办区本级城乡居民养老保险配套资金计划和特殊人群政府兜底代缴经办工作。</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（五）承担区本级养老保险、工伤保险参保登记；承担区本级养老保</w:t>
      </w:r>
      <w:r>
        <w:rPr>
          <w:rFonts w:ascii="宋体" w:hAnsi="宋体" w:cs="黑体" w:hint="eastAsia"/>
          <w:color w:val="000000"/>
          <w:kern w:val="0"/>
          <w:sz w:val="32"/>
          <w:szCs w:val="32"/>
        </w:rPr>
        <w:lastRenderedPageBreak/>
        <w:t>险参保对象的个人账户管理和权益记录。</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（六）参与区本级工伤事故调查；承担区本级工伤保险待遇支付（</w:t>
      </w:r>
      <w:proofErr w:type="gramStart"/>
      <w:r>
        <w:rPr>
          <w:rFonts w:ascii="宋体" w:hAnsi="宋体" w:cs="黑体" w:hint="eastAsia"/>
          <w:color w:val="000000"/>
          <w:kern w:val="0"/>
          <w:sz w:val="32"/>
          <w:szCs w:val="32"/>
        </w:rPr>
        <w:t>含老工伤</w:t>
      </w:r>
      <w:proofErr w:type="gramEnd"/>
      <w:r>
        <w:rPr>
          <w:rFonts w:ascii="宋体" w:hAnsi="宋体" w:cs="黑体" w:hint="eastAsia"/>
          <w:color w:val="000000"/>
          <w:kern w:val="0"/>
          <w:sz w:val="32"/>
          <w:szCs w:val="32"/>
        </w:rPr>
        <w:t>人员）。</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（七）承担区本级社会养老保险、工伤保险待遇领取资格审核、待遇核定以及待遇社会化发放工作。</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（八）承担区本级职业年金的归集、经办和待遇核定工作。</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（九）承担编制、汇总、上报区本级养老保险、工伤保险基金预决算、财务和统计报表。</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（十）承担向社会保险行政部门提出调整行业类别工伤保险费率的建议；承担为用人单位、工伤职工及其近亲属提供工伤保险待遇政策咨询服务。</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3、在职人员情况：在编在岗人员共计42人，退休人员8人。</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（二）部门整体支出规模、使用方向和主要内容、涉及范围等。</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2021年养老和工伤保险服务中心的总支出为577.17万元，其中基本支出555.77万元，主要使用内容是人员工资，社会保障缴费，以及保障记挂你</w:t>
      </w:r>
      <w:proofErr w:type="gramStart"/>
      <w:r>
        <w:rPr>
          <w:rFonts w:ascii="宋体" w:hAnsi="宋体" w:cs="黑体" w:hint="eastAsia"/>
          <w:color w:val="000000"/>
          <w:kern w:val="0"/>
          <w:sz w:val="32"/>
          <w:szCs w:val="32"/>
        </w:rPr>
        <w:t>正产个运转</w:t>
      </w:r>
      <w:proofErr w:type="gramEnd"/>
      <w:r>
        <w:rPr>
          <w:rFonts w:ascii="宋体" w:hAnsi="宋体" w:cs="黑体" w:hint="eastAsia"/>
          <w:color w:val="000000"/>
          <w:kern w:val="0"/>
          <w:sz w:val="32"/>
          <w:szCs w:val="32"/>
        </w:rPr>
        <w:t>、完成日常工作任务而发生的商品和服务支出；项目支出21.4万元，为养老保险系统维护及代发工作经费，三个养老保险（机关，企业，农村）业务及财务软件，报表软件的日常维护及使用。</w:t>
      </w:r>
    </w:p>
    <w:p w:rsidR="00D40C22" w:rsidRDefault="003368AE">
      <w:pPr>
        <w:widowControl/>
        <w:shd w:val="clear" w:color="auto" w:fill="FFFFFF"/>
        <w:spacing w:line="600" w:lineRule="atLeast"/>
        <w:rPr>
          <w:rFonts w:ascii="楷体" w:eastAsia="楷体" w:hAnsi="楷体"/>
          <w:b/>
          <w:spacing w:val="-2"/>
          <w:sz w:val="32"/>
          <w:szCs w:val="21"/>
        </w:rPr>
      </w:pPr>
      <w:r>
        <w:rPr>
          <w:rFonts w:ascii="楷体" w:eastAsia="楷体" w:hAnsi="楷体"/>
          <w:b/>
          <w:spacing w:val="-2"/>
          <w:sz w:val="32"/>
          <w:szCs w:val="32"/>
        </w:rPr>
        <w:t>二、部门整体支出管理及使用情况</w:t>
      </w:r>
    </w:p>
    <w:p w:rsidR="00D40C22" w:rsidRDefault="003368AE">
      <w:pPr>
        <w:widowControl/>
        <w:shd w:val="clear" w:color="auto" w:fill="FFFFFF"/>
        <w:spacing w:line="600" w:lineRule="atLeast"/>
        <w:ind w:firstLine="643"/>
        <w:rPr>
          <w:rFonts w:ascii="仿宋" w:eastAsia="仿宋" w:hAnsi="仿宋"/>
          <w:b/>
          <w:spacing w:val="-2"/>
          <w:sz w:val="32"/>
          <w:szCs w:val="21"/>
        </w:rPr>
      </w:pPr>
      <w:r>
        <w:rPr>
          <w:rFonts w:ascii="仿宋" w:eastAsia="仿宋" w:hAnsi="仿宋"/>
          <w:b/>
          <w:spacing w:val="-2"/>
          <w:sz w:val="32"/>
          <w:szCs w:val="32"/>
        </w:rPr>
        <w:t>（一）基本支出</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2021年度财政拨款基本支出555.77万元，其中：人员经费493.02万元，主要包括基本工资、津贴补贴、奖金、伙食补助费、绩效工资、机关事业单位基本养老保险缴费、职工基本医疗保险缴费、住房公积金、其他工资福利支出、生活补助、奖励金、其他对个人和补助；公用经费62.75</w:t>
      </w:r>
      <w:r>
        <w:rPr>
          <w:rFonts w:ascii="宋体" w:hAnsi="宋体" w:cs="黑体" w:hint="eastAsia"/>
          <w:color w:val="000000"/>
          <w:kern w:val="0"/>
          <w:sz w:val="32"/>
          <w:szCs w:val="32"/>
        </w:rPr>
        <w:lastRenderedPageBreak/>
        <w:t>万元，主要包括办公费、印刷费、邮电费、差旅费、维护费、租赁费、会议费、公务接待费、劳务费、工会经费、其他交通费用、其他商品和服务支出。</w:t>
      </w:r>
    </w:p>
    <w:p w:rsidR="00D40C22" w:rsidRDefault="003368AE">
      <w:pPr>
        <w:widowControl/>
        <w:shd w:val="clear" w:color="auto" w:fill="FFFFFF"/>
        <w:spacing w:line="600" w:lineRule="atLeast"/>
        <w:ind w:firstLine="643"/>
        <w:rPr>
          <w:rFonts w:ascii="楷体" w:eastAsia="楷体" w:hAnsi="楷体"/>
          <w:b/>
          <w:spacing w:val="-2"/>
          <w:sz w:val="32"/>
          <w:szCs w:val="21"/>
        </w:rPr>
      </w:pPr>
      <w:r>
        <w:rPr>
          <w:rFonts w:ascii="楷体" w:eastAsia="楷体" w:hAnsi="楷体"/>
          <w:b/>
          <w:spacing w:val="-2"/>
          <w:sz w:val="32"/>
          <w:szCs w:val="32"/>
        </w:rPr>
        <w:t>（二）专项支出</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两方面：一是2021年度专项资金安排和使用管理情况，2021年安排</w:t>
      </w:r>
      <w:proofErr w:type="gramStart"/>
      <w:r>
        <w:rPr>
          <w:rFonts w:ascii="宋体" w:hAnsi="宋体" w:cs="黑体" w:hint="eastAsia"/>
          <w:color w:val="000000"/>
          <w:kern w:val="0"/>
          <w:sz w:val="32"/>
          <w:szCs w:val="32"/>
        </w:rPr>
        <w:t>了人社包干</w:t>
      </w:r>
      <w:proofErr w:type="gramEnd"/>
      <w:r>
        <w:rPr>
          <w:rFonts w:ascii="宋体" w:hAnsi="宋体" w:cs="黑体" w:hint="eastAsia"/>
          <w:color w:val="000000"/>
          <w:kern w:val="0"/>
          <w:sz w:val="32"/>
          <w:szCs w:val="32"/>
        </w:rPr>
        <w:t>工作经费11.4万元。此项工作经费是因社保工作量大、线长面广、发放管理及稽核管理工作任务艰巨，为确保社保工作的顺利开展，经领导研究同意安排的工作经费，此项经费在2021年用于补足公用经费开支中的办公费、印刷费、差旅费、其他商品和服务支出等。另2021年还安排了养老保险系统维护及代发工作经费10万元。此项经费是为了确保城乡居保系统、企业养老保险系统、机关养老保险系统的正常运行及财务应用软件、终端设备的维护，和保障日常网络的正常运转，以及12个代发项目在系统里的正常代发。此项经费在2021年用于补足公用经费开支中的办公费、维护费、其他商品和服务支出等。二是除专项资金以外的其他项目支出情况。无。</w:t>
      </w:r>
    </w:p>
    <w:p w:rsidR="00D40C22" w:rsidRDefault="003368AE">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三、部门专项组织实施情况</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各专项项目资金严格按照专项资金管理办法，专款专用。</w:t>
      </w:r>
    </w:p>
    <w:p w:rsidR="00D40C22" w:rsidRDefault="003368AE">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四、资产管理情况</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按要求编制资产月报、资产年报，按时上报。固定资产要做到合理使用，管理完善。在资产管理方面严格按照国家有关规定执行，做到资产账</w:t>
      </w:r>
      <w:proofErr w:type="gramStart"/>
      <w:r>
        <w:rPr>
          <w:rFonts w:ascii="宋体" w:hAnsi="宋体" w:cs="黑体" w:hint="eastAsia"/>
          <w:color w:val="000000"/>
          <w:kern w:val="0"/>
          <w:sz w:val="32"/>
          <w:szCs w:val="32"/>
        </w:rPr>
        <w:t>账</w:t>
      </w:r>
      <w:proofErr w:type="gramEnd"/>
      <w:r>
        <w:rPr>
          <w:rFonts w:ascii="宋体" w:hAnsi="宋体" w:cs="黑体" w:hint="eastAsia"/>
          <w:color w:val="000000"/>
          <w:kern w:val="0"/>
          <w:sz w:val="32"/>
          <w:szCs w:val="32"/>
        </w:rPr>
        <w:t>相符、账表相符、账证相符。</w:t>
      </w:r>
    </w:p>
    <w:p w:rsidR="00D40C22" w:rsidRDefault="003368AE">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五、部门整体支出绩效情况</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针对当前社会保障难度大的工作实际，一是以“争优创优”为动力，全面推进中心工作。采取领导干部身先士卒带好头、党员干部率先垂范作</w:t>
      </w:r>
      <w:r>
        <w:rPr>
          <w:rFonts w:ascii="宋体" w:hAnsi="宋体" w:cs="黑体" w:hint="eastAsia"/>
          <w:color w:val="000000"/>
          <w:kern w:val="0"/>
          <w:sz w:val="32"/>
          <w:szCs w:val="32"/>
        </w:rPr>
        <w:lastRenderedPageBreak/>
        <w:t>表率的措施，有效形成整体合力，特别是在服务环境中，按照“一站式”服务模式，不断优化参保服务，加大首问责任制、服务承诺制、一次性告知制等制度的执行力度,进一步简化程序,优化工作流程,提高服务水平，有效地提高了工作效率和服务水平，使群众满意度稳步提升。二是以创新手段为基础，强化目标为重点，全面推进社保工作纵深发展,下大力把好事办好、实事办实。针对养老保险工作难度大、困难多的实际，坚持实现部门密切配合，借各方之力，努力实现上下联动，确保养老保险工作的整体推进。坚持从理顺机制入手，注重宣传与管理并进，协调与稽核结合，确保了养老保险的足额发放。三是以强化内控为突破，全面确保基金安全规范运行。确立基金高压管理的理念，注重加强基金的监督管理，确保基金安全规范运行。</w:t>
      </w:r>
    </w:p>
    <w:p w:rsidR="00D40C22" w:rsidRDefault="003368AE">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六、存在的主要问题</w:t>
      </w:r>
    </w:p>
    <w:p w:rsidR="00D40C22" w:rsidRDefault="003368AE">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存在主要问题：对新的财务知识掌握不全面。在今后的工作中：1、应多加强业务培训，积极学习新的财务知识和财经法规，不断提高财务人员工作能力和水平。2、应进一步强化绩效管理，切实提高资金使用安全性、规范性、有效性。</w:t>
      </w:r>
    </w:p>
    <w:p w:rsidR="00D40C22" w:rsidRDefault="003368AE">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七、改进措施和有关建议</w:t>
      </w:r>
    </w:p>
    <w:p w:rsidR="00D40C22" w:rsidRDefault="003368AE">
      <w:pPr>
        <w:widowControl/>
        <w:spacing w:line="600" w:lineRule="exact"/>
        <w:ind w:firstLineChars="200" w:firstLine="640"/>
        <w:jc w:val="left"/>
        <w:rPr>
          <w:rFonts w:eastAsia="黑体"/>
          <w:sz w:val="32"/>
          <w:szCs w:val="32"/>
        </w:rPr>
      </w:pPr>
      <w:r>
        <w:rPr>
          <w:rFonts w:ascii="宋体" w:hAnsi="宋体" w:cs="黑体" w:hint="eastAsia"/>
          <w:color w:val="000000"/>
          <w:kern w:val="0"/>
          <w:sz w:val="32"/>
          <w:szCs w:val="32"/>
        </w:rPr>
        <w:t>加强新《预算法》《会计制度》等学习培训，规范部门预算收支核算，一是制定和完善基本支出、项目支出等各项支出标准，严格按项目和进度执行预算，增强预算的约束力和严肃性。二是落实预算执行分析，及时了解预算执行差异，合理调整、纠正预算执行偏差，切实提高部门预算收支管理水平。</w:t>
      </w:r>
    </w:p>
    <w:p w:rsidR="00D40C22" w:rsidRDefault="00D40C22"/>
    <w:p w:rsidR="00D40C22" w:rsidRDefault="00D40C22">
      <w:pPr>
        <w:ind w:firstLineChars="200" w:firstLine="640"/>
        <w:jc w:val="left"/>
        <w:rPr>
          <w:rFonts w:asciiTheme="minorEastAsia" w:hAnsiTheme="minorEastAsia" w:cs="黑体"/>
          <w:color w:val="000000"/>
          <w:kern w:val="0"/>
          <w:sz w:val="32"/>
          <w:szCs w:val="32"/>
        </w:rPr>
      </w:pPr>
    </w:p>
    <w:sectPr w:rsidR="00D40C22">
      <w:pgSz w:w="11906" w:h="16838"/>
      <w:pgMar w:top="720" w:right="720" w:bottom="720" w:left="720" w:header="851" w:footer="992"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3B6087"/>
    <w:multiLevelType w:val="singleLevel"/>
    <w:tmpl w:val="853B6087"/>
    <w:lvl w:ilvl="0">
      <w:start w:val="5"/>
      <w:numFmt w:val="chineseCounting"/>
      <w:suff w:val="nothing"/>
      <w:lvlText w:val="%1、"/>
      <w:lvlJc w:val="left"/>
      <w:rPr>
        <w:rFonts w:hint="eastAsia"/>
      </w:rPr>
    </w:lvl>
  </w:abstractNum>
  <w:abstractNum w:abstractNumId="1">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2086D3D"/>
    <w:multiLevelType w:val="singleLevel"/>
    <w:tmpl w:val="72086D3D"/>
    <w:lvl w:ilvl="0">
      <w:start w:val="3"/>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368AE"/>
    <w:rsid w:val="003479BD"/>
    <w:rsid w:val="0037197D"/>
    <w:rsid w:val="003768D5"/>
    <w:rsid w:val="003C4197"/>
    <w:rsid w:val="003C47E6"/>
    <w:rsid w:val="003C4FC2"/>
    <w:rsid w:val="003E2331"/>
    <w:rsid w:val="003F09E1"/>
    <w:rsid w:val="00416E61"/>
    <w:rsid w:val="0042135C"/>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B16F1"/>
    <w:rsid w:val="006C1B53"/>
    <w:rsid w:val="006C3A52"/>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42CD2"/>
    <w:rsid w:val="00C77645"/>
    <w:rsid w:val="00CE04C3"/>
    <w:rsid w:val="00CE76A0"/>
    <w:rsid w:val="00D148C6"/>
    <w:rsid w:val="00D17A8A"/>
    <w:rsid w:val="00D204AD"/>
    <w:rsid w:val="00D205B4"/>
    <w:rsid w:val="00D40C22"/>
    <w:rsid w:val="00D415BA"/>
    <w:rsid w:val="00D63780"/>
    <w:rsid w:val="00D644EE"/>
    <w:rsid w:val="00D75489"/>
    <w:rsid w:val="00D94D58"/>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3326C27"/>
    <w:rsid w:val="03E92A9B"/>
    <w:rsid w:val="04345B29"/>
    <w:rsid w:val="096B7A5A"/>
    <w:rsid w:val="15C35275"/>
    <w:rsid w:val="163C29FF"/>
    <w:rsid w:val="18900ACA"/>
    <w:rsid w:val="1C10472B"/>
    <w:rsid w:val="1E1C6452"/>
    <w:rsid w:val="23567C3F"/>
    <w:rsid w:val="23604E26"/>
    <w:rsid w:val="252E1F46"/>
    <w:rsid w:val="26B364C3"/>
    <w:rsid w:val="26CC5EBA"/>
    <w:rsid w:val="2BA50251"/>
    <w:rsid w:val="2EC53308"/>
    <w:rsid w:val="2ED84D84"/>
    <w:rsid w:val="2F5E78DC"/>
    <w:rsid w:val="34E348DC"/>
    <w:rsid w:val="36B24FEA"/>
    <w:rsid w:val="373F7FE3"/>
    <w:rsid w:val="38192567"/>
    <w:rsid w:val="3A924637"/>
    <w:rsid w:val="3D9864FC"/>
    <w:rsid w:val="3EBA3A53"/>
    <w:rsid w:val="3F5B0D38"/>
    <w:rsid w:val="3F6A06D7"/>
    <w:rsid w:val="402C7CAA"/>
    <w:rsid w:val="42D60F70"/>
    <w:rsid w:val="44AB453E"/>
    <w:rsid w:val="48D662CD"/>
    <w:rsid w:val="491C62AA"/>
    <w:rsid w:val="4A496803"/>
    <w:rsid w:val="4F0E7493"/>
    <w:rsid w:val="4F2342F5"/>
    <w:rsid w:val="4F4243A0"/>
    <w:rsid w:val="53D66A2F"/>
    <w:rsid w:val="55933792"/>
    <w:rsid w:val="59FD6606"/>
    <w:rsid w:val="5C9B7B7C"/>
    <w:rsid w:val="5E15316E"/>
    <w:rsid w:val="5E1A6610"/>
    <w:rsid w:val="6110624F"/>
    <w:rsid w:val="622E360A"/>
    <w:rsid w:val="6A2F2373"/>
    <w:rsid w:val="6BE50451"/>
    <w:rsid w:val="6C101CB9"/>
    <w:rsid w:val="6C1256EA"/>
    <w:rsid w:val="6C6C46A0"/>
    <w:rsid w:val="6C77060E"/>
    <w:rsid w:val="6C9D530E"/>
    <w:rsid w:val="6DBE71AC"/>
    <w:rsid w:val="6DCD2F9B"/>
    <w:rsid w:val="7041033A"/>
    <w:rsid w:val="72276EAD"/>
    <w:rsid w:val="77C0409E"/>
    <w:rsid w:val="78F30EA5"/>
    <w:rsid w:val="79EC0BC4"/>
    <w:rsid w:val="7EF667A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kern w:val="2"/>
      <w:sz w:val="21"/>
      <w:szCs w:val="22"/>
    </w:rPr>
  </w:style>
  <w:style w:type="paragraph" w:styleId="1">
    <w:name w:val="heading 1"/>
    <w:basedOn w:val="a"/>
    <w:next w:val="a"/>
    <w:uiPriority w:val="9"/>
    <w:qFormat/>
    <w:pPr>
      <w:keepNext/>
      <w:keepLines/>
      <w:spacing w:before="240" w:after="240" w:line="500" w:lineRule="exact"/>
      <w:jc w:val="center"/>
      <w:outlineLvl w:val="0"/>
    </w:pPr>
    <w:rPr>
      <w:rFonts w:eastAsia="黑体"/>
      <w:b/>
      <w:kern w:val="44"/>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footnote text"/>
    <w:basedOn w:val="a"/>
    <w:qFormat/>
    <w:pPr>
      <w:snapToGrid w:val="0"/>
      <w:jc w:val="left"/>
    </w:pPr>
    <w:rPr>
      <w:rFonts w:ascii="Calibri" w:hAnsi="Calibri"/>
      <w:sz w:val="18"/>
      <w:szCs w:val="18"/>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paragraph" w:styleId="a8">
    <w:name w:val="List Paragraph"/>
    <w:basedOn w:val="a"/>
    <w:uiPriority w:val="34"/>
    <w:qFormat/>
    <w:pPr>
      <w:ind w:firstLineChars="200" w:firstLine="420"/>
    </w:pPr>
  </w:style>
  <w:style w:type="character" w:customStyle="1" w:styleId="Char">
    <w:name w:val="批注框文本 Char"/>
    <w:basedOn w:val="a0"/>
    <w:link w:val="a4"/>
    <w:uiPriority w:val="99"/>
    <w:semiHidden/>
    <w:qFormat/>
    <w:rPr>
      <w:sz w:val="18"/>
      <w:szCs w:val="18"/>
    </w:rPr>
  </w:style>
  <w:style w:type="paragraph" w:customStyle="1" w:styleId="10">
    <w:name w:val="无间隔1"/>
    <w:qFormat/>
    <w:pPr>
      <w:widowControl w:val="0"/>
      <w:jc w:val="both"/>
    </w:pPr>
    <w:rPr>
      <w:rFonts w:ascii="Calibri" w:eastAsia="宋体" w:hAnsi="Calibri" w:cs="Times New Roman"/>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kern w:val="2"/>
      <w:sz w:val="21"/>
      <w:szCs w:val="22"/>
    </w:rPr>
  </w:style>
  <w:style w:type="paragraph" w:styleId="1">
    <w:name w:val="heading 1"/>
    <w:basedOn w:val="a"/>
    <w:next w:val="a"/>
    <w:uiPriority w:val="9"/>
    <w:qFormat/>
    <w:pPr>
      <w:keepNext/>
      <w:keepLines/>
      <w:spacing w:before="240" w:after="240" w:line="500" w:lineRule="exact"/>
      <w:jc w:val="center"/>
      <w:outlineLvl w:val="0"/>
    </w:pPr>
    <w:rPr>
      <w:rFonts w:eastAsia="黑体"/>
      <w:b/>
      <w:kern w:val="44"/>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footnote text"/>
    <w:basedOn w:val="a"/>
    <w:qFormat/>
    <w:pPr>
      <w:snapToGrid w:val="0"/>
      <w:jc w:val="left"/>
    </w:pPr>
    <w:rPr>
      <w:rFonts w:ascii="Calibri" w:hAnsi="Calibri"/>
      <w:sz w:val="18"/>
      <w:szCs w:val="18"/>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paragraph" w:styleId="a8">
    <w:name w:val="List Paragraph"/>
    <w:basedOn w:val="a"/>
    <w:uiPriority w:val="34"/>
    <w:qFormat/>
    <w:pPr>
      <w:ind w:firstLineChars="200" w:firstLine="420"/>
    </w:pPr>
  </w:style>
  <w:style w:type="character" w:customStyle="1" w:styleId="Char">
    <w:name w:val="批注框文本 Char"/>
    <w:basedOn w:val="a0"/>
    <w:link w:val="a4"/>
    <w:uiPriority w:val="99"/>
    <w:semiHidden/>
    <w:qFormat/>
    <w:rPr>
      <w:sz w:val="18"/>
      <w:szCs w:val="18"/>
    </w:rPr>
  </w:style>
  <w:style w:type="paragraph" w:customStyle="1" w:styleId="10">
    <w:name w:val="无间隔1"/>
    <w:qFormat/>
    <w:pPr>
      <w:widowControl w:val="0"/>
      <w:jc w:val="both"/>
    </w:pPr>
    <w:rPr>
      <w:rFonts w:ascii="Calibri"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1B665-3275-444B-84F7-7E2BD91CD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1325</Words>
  <Characters>7553</Characters>
  <Application>Microsoft Office Word</Application>
  <DocSecurity>0</DocSecurity>
  <Lines>62</Lines>
  <Paragraphs>17</Paragraphs>
  <ScaleCrop>false</ScaleCrop>
  <Company>Microsoft</Company>
  <LinksUpToDate>false</LinksUpToDate>
  <CharactersWithSpaces>8861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admin</cp:lastModifiedBy>
  <cp:revision>2</cp:revision>
  <cp:lastPrinted>2023-10-27T00:59:00Z</cp:lastPrinted>
  <dcterms:created xsi:type="dcterms:W3CDTF">2023-10-27T01:05:00Z</dcterms:created>
  <dcterms:modified xsi:type="dcterms:W3CDTF">2023-10-27T01:05:00Z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56E0D2DB39F447039EF1C2C50EA481D9_13</vt:lpwstr>
  </property>
</Properties>
</file>