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72"/>
          <w:szCs w:val="72"/>
        </w:rPr>
      </w:pPr>
      <w:r>
        <w:rPr>
          <w:rFonts w:hint="eastAsia"/>
          <w:sz w:val="72"/>
          <w:szCs w:val="72"/>
        </w:rPr>
        <w:t>2021年度</w:t>
      </w:r>
    </w:p>
    <w:p>
      <w:pPr>
        <w:pStyle w:val="12"/>
        <w:jc w:val="center"/>
        <w:rPr>
          <w:sz w:val="72"/>
          <w:szCs w:val="72"/>
        </w:rPr>
      </w:pPr>
      <w:r>
        <w:rPr>
          <w:rFonts w:hint="eastAsia"/>
          <w:sz w:val="72"/>
          <w:szCs w:val="72"/>
        </w:rPr>
        <w:t>怀化市鹤城区政务服务中心部门决算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center"/>
        <w:rPr>
          <w:sz w:val="56"/>
          <w:szCs w:val="56"/>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2"/>
          <w:szCs w:val="32"/>
        </w:rPr>
        <w:t>目录</w:t>
      </w:r>
    </w:p>
    <w:p>
      <w:pPr>
        <w:pStyle w:val="12"/>
        <w:spacing w:line="480" w:lineRule="exact"/>
        <w:rPr>
          <w:rFonts w:ascii="仿宋_GB2312" w:hAnsi="仿宋_GB2312" w:cs="仿宋_GB2312"/>
          <w:b/>
          <w:sz w:val="28"/>
          <w:szCs w:val="28"/>
        </w:rPr>
      </w:pPr>
      <w:r>
        <w:rPr>
          <w:rFonts w:hint="eastAsia"/>
          <w:b/>
          <w:sz w:val="28"/>
          <w:szCs w:val="28"/>
        </w:rPr>
        <w:t>第一部分怀化市鹤城区政务服务中心</w:t>
      </w:r>
      <w:r>
        <w:rPr>
          <w:rFonts w:hint="eastAsia"/>
          <w:b/>
          <w:sz w:val="28"/>
          <w:szCs w:val="28"/>
          <w:lang w:val="en-US" w:eastAsia="zh-CN"/>
        </w:rPr>
        <w:t>单位</w:t>
      </w:r>
      <w:r>
        <w:rPr>
          <w:rFonts w:hint="eastAsia"/>
          <w:b/>
          <w:sz w:val="28"/>
          <w:szCs w:val="28"/>
        </w:rPr>
        <w:t>概况</w:t>
      </w:r>
    </w:p>
    <w:p>
      <w:pPr>
        <w:pStyle w:val="12"/>
        <w:numPr>
          <w:ilvl w:val="0"/>
          <w:numId w:val="1"/>
        </w:numPr>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部门职责</w:t>
      </w:r>
    </w:p>
    <w:p>
      <w:pPr>
        <w:pStyle w:val="12"/>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2"/>
        <w:spacing w:line="48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2"/>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spacing w:line="48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spacing w:line="48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2"/>
        <w:spacing w:line="48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48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48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48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2"/>
        <w:spacing w:line="48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2"/>
        <w:spacing w:line="48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480" w:lineRule="exact"/>
        <w:ind w:firstLine="135" w:firstLineChars="48"/>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480" w:lineRule="exact"/>
        <w:ind w:firstLine="135" w:firstLineChars="48"/>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84"/>
          <w:szCs w:val="84"/>
        </w:rPr>
      </w:pPr>
      <w:r>
        <w:rPr>
          <w:rFonts w:hint="eastAsia"/>
          <w:sz w:val="84"/>
          <w:szCs w:val="84"/>
        </w:rPr>
        <w:t>第一部分</w:t>
      </w:r>
    </w:p>
    <w:p>
      <w:pPr>
        <w:pStyle w:val="12"/>
        <w:jc w:val="center"/>
        <w:rPr>
          <w:sz w:val="84"/>
          <w:szCs w:val="84"/>
        </w:rPr>
      </w:pPr>
    </w:p>
    <w:p>
      <w:pPr>
        <w:pStyle w:val="12"/>
        <w:jc w:val="center"/>
        <w:rPr>
          <w:sz w:val="84"/>
          <w:szCs w:val="84"/>
        </w:rPr>
      </w:pPr>
      <w:r>
        <w:rPr>
          <w:rFonts w:hint="eastAsia"/>
          <w:sz w:val="84"/>
          <w:szCs w:val="84"/>
        </w:rPr>
        <w:t>怀化市鹤城区政务服务中心</w:t>
      </w: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0" w:leftChars="0" w:firstLine="0" w:firstLineChars="0"/>
        <w:jc w:val="left"/>
        <w:rPr>
          <w:rFonts w:ascii="黑体" w:hAnsi="黑体" w:eastAsia="黑体"/>
          <w:sz w:val="32"/>
          <w:szCs w:val="32"/>
        </w:rPr>
      </w:pPr>
    </w:p>
    <w:p>
      <w:pPr>
        <w:pStyle w:val="13"/>
        <w:numPr>
          <w:ilvl w:val="0"/>
          <w:numId w:val="2"/>
        </w:numPr>
        <w:ind w:firstLineChars="0"/>
        <w:jc w:val="left"/>
        <w:rPr>
          <w:rFonts w:ascii="黑体" w:hAnsi="黑体" w:eastAsia="黑体"/>
          <w:sz w:val="32"/>
          <w:szCs w:val="32"/>
        </w:rPr>
      </w:pPr>
      <w:r>
        <w:rPr>
          <w:rFonts w:ascii="黑体" w:hAnsi="黑体" w:eastAsia="黑体"/>
          <w:sz w:val="32"/>
          <w:szCs w:val="32"/>
        </w:rPr>
        <w:t>部门职责</w:t>
      </w:r>
    </w:p>
    <w:p>
      <w:pPr>
        <w:numPr>
          <w:ilvl w:val="0"/>
          <w:numId w:val="3"/>
        </w:numPr>
        <w:spacing w:line="560" w:lineRule="exact"/>
        <w:ind w:left="0" w:leftChars="0" w:firstLine="420" w:firstLineChars="0"/>
        <w:rPr>
          <w:rFonts w:asciiTheme="minorEastAsia" w:hAnsiTheme="minorEastAsia"/>
          <w:bCs/>
          <w:kern w:val="0"/>
          <w:sz w:val="32"/>
          <w:szCs w:val="32"/>
        </w:rPr>
      </w:pPr>
      <w:r>
        <w:rPr>
          <w:rFonts w:hint="eastAsia" w:asciiTheme="minorEastAsia" w:hAnsiTheme="minorEastAsia"/>
          <w:bCs/>
          <w:kern w:val="0"/>
          <w:sz w:val="32"/>
          <w:szCs w:val="32"/>
        </w:rPr>
        <w:t>按照国家、省、市关于政务公开、政务服务、电子政务方面的法律、法规、方针政策和标准规范开展工作；拟订相关发展规划、年度计划和措施办法并组织实施。</w:t>
      </w:r>
    </w:p>
    <w:p>
      <w:pPr>
        <w:numPr>
          <w:ilvl w:val="0"/>
          <w:numId w:val="3"/>
        </w:numPr>
        <w:spacing w:line="560" w:lineRule="exact"/>
        <w:ind w:left="0" w:leftChars="0" w:firstLine="420" w:firstLineChars="0"/>
        <w:rPr>
          <w:rFonts w:asciiTheme="minorEastAsia" w:hAnsiTheme="minorEastAsia"/>
          <w:bCs/>
          <w:kern w:val="0"/>
          <w:sz w:val="32"/>
          <w:szCs w:val="32"/>
        </w:rPr>
      </w:pPr>
      <w:r>
        <w:rPr>
          <w:rFonts w:hint="eastAsia" w:asciiTheme="minorEastAsia" w:hAnsiTheme="minorEastAsia"/>
          <w:bCs/>
          <w:kern w:val="0"/>
          <w:sz w:val="32"/>
          <w:szCs w:val="32"/>
        </w:rPr>
        <w:t>负责区政府行政审批制度改革事务性工作；协调组织各级各有关部门集中开展行政审批和政务服务。</w:t>
      </w:r>
    </w:p>
    <w:p>
      <w:pPr>
        <w:numPr>
          <w:ilvl w:val="0"/>
          <w:numId w:val="3"/>
        </w:numPr>
        <w:spacing w:line="560" w:lineRule="exact"/>
        <w:ind w:left="0" w:leftChars="0" w:firstLine="420" w:firstLineChars="0"/>
        <w:rPr>
          <w:rFonts w:asciiTheme="minorEastAsia" w:hAnsiTheme="minorEastAsia"/>
          <w:bCs/>
          <w:kern w:val="0"/>
          <w:sz w:val="32"/>
          <w:szCs w:val="32"/>
        </w:rPr>
      </w:pPr>
      <w:r>
        <w:rPr>
          <w:rFonts w:hint="eastAsia" w:asciiTheme="minorEastAsia" w:hAnsiTheme="minorEastAsia"/>
          <w:bCs/>
          <w:kern w:val="0"/>
          <w:sz w:val="32"/>
          <w:szCs w:val="32"/>
        </w:rPr>
        <w:t>协助配合工程建设项目审批制度改革、商事制度改革，协助开展对并联审批项目的协调督查；负责为重点项目、招商引资项目、工程建设项目等提供代办服务。</w:t>
      </w:r>
    </w:p>
    <w:p>
      <w:pPr>
        <w:numPr>
          <w:ilvl w:val="0"/>
          <w:numId w:val="3"/>
        </w:numPr>
        <w:spacing w:line="560" w:lineRule="exact"/>
        <w:ind w:left="0" w:leftChars="0" w:firstLine="420" w:firstLineChars="0"/>
        <w:rPr>
          <w:rFonts w:asciiTheme="minorEastAsia" w:hAnsiTheme="minorEastAsia"/>
          <w:bCs/>
          <w:kern w:val="0"/>
          <w:sz w:val="32"/>
          <w:szCs w:val="32"/>
        </w:rPr>
      </w:pPr>
      <w:r>
        <w:rPr>
          <w:rFonts w:hint="eastAsia" w:asciiTheme="minorEastAsia" w:hAnsiTheme="minorEastAsia"/>
          <w:bCs/>
          <w:kern w:val="0"/>
          <w:sz w:val="32"/>
          <w:szCs w:val="32"/>
        </w:rPr>
        <w:t>负责提升“互联网+政务服务”水平；负责区“互联网+政务服务”一体化平台建设工作；负责实体大厅与网上政务服务平台融合发展、无缝衔接；优化提升政务服务大厅“一站式”功能。</w:t>
      </w:r>
    </w:p>
    <w:p>
      <w:pPr>
        <w:numPr>
          <w:ilvl w:val="0"/>
          <w:numId w:val="3"/>
        </w:numPr>
        <w:spacing w:line="560" w:lineRule="exact"/>
        <w:ind w:left="0" w:leftChars="0" w:firstLine="420" w:firstLineChars="0"/>
        <w:rPr>
          <w:rFonts w:asciiTheme="minorEastAsia" w:hAnsiTheme="minorEastAsia"/>
          <w:bCs/>
          <w:kern w:val="0"/>
          <w:sz w:val="32"/>
          <w:szCs w:val="32"/>
        </w:rPr>
      </w:pPr>
      <w:r>
        <w:rPr>
          <w:rFonts w:hint="eastAsia" w:asciiTheme="minorEastAsia" w:hAnsiTheme="minorEastAsia"/>
          <w:bCs/>
          <w:kern w:val="0"/>
          <w:sz w:val="32"/>
          <w:szCs w:val="32"/>
        </w:rPr>
        <w:t>负责区本级政务服务大厅建设和管理工作；承担进驻区政务大厅的办事窗口及政务服务事项的指导、协调和管理等事务，提供咨询、导办服务；负责制定政务服务大厅管理办法和规章制度，并组织实施；负责对进驻政务服务大厅窗口及其工作人员的日常监督指导和绩效考评。</w:t>
      </w:r>
    </w:p>
    <w:p>
      <w:pPr>
        <w:numPr>
          <w:ilvl w:val="0"/>
          <w:numId w:val="3"/>
        </w:numPr>
        <w:spacing w:line="560" w:lineRule="exact"/>
        <w:ind w:left="0" w:leftChars="0" w:firstLine="420" w:firstLineChars="0"/>
        <w:rPr>
          <w:rFonts w:asciiTheme="minorEastAsia" w:hAnsiTheme="minorEastAsia"/>
          <w:bCs/>
          <w:kern w:val="0"/>
          <w:sz w:val="32"/>
          <w:szCs w:val="32"/>
        </w:rPr>
      </w:pPr>
      <w:r>
        <w:rPr>
          <w:rFonts w:hint="eastAsia" w:asciiTheme="minorEastAsia" w:hAnsiTheme="minorEastAsia"/>
          <w:bCs/>
          <w:kern w:val="0"/>
          <w:sz w:val="32"/>
          <w:szCs w:val="32"/>
        </w:rPr>
        <w:t>负责指导和监督乡镇、街道党务政务服务中心建设运行工作；协调全区“放管服”改革工作的承接落实，指导社区、村便民服务站工作；负责对经区政府批准设立的各类专门办事服务大厅和分中心业务指导、工作协调和督促考评。</w:t>
      </w:r>
    </w:p>
    <w:p>
      <w:pPr>
        <w:numPr>
          <w:ilvl w:val="0"/>
          <w:numId w:val="3"/>
        </w:numPr>
        <w:spacing w:line="560" w:lineRule="exact"/>
        <w:ind w:left="0" w:leftChars="0" w:firstLine="420" w:firstLineChars="0"/>
        <w:rPr>
          <w:rFonts w:asciiTheme="minorEastAsia" w:hAnsiTheme="minorEastAsia"/>
          <w:bCs/>
          <w:kern w:val="0"/>
          <w:sz w:val="32"/>
          <w:szCs w:val="32"/>
        </w:rPr>
      </w:pPr>
      <w:r>
        <w:rPr>
          <w:rFonts w:hint="eastAsia" w:asciiTheme="minorEastAsia" w:hAnsiTheme="minorEastAsia"/>
          <w:bCs/>
          <w:kern w:val="0"/>
          <w:sz w:val="32"/>
          <w:szCs w:val="32"/>
        </w:rPr>
        <w:t>负责全区电子政务外网传输网络及其网络安全平台的建设、管理和维护工作；负责各级各部门电子政务网络互联互通，组织建立安全防范体系。</w:t>
      </w:r>
    </w:p>
    <w:p>
      <w:pPr>
        <w:numPr>
          <w:ilvl w:val="0"/>
          <w:numId w:val="3"/>
        </w:numPr>
        <w:spacing w:line="560" w:lineRule="exact"/>
        <w:ind w:left="0" w:leftChars="0" w:firstLine="420" w:firstLineChars="0"/>
        <w:rPr>
          <w:rFonts w:asciiTheme="minorEastAsia" w:hAnsiTheme="minorEastAsia"/>
          <w:bCs/>
          <w:kern w:val="0"/>
          <w:sz w:val="32"/>
          <w:szCs w:val="32"/>
        </w:rPr>
      </w:pPr>
      <w:r>
        <w:rPr>
          <w:rFonts w:hint="eastAsia" w:asciiTheme="minorEastAsia" w:hAnsiTheme="minorEastAsia"/>
          <w:bCs/>
          <w:kern w:val="0"/>
          <w:sz w:val="32"/>
          <w:szCs w:val="32"/>
        </w:rPr>
        <w:t>负责承办区政府门户网站，承担网站技术平台建设等工作；负责向市政府门户网站提供内容保障；承担全区政府网站及政务新媒体管理等工作，建立政府网站间的协调联动机制。</w:t>
      </w:r>
    </w:p>
    <w:p>
      <w:pPr>
        <w:numPr>
          <w:ilvl w:val="0"/>
          <w:numId w:val="3"/>
        </w:numPr>
        <w:spacing w:line="560" w:lineRule="exact"/>
        <w:ind w:left="0" w:leftChars="0" w:firstLine="420" w:firstLineChars="0"/>
        <w:rPr>
          <w:rFonts w:asciiTheme="minorEastAsia" w:hAnsiTheme="minorEastAsia"/>
          <w:bCs/>
          <w:kern w:val="0"/>
          <w:sz w:val="32"/>
          <w:szCs w:val="32"/>
        </w:rPr>
      </w:pPr>
      <w:r>
        <w:rPr>
          <w:rFonts w:hint="eastAsia" w:asciiTheme="minorEastAsia" w:hAnsiTheme="minorEastAsia"/>
          <w:bCs/>
          <w:kern w:val="0"/>
          <w:sz w:val="32"/>
          <w:szCs w:val="32"/>
        </w:rPr>
        <w:t>负责区政务公开工作；承担区本级政府信息网上公开的日常事务工作。</w:t>
      </w:r>
    </w:p>
    <w:p>
      <w:pPr>
        <w:numPr>
          <w:ilvl w:val="0"/>
          <w:numId w:val="3"/>
        </w:numPr>
        <w:spacing w:line="560" w:lineRule="exact"/>
        <w:ind w:left="0" w:leftChars="0" w:firstLine="420" w:firstLineChars="0"/>
        <w:rPr>
          <w:rFonts w:asciiTheme="minorEastAsia" w:hAnsiTheme="minorEastAsia"/>
          <w:bCs/>
          <w:kern w:val="0"/>
          <w:sz w:val="32"/>
          <w:szCs w:val="32"/>
        </w:rPr>
      </w:pPr>
      <w:r>
        <w:rPr>
          <w:rFonts w:hint="eastAsia" w:asciiTheme="minorEastAsia" w:hAnsiTheme="minorEastAsia"/>
          <w:bCs/>
          <w:kern w:val="0"/>
          <w:sz w:val="32"/>
          <w:szCs w:val="32"/>
        </w:rPr>
        <w:t>负责全区电子政务平台项目的建设、管理和运营维护等工作；规范全区政务信息资源的开发利用，负责推动政务大数据资源整合共享和应用；负责智慧政务服务网上办事大厅、智慧鹤城手机移动端和自助终端的日常管理、运营维护和建设工作；负责区数据中心机房和大数据综合分析平台的建设、管理和日常运营维护工作；负责区、乡镇（街道）、村（社区）三级视频会议系统的建设、运营维护等工作。负责全区“互联网+监督”平台、土地确权平台、智慧党建等平台的运营维护、操作培训和技术指导等工作。</w:t>
      </w:r>
    </w:p>
    <w:p>
      <w:pPr>
        <w:numPr>
          <w:ilvl w:val="0"/>
          <w:numId w:val="3"/>
        </w:numPr>
        <w:spacing w:line="560" w:lineRule="exact"/>
        <w:ind w:left="0" w:leftChars="0" w:firstLine="420" w:firstLineChars="0"/>
        <w:rPr>
          <w:rFonts w:ascii="黑体" w:hAnsi="黑体" w:eastAsia="黑体"/>
          <w:sz w:val="32"/>
          <w:szCs w:val="32"/>
        </w:rPr>
      </w:pPr>
      <w:r>
        <w:rPr>
          <w:rFonts w:hint="eastAsia" w:asciiTheme="minorEastAsia" w:hAnsiTheme="minorEastAsia"/>
          <w:bCs/>
          <w:kern w:val="0"/>
          <w:sz w:val="32"/>
          <w:szCs w:val="32"/>
        </w:rPr>
        <w:t>完成区委、区政府交办的其他任务。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（一）内设机构设置。鹤城区政务服务中心内设机构包括：综合部、行政审批制度改革事务部、效能监察部、政务服务部、政府网站运维部、网络技术部。</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（二）决算单位构成。鹤城区政务服务中心</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21年部门决算汇总公开单位构成包括：鹤城区政务服务中心本级。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第三部分</w:t>
      </w:r>
    </w:p>
    <w:p>
      <w:pPr>
        <w:pStyle w:val="12"/>
        <w:jc w:val="center"/>
        <w:rPr>
          <w:sz w:val="70"/>
          <w:szCs w:val="70"/>
        </w:rPr>
      </w:pPr>
    </w:p>
    <w:p>
      <w:pPr>
        <w:pStyle w:val="12"/>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2"/>
        <w:rPr>
          <w:rFonts w:hAnsi="黑体"/>
          <w:b/>
          <w:sz w:val="32"/>
          <w:szCs w:val="32"/>
        </w:rPr>
      </w:pPr>
      <w:r>
        <w:rPr>
          <w:rFonts w:hint="eastAsia" w:hAnsi="黑体"/>
          <w:b/>
          <w:sz w:val="32"/>
          <w:szCs w:val="32"/>
        </w:rPr>
        <w:t>一、收入支出决算总体情况说明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计947.71万元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年初结转和结余25万元，收入总计972.71万元。</w:t>
      </w:r>
      <w:r>
        <w:rPr>
          <w:rFonts w:hint="eastAsia" w:asciiTheme="minorEastAsia" w:hAnsiTheme="minorEastAsia" w:eastAsiaTheme="minorEastAsia"/>
          <w:sz w:val="32"/>
          <w:szCs w:val="32"/>
        </w:rPr>
        <w:t>上年相比，减少810.92万元，减少46.11%，主要是因为政务中心异地新建大楼项目减少。</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计972.71万元</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与上年相比，减少760.92万元，减少43.89%，主要是因为政务中心异地新建大楼项目减少。</w:t>
      </w:r>
    </w:p>
    <w:p>
      <w:pPr>
        <w:pStyle w:val="12"/>
        <w:rPr>
          <w:rFonts w:hAnsi="黑体"/>
          <w:b/>
          <w:sz w:val="32"/>
          <w:szCs w:val="32"/>
        </w:rPr>
      </w:pPr>
      <w:r>
        <w:rPr>
          <w:rFonts w:hint="eastAsia" w:hAnsi="黑体"/>
          <w:b/>
          <w:sz w:val="32"/>
          <w:szCs w:val="32"/>
        </w:rPr>
        <w:t>二、收入决算情况说明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2021年度收入合计947.71万元，其中：财政拨款收入947.71万元，占100%；上级补助收入0万元，占0%；事业收入0万元，占0%；经营收入0万元，占0%；附属单位上缴收入0万元，占0%；其他收入0万元，占0%。</w:t>
      </w:r>
    </w:p>
    <w:p>
      <w:pPr>
        <w:pStyle w:val="12"/>
        <w:rPr>
          <w:rFonts w:hAnsi="黑体"/>
          <w:b/>
          <w:sz w:val="32"/>
          <w:szCs w:val="32"/>
        </w:rPr>
      </w:pPr>
      <w:r>
        <w:rPr>
          <w:rFonts w:hint="eastAsia" w:hAnsi="黑体"/>
          <w:b/>
          <w:sz w:val="32"/>
          <w:szCs w:val="32"/>
        </w:rPr>
        <w:t>三、支出决算情况说明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2021年度支出合计972.71万元，其中：基本支出23.57万元，占2.42%；项目支出949.14万元，占97.58%；上缴上级支出0万元，占0%；经营支出0万元，占0%；对附属单位补助支出0万元，占0%。</w:t>
      </w:r>
    </w:p>
    <w:p>
      <w:pPr>
        <w:pStyle w:val="12"/>
        <w:rPr>
          <w:rFonts w:hAnsi="黑体"/>
          <w:b/>
          <w:sz w:val="32"/>
          <w:szCs w:val="32"/>
        </w:rPr>
      </w:pPr>
      <w:r>
        <w:rPr>
          <w:rFonts w:hint="eastAsia" w:hAnsi="黑体"/>
          <w:b/>
          <w:sz w:val="32"/>
          <w:szCs w:val="32"/>
        </w:rPr>
        <w:t>四、财政拨款收入支出决算总体情况说明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w:t>
      </w:r>
      <w:r>
        <w:rPr>
          <w:rFonts w:hint="eastAsia" w:asciiTheme="minorEastAsia" w:hAnsiTheme="minorEastAsia" w:eastAsiaTheme="minorEastAsia"/>
          <w:sz w:val="32"/>
          <w:szCs w:val="32"/>
          <w:lang w:val="en-US" w:eastAsia="zh-CN"/>
        </w:rPr>
        <w:t>合</w:t>
      </w:r>
      <w:r>
        <w:rPr>
          <w:rFonts w:hint="eastAsia" w:asciiTheme="minorEastAsia" w:hAnsiTheme="minorEastAsia" w:eastAsiaTheme="minorEastAsia"/>
          <w:sz w:val="32"/>
          <w:szCs w:val="32"/>
        </w:rPr>
        <w:t>计947.71万元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年初结转和结余25万元，收入总计972.71万元。</w:t>
      </w:r>
      <w:r>
        <w:rPr>
          <w:rFonts w:hint="eastAsia" w:asciiTheme="minorEastAsia" w:hAnsiTheme="minorEastAsia" w:eastAsiaTheme="minorEastAsia"/>
          <w:sz w:val="32"/>
          <w:szCs w:val="32"/>
        </w:rPr>
        <w:t>与上年相比，减少810.92万元，减少46.11%，主要是因为政务中心异地新建大楼项目减少。</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计972.71万元。与上年相比，减少760.92万元，减少43.89%，主要是因为政务中心异地新建大楼项目减少。</w:t>
      </w:r>
    </w:p>
    <w:p>
      <w:pPr>
        <w:pStyle w:val="12"/>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2021年度财政拨款支出972.71万元，占本年支出合计的100%，与上年相比，财政拨款支出减少760.92万元，减少43.89%，主要是因为政务中心异地新建大楼项目减少。</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color w:val="000000"/>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2021年度财政拨款支出972.71万元，主要用于以下方面：一般公共服务（类）支出971.76万元，占99.9%；社会保障和就业（类）支出0.59万元，占0.06%;卫生健康（类）支出0.36万元，占0.04%。</w:t>
      </w:r>
    </w:p>
    <w:p>
      <w:pPr>
        <w:pStyle w:val="12"/>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仿宋_GB2312" w:eastAsia="仿宋_GB2312"/>
          <w:sz w:val="32"/>
          <w:szCs w:val="32"/>
        </w:rPr>
        <w:t>947.71</w:t>
      </w:r>
      <w:r>
        <w:rPr>
          <w:rFonts w:hint="eastAsia" w:asciiTheme="minorEastAsia" w:hAnsiTheme="minorEastAsia" w:eastAsiaTheme="minorEastAsia"/>
          <w:sz w:val="32"/>
          <w:szCs w:val="32"/>
        </w:rPr>
        <w:t>万元，支出决算数为972.71万元，完成年初预算的102.64%，其中：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1、一般公共服务（类）政府办公厅（室）及相关机构事务（款）行政运行（项）。</w:t>
      </w:r>
    </w:p>
    <w:p>
      <w:pPr>
        <w:pStyle w:val="12"/>
        <w:ind w:left="638" w:leftChars="304" w:firstLine="160" w:firstLineChars="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年初预算为22.62万元，支出决算为22.62万元，完成年初预算的100%.</w:t>
      </w:r>
    </w:p>
    <w:p>
      <w:pPr>
        <w:pStyle w:val="12"/>
        <w:numPr>
          <w:ilvl w:val="0"/>
          <w:numId w:val="4"/>
        </w:numPr>
        <w:ind w:left="638" w:leftChars="304" w:firstLine="160" w:firstLineChars="50"/>
        <w:jc w:val="both"/>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一般公共服务（类）政府办公厅（室）及相关机构事务（款）</w:t>
      </w:r>
    </w:p>
    <w:p>
      <w:pPr>
        <w:pStyle w:val="12"/>
        <w:numPr>
          <w:ilvl w:val="0"/>
          <w:numId w:val="0"/>
        </w:numPr>
        <w:rPr>
          <w:rFonts w:asciiTheme="minorEastAsia" w:hAnsiTheme="minorEastAsia" w:eastAsiaTheme="minorEastAsia"/>
          <w:sz w:val="32"/>
          <w:szCs w:val="32"/>
        </w:rPr>
      </w:pPr>
      <w:r>
        <w:rPr>
          <w:rFonts w:hint="eastAsia" w:asciiTheme="minorEastAsia" w:hAnsiTheme="minorEastAsia" w:eastAsiaTheme="minorEastAsia"/>
          <w:sz w:val="32"/>
          <w:szCs w:val="32"/>
        </w:rPr>
        <w:t>一般行政管理事务（项）。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年初预算为924.14万元，支出决算为949.14万元，完成年初预算的102.71%，决算数大于年初预算数的主要原因是：上年度结余资金，本年度继续使用。</w:t>
      </w:r>
    </w:p>
    <w:p>
      <w:pPr>
        <w:pStyle w:val="12"/>
        <w:numPr>
          <w:ilvl w:val="0"/>
          <w:numId w:val="5"/>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社会保障和就业支出（类）行政事业单位养老支出（款）机关事业单位基本养老保险缴费支出（项）。</w:t>
      </w:r>
    </w:p>
    <w:p>
      <w:pPr>
        <w:pStyle w:val="12"/>
        <w:ind w:left="638" w:leftChars="304" w:firstLine="160" w:firstLineChars="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年初预算为0.59万元，支出决算为0.59万元，完成年初预算的100%.</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4.卫生健康支出（类）行政事业单位医疗（款）行政单位医疗（项）。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年初预算为0.36万元，支出决算为0.36万元，完成年初预算的100%。</w:t>
      </w:r>
    </w:p>
    <w:p>
      <w:pPr>
        <w:pStyle w:val="12"/>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hint="eastAsia" w:asciiTheme="minorEastAsia" w:hAnsiTheme="minorEastAsia" w:eastAsiaTheme="minorEastAsia"/>
          <w:i/>
          <w:color w:val="FF0000"/>
          <w:sz w:val="32"/>
          <w:szCs w:val="32"/>
          <w:lang w:eastAsia="zh-CN"/>
        </w:rPr>
      </w:pPr>
      <w:r>
        <w:rPr>
          <w:rFonts w:hint="eastAsia" w:asciiTheme="minorEastAsia" w:hAnsiTheme="minorEastAsia" w:eastAsiaTheme="minorEastAsia"/>
          <w:sz w:val="32"/>
          <w:szCs w:val="32"/>
        </w:rPr>
        <w:t>2021年度财政拨款基本支出23.57万元，其中：人员经费15.67万元，占基本支出的66.48%,主要包括基本工资、绩效工资、机关事业单位基本养老保险缴费、职工基本医疗保险缴费；公用经费，占基本支出的33.52%，主要包括办公费、邮电费、差旅费、维修（护）费、劳务费、工会经费、手续费</w:t>
      </w:r>
      <w:r>
        <w:rPr>
          <w:rFonts w:hint="eastAsia" w:asciiTheme="minorEastAsia" w:hAnsiTheme="minorEastAsia" w:eastAsiaTheme="minorEastAsia"/>
          <w:sz w:val="32"/>
          <w:szCs w:val="32"/>
          <w:lang w:eastAsia="zh-CN"/>
        </w:rPr>
        <w:t>。</w:t>
      </w:r>
    </w:p>
    <w:p>
      <w:pPr>
        <w:pStyle w:val="12"/>
        <w:rPr>
          <w:rFonts w:hAnsi="黑体"/>
          <w:b/>
          <w:sz w:val="32"/>
          <w:szCs w:val="32"/>
        </w:rPr>
      </w:pPr>
      <w:r>
        <w:rPr>
          <w:rFonts w:hint="eastAsia" w:hAnsi="黑体"/>
          <w:b/>
          <w:sz w:val="32"/>
          <w:szCs w:val="32"/>
        </w:rPr>
        <w:t>七、一般公共预算财政拨款“三公”经费支出决算情况说明</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2021年度“三公”经费财政拨款支出预算为0万元，支出决算为0万元，由于预算数为0，无法计算百分比，其中：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公务接待费支出预算为0万元，支出决算为0万元，由于预算数为0，无法计算百分比。</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3、公务用车购置费及运行维护费支出决算为0万元，其中：公务用车购置费0万元，鹤城区政务服务中心更新公务用车0辆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公务用车运行维护费0万元，</w:t>
      </w:r>
      <w:r>
        <w:rPr>
          <w:rFonts w:hint="eastAsia" w:asciiTheme="minorEastAsia" w:hAnsiTheme="minorEastAsia"/>
          <w:sz w:val="32"/>
          <w:szCs w:val="32"/>
          <w:lang w:eastAsia="zh-CN"/>
        </w:rPr>
        <w:t>截至2021年</w:t>
      </w:r>
      <w:r>
        <w:rPr>
          <w:rFonts w:hint="eastAsia" w:asciiTheme="minorEastAsia" w:hAnsiTheme="minorEastAsia"/>
          <w:sz w:val="32"/>
          <w:szCs w:val="32"/>
        </w:rPr>
        <w:t>12月31日，我单位开支财政拨款的公务用车保有量为0辆。</w:t>
      </w:r>
    </w:p>
    <w:p>
      <w:pPr>
        <w:pStyle w:val="12"/>
        <w:rPr>
          <w:rFonts w:hAnsi="黑体"/>
          <w:b/>
          <w:sz w:val="32"/>
          <w:szCs w:val="32"/>
        </w:rPr>
      </w:pPr>
      <w:r>
        <w:rPr>
          <w:rFonts w:hint="eastAsia" w:hAnsi="黑体"/>
          <w:b/>
          <w:sz w:val="32"/>
          <w:szCs w:val="32"/>
        </w:rPr>
        <w:t>八、政府性基金预算收入支出决算情况</w:t>
      </w:r>
    </w:p>
    <w:p>
      <w:pPr>
        <w:pStyle w:val="12"/>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2"/>
        <w:rPr>
          <w:rFonts w:hAnsi="黑体"/>
          <w:b/>
          <w:sz w:val="32"/>
          <w:szCs w:val="32"/>
        </w:rPr>
      </w:pPr>
      <w:r>
        <w:rPr>
          <w:rFonts w:hint="eastAsia" w:hAnsi="黑体"/>
          <w:b/>
          <w:sz w:val="32"/>
          <w:szCs w:val="32"/>
        </w:rPr>
        <w:t>九、国有资本经营预算财政拨款支出情况</w:t>
      </w:r>
    </w:p>
    <w:p>
      <w:pPr>
        <w:pStyle w:val="12"/>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cstheme="minorBidi"/>
          <w:color w:val="auto"/>
          <w:kern w:val="2"/>
          <w:sz w:val="32"/>
          <w:szCs w:val="32"/>
          <w:lang w:val="en-US" w:eastAsia="zh-CN" w:bidi="ar-SA"/>
        </w:rPr>
        <w:t>2021年度国有资本经营预算财政拨款收入0万元；年初结转和结余0万元；支出0万元，其中基本支出0万元，项目支出0万元；年末结转和结余0万元。</w:t>
      </w:r>
      <w:bookmarkStart w:id="0" w:name="_GoBack"/>
      <w:bookmarkEnd w:id="0"/>
    </w:p>
    <w:p>
      <w:pPr>
        <w:pStyle w:val="12"/>
        <w:rPr>
          <w:rFonts w:hAnsi="黑体"/>
          <w:b/>
          <w:sz w:val="32"/>
          <w:szCs w:val="32"/>
        </w:rPr>
      </w:pPr>
      <w:r>
        <w:rPr>
          <w:rFonts w:hint="eastAsia" w:hAnsi="黑体"/>
          <w:b/>
          <w:sz w:val="32"/>
          <w:szCs w:val="32"/>
        </w:rPr>
        <w:t>十、机关运行经费支出说明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本部门2021年度机关运行经费支出7.9万元，比上年决算数增加7.9万元，增长100%。主要原因是：202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年没有公用经费预算。</w:t>
      </w:r>
    </w:p>
    <w:p>
      <w:pPr>
        <w:pStyle w:val="12"/>
        <w:rPr>
          <w:rFonts w:hAnsi="黑体"/>
          <w:b/>
          <w:sz w:val="32"/>
          <w:szCs w:val="32"/>
        </w:rPr>
      </w:pPr>
      <w:r>
        <w:rPr>
          <w:rFonts w:hint="eastAsia" w:hAnsi="黑体"/>
          <w:b/>
          <w:sz w:val="32"/>
          <w:szCs w:val="32"/>
        </w:rPr>
        <w:t>十一、一般性支出情况说明</w:t>
      </w:r>
    </w:p>
    <w:p>
      <w:pPr>
        <w:pStyle w:val="12"/>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2021年本部门开支会议费0万元，用于召开0次会议，人数0人，内容为0；开支培训费0万元，用于开展0次培训，人数0人，内容为0；举办0次等节庆、晚会、论坛、赛事活动，开支0万元。</w:t>
      </w:r>
    </w:p>
    <w:p>
      <w:pPr>
        <w:pStyle w:val="12"/>
        <w:rPr>
          <w:rFonts w:hAnsi="黑体"/>
          <w:b/>
          <w:sz w:val="32"/>
          <w:szCs w:val="32"/>
        </w:rPr>
      </w:pPr>
      <w:r>
        <w:rPr>
          <w:rFonts w:hint="eastAsia" w:hAnsi="黑体"/>
          <w:b/>
          <w:sz w:val="32"/>
          <w:szCs w:val="32"/>
        </w:rPr>
        <w:t>十二、政府采购支出说明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2"/>
        <w:rPr>
          <w:rFonts w:hAnsi="黑体"/>
          <w:b/>
          <w:sz w:val="32"/>
          <w:szCs w:val="32"/>
        </w:rPr>
      </w:pPr>
      <w:r>
        <w:rPr>
          <w:rFonts w:hint="eastAsia" w:hAnsi="黑体"/>
          <w:b/>
          <w:sz w:val="32"/>
          <w:szCs w:val="32"/>
        </w:rPr>
        <w:t>十三、国有资产占用情况说明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2"/>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年度一般公共预算项目支出全面开展绩效自评，其中，一级项目4个，二级项目0个，共涉及资金949.14 万元，占一般公共预算项目支出总额的100%。组织对2021年度等0个政府性基金预算项目支出开展绩效自评，共涉及资金0万元，占政府性基金预算项目支出总额的0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pStyle w:val="7"/>
        <w:widowControl/>
        <w:shd w:val="clear" w:color="auto" w:fill="FFFFFF"/>
        <w:spacing w:beforeAutospacing="0" w:after="225" w:afterAutospacing="0" w:line="450" w:lineRule="atLeast"/>
        <w:ind w:firstLine="640" w:firstLineChars="200"/>
        <w:rPr>
          <w:rFonts w:cs="黑体" w:asciiTheme="minorEastAsia" w:hAnsiTheme="minorEastAsia"/>
          <w:color w:val="000000"/>
          <w:sz w:val="32"/>
          <w:szCs w:val="32"/>
        </w:rPr>
      </w:pPr>
      <w:r>
        <w:rPr>
          <w:rFonts w:hint="eastAsia" w:cs="黑体" w:asciiTheme="minorEastAsia" w:hAnsiTheme="minorEastAsia"/>
          <w:color w:val="000000"/>
          <w:sz w:val="32"/>
          <w:szCs w:val="32"/>
        </w:rPr>
        <w:t>组织对“临聘人员工资、绩效、劳务费”、“政务中心运维经费”、“政务中心网络租赁”“政务中心异地新建大楼配套设施项目”等4个项目开展了部门评价，涉及一般公共预算支出949.14万元，政府性基金预算支出0万元，国有资本经营预算支出0万元。从评价情况来看，2021年，我中心积极推进预算绩效管理，合理制定和编制年初预算，加强资金管理，提高资金使用效益，建立完善内部监察机制，合理列支年度经费支出。通过开展绩效评价，我中心更容易找出项目管理中存在的问题并分析其原因，促使我单位健全项目资金的核算与管理制度，改进资金使用管理方式，逐步形成自我约束意识，提高管理水平。我单位严格执行预算管理，节约、合理进行收支预算申报，严格按照财务管理制度管控开支。自我填报专项资金绩效评价共性指标表得分100分。</w:t>
      </w:r>
    </w:p>
    <w:p>
      <w:pPr>
        <w:spacing w:line="600" w:lineRule="exact"/>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鹤城区政务服务中心”等1个单位开展整体支出绩效评价，涉及一般公共预算支出949.14万元，政府性基金预算支出0万元。从评价情况来看，2021年来，鹤城区政务服务中心在区委、区政府的正确领导下，始终坚持以人民为中心的发展思路，围绕省、市政务管理服务重点工作，不断深化“放管服”和“一件事一次办”改革、优化营商政务环境，服务质效持续提升，政务管理服务工作取得了较好成绩，初步形成了鹤城区政务服务品牌，典型经验做法在全省政务服务大厅运行管理检查交流情况通报中予以通报表扬，并得到国务院办公厅全国推介。通过加强预算收支管理，不断建立健全内部管理制度，梳理内部管理流程，部门整体支出管理水平得到提升。严格按照上级指示，在规定的时间里完成好了各项绩效目标工作。</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临聘人员工资、绩效、劳务费项目绩效自评综述：根据年初设定的绩效目标，项目绩效自评得分为100分。项目全年预算数为296.71万元，执行数为296.71万元，完成预算的100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临聘人员工资到位,政务中心缴纳社保基数符合国家标准，每月工资按时发放，保证临聘人员的基本生活;保障了政务中心人员的稳定，能更好的发挥工作积极性；二是便于窗口工作人员管理，提高办事效率及群众满意度。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政务中心运维经费项目绩效自评综述：根据年初设定的绩效目标，项目绩效自评得分为100分。项目全年预算数为42.5万元，执行数为42.5万元，完成预算的100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保障2021年政务服务中心办事大厅的日常运行支出保障信息系统安全稳定运行，延长设备使用寿命；二是提高我区政务服务水平，大厅工作运转高效正常，市民在政务大厅办事体验到了信息化的便利。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政务中心网络租赁项目绩效自评综述：根据年初设定的绩效目标，项目绩效自评得分为100分。项目全年预算数为56.24万元，执行数为56.24万元，完成预算的100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。项目绩效目标完成情况：一是保障全区电子政务外网平台网络运行稳定、应用系统使用正常；二是租赁网络设备及线路达到网络组网需求并且运行稳定。发现的主要问题及原因：无。下一步改进措施：无。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政务中心异地新建大楼配套设施项目绩效自评综述：根据年初设定的绩效目标，项目绩效自评得分为100分。项目全年预算数为553.69万元，执行数为553.69万元，完成预算的100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完成政务服务中心异地新建大楼项目采购及、安装，优化提升政务服务大厅“一站式”功能完善；二是区本级综合性政务大厅集中服务模式，实现企业和群众必须到现场办理的事项“只进一扇门”，满足办公需求。发现的主要问题及原因：无。下一步改进措施：无。</w:t>
      </w: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（3）部门评价项目绩效评价结果。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2021年度部门整体支出绩效评价报告、专项资金绩效评价报告及专项资金绩效目标自评表见附件。</w:t>
      </w:r>
    </w:p>
    <w:p>
      <w:pPr>
        <w:autoSpaceDE w:val="0"/>
        <w:autoSpaceDN w:val="0"/>
        <w:adjustRightInd w:val="0"/>
        <w:ind w:firstLine="640" w:firstLineChars="200"/>
        <w:jc w:val="left"/>
        <w:rPr>
          <w:rFonts w:cs="黑体" w:asciiTheme="minorEastAsia" w:hAnsiTheme="minorEastAsia"/>
          <w:color w:val="000000"/>
          <w:kern w:val="0"/>
          <w:sz w:val="32"/>
          <w:szCs w:val="32"/>
        </w:rPr>
      </w:pPr>
    </w:p>
    <w:p>
      <w:pPr>
        <w:autoSpaceDE w:val="0"/>
        <w:autoSpaceDN w:val="0"/>
        <w:adjustRightInd w:val="0"/>
        <w:ind w:firstLine="640" w:firstLineChars="200"/>
        <w:jc w:val="left"/>
        <w:rPr>
          <w:rFonts w:cs="黑体" w:asciiTheme="minorEastAsia" w:hAnsiTheme="minorEastAsia"/>
          <w:color w:val="000000"/>
          <w:kern w:val="0"/>
          <w:sz w:val="32"/>
          <w:szCs w:val="32"/>
        </w:rPr>
      </w:pPr>
    </w:p>
    <w:p>
      <w:pPr>
        <w:autoSpaceDE w:val="0"/>
        <w:autoSpaceDN w:val="0"/>
        <w:adjustRightInd w:val="0"/>
        <w:ind w:firstLine="640" w:firstLineChars="200"/>
        <w:jc w:val="left"/>
        <w:rPr>
          <w:rFonts w:cs="黑体" w:asciiTheme="minorEastAsia" w:hAnsiTheme="minorEastAsia"/>
          <w:color w:val="000000"/>
          <w:kern w:val="0"/>
          <w:sz w:val="32"/>
          <w:szCs w:val="32"/>
        </w:rPr>
      </w:pPr>
    </w:p>
    <w:p>
      <w:pPr>
        <w:autoSpaceDE w:val="0"/>
        <w:autoSpaceDN w:val="0"/>
        <w:adjustRightInd w:val="0"/>
        <w:ind w:firstLine="640" w:firstLineChars="200"/>
        <w:jc w:val="left"/>
        <w:rPr>
          <w:rFonts w:cs="黑体" w:asciiTheme="minorEastAsia" w:hAnsiTheme="minorEastAsia"/>
          <w:color w:val="000000"/>
          <w:kern w:val="0"/>
          <w:sz w:val="32"/>
          <w:szCs w:val="32"/>
        </w:rPr>
      </w:pPr>
    </w:p>
    <w:p>
      <w:pPr>
        <w:autoSpaceDE w:val="0"/>
        <w:autoSpaceDN w:val="0"/>
        <w:adjustRightInd w:val="0"/>
        <w:ind w:firstLine="640" w:firstLineChars="200"/>
        <w:jc w:val="left"/>
        <w:rPr>
          <w:rFonts w:cs="黑体" w:asciiTheme="minorEastAsia" w:hAnsiTheme="minorEastAsia"/>
          <w:color w:val="000000"/>
          <w:kern w:val="0"/>
          <w:sz w:val="32"/>
          <w:szCs w:val="32"/>
        </w:rPr>
      </w:pPr>
    </w:p>
    <w:p>
      <w:pPr>
        <w:autoSpaceDE w:val="0"/>
        <w:autoSpaceDN w:val="0"/>
        <w:adjustRightInd w:val="0"/>
        <w:ind w:firstLine="640" w:firstLineChars="200"/>
        <w:jc w:val="left"/>
        <w:rPr>
          <w:rFonts w:cs="黑体" w:asciiTheme="minorEastAsia" w:hAnsiTheme="minorEastAsia"/>
          <w:color w:val="000000"/>
          <w:kern w:val="0"/>
          <w:sz w:val="32"/>
          <w:szCs w:val="32"/>
        </w:rPr>
      </w:pPr>
    </w:p>
    <w:p>
      <w:pPr>
        <w:autoSpaceDE w:val="0"/>
        <w:autoSpaceDN w:val="0"/>
        <w:adjustRightInd w:val="0"/>
        <w:ind w:firstLine="640" w:firstLineChars="200"/>
        <w:jc w:val="left"/>
        <w:rPr>
          <w:rFonts w:cs="黑体" w:asciiTheme="minorEastAsia" w:hAnsiTheme="minorEastAsia"/>
          <w:color w:val="000000"/>
          <w:kern w:val="0"/>
          <w:sz w:val="32"/>
          <w:szCs w:val="32"/>
        </w:rPr>
      </w:pPr>
    </w:p>
    <w:p>
      <w:pPr>
        <w:autoSpaceDE w:val="0"/>
        <w:autoSpaceDN w:val="0"/>
        <w:adjustRightInd w:val="0"/>
        <w:ind w:firstLine="640" w:firstLineChars="200"/>
        <w:jc w:val="left"/>
        <w:rPr>
          <w:rFonts w:cs="黑体" w:asciiTheme="minorEastAsia" w:hAnsiTheme="minorEastAsia"/>
          <w:color w:val="000000"/>
          <w:kern w:val="0"/>
          <w:sz w:val="32"/>
          <w:szCs w:val="3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r>
        <w:rPr>
          <w:rFonts w:hint="eastAsia"/>
          <w:sz w:val="72"/>
          <w:szCs w:val="72"/>
        </w:rPr>
        <w:t>第四部分</w:t>
      </w:r>
    </w:p>
    <w:p>
      <w:pPr>
        <w:autoSpaceDE w:val="0"/>
        <w:autoSpaceDN w:val="0"/>
        <w:adjustRightInd w:val="0"/>
        <w:ind w:firstLine="640" w:firstLineChars="200"/>
        <w:jc w:val="left"/>
        <w:rPr>
          <w:rFonts w:cs="黑体" w:asciiTheme="minorEastAsia" w:hAnsiTheme="minorEastAsia"/>
          <w:color w:val="000000"/>
          <w:kern w:val="0"/>
          <w:sz w:val="32"/>
          <w:szCs w:val="32"/>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val="en-US"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sz w:val="72"/>
          <w:szCs w:val="72"/>
        </w:rPr>
      </w:pPr>
    </w:p>
    <w:p>
      <w:pPr>
        <w:pStyle w:val="12"/>
        <w:jc w:val="center"/>
        <w:rPr>
          <w:sz w:val="72"/>
          <w:szCs w:val="72"/>
        </w:rPr>
      </w:pPr>
    </w:p>
    <w:p>
      <w:pPr>
        <w:pStyle w:val="12"/>
        <w:jc w:val="both"/>
        <w:rPr>
          <w:sz w:val="72"/>
          <w:szCs w:val="72"/>
        </w:rPr>
      </w:pPr>
    </w:p>
    <w:p>
      <w:pPr>
        <w:pStyle w:val="12"/>
        <w:jc w:val="center"/>
        <w:rPr>
          <w:sz w:val="72"/>
          <w:szCs w:val="72"/>
        </w:rPr>
      </w:pPr>
    </w:p>
    <w:p>
      <w:pPr>
        <w:pStyle w:val="1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widowControl/>
        <w:shd w:val="clear" w:color="auto" w:fill="FFFFFF"/>
        <w:spacing w:line="600" w:lineRule="atLeast"/>
        <w:ind w:firstLine="640"/>
        <w:rPr>
          <w:rFonts w:hint="eastAsia" w:ascii="宋体" w:hAnsi="宋体" w:eastAsia="宋体" w:cs="宋体"/>
          <w:b/>
          <w:spacing w:val="-2"/>
          <w:sz w:val="32"/>
          <w:szCs w:val="21"/>
        </w:rPr>
      </w:pPr>
      <w:r>
        <w:rPr>
          <w:rFonts w:hint="eastAsia" w:ascii="宋体" w:hAnsi="宋体" w:eastAsia="宋体" w:cs="宋体"/>
          <w:b/>
          <w:spacing w:val="-2"/>
          <w:sz w:val="32"/>
          <w:szCs w:val="32"/>
        </w:rPr>
        <w:t>一、部门概况</w:t>
      </w:r>
    </w:p>
    <w:p>
      <w:pPr>
        <w:widowControl/>
        <w:shd w:val="clear" w:color="auto" w:fill="FFFFFF"/>
        <w:spacing w:line="600" w:lineRule="atLeast"/>
        <w:ind w:firstLine="640"/>
        <w:rPr>
          <w:rFonts w:ascii="仿宋" w:hAnsi="仿宋" w:eastAsia="仿宋"/>
          <w:spacing w:val="-2"/>
          <w:sz w:val="32"/>
          <w:szCs w:val="32"/>
        </w:rPr>
      </w:pPr>
      <w:r>
        <w:rPr>
          <w:rFonts w:hint="eastAsia" w:ascii="宋体" w:hAnsi="宋体" w:cs="黑体"/>
          <w:color w:val="000000"/>
          <w:kern w:val="0"/>
          <w:sz w:val="32"/>
          <w:szCs w:val="32"/>
        </w:rPr>
        <w:t>（一）部门基本情况（包括部门的在职人员情况、机构设置、主要职能及重点工作计划等）</w:t>
      </w:r>
      <w:r>
        <w:rPr>
          <w:rFonts w:ascii="仿宋" w:hAnsi="仿宋" w:eastAsia="仿宋"/>
          <w:spacing w:val="-2"/>
          <w:sz w:val="32"/>
          <w:szCs w:val="32"/>
        </w:rPr>
        <w:t>。</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鹤城区政务服务中心作为一级部门预算单位，内设6个股室，分别为综合部、行政审批制度改革事务部、效能监察部、政务服务部、政府网站运维部、网络技术部。本单位总编制数为21个，在职人员15人。</w:t>
      </w:r>
    </w:p>
    <w:p>
      <w:pPr>
        <w:spacing w:line="580" w:lineRule="exact"/>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部门职责</w:t>
      </w:r>
    </w:p>
    <w:p>
      <w:pPr>
        <w:spacing w:line="580" w:lineRule="exact"/>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 按照国家、省、市关于政务公开、政务服务、电子政务方面的法律、法规、方针政策和标准规范开展工作；拟订相关发展规划、年度计划和措施办法并组织实施。</w:t>
      </w:r>
    </w:p>
    <w:p>
      <w:pPr>
        <w:spacing w:line="580" w:lineRule="exact"/>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 xml:space="preserve">2. 负责区政府行政审批制度改革事务性工作；协调组织各级各有关部门集中开展行政审批和政务服务。 </w:t>
      </w:r>
    </w:p>
    <w:p>
      <w:pPr>
        <w:spacing w:line="580" w:lineRule="exact"/>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3. 协助配合工程建设项目审批制度改革、商事制度改革，协助开展对并联审批项目的协调督查；负责为重点项目、招商引资项目、工程建设项目等提供代办服务。</w:t>
      </w:r>
    </w:p>
    <w:p>
      <w:pPr>
        <w:spacing w:line="580" w:lineRule="exact"/>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 xml:space="preserve">    4. 负责提升“互联网+政务服务”水平；负责区“互联网+政务服务”一体化平台建设工作；负责实体大厅与网上政务服务平台融合发展、无缝衔接；优化提升政务服务大厅“一站式”功能。</w:t>
      </w:r>
    </w:p>
    <w:p>
      <w:pPr>
        <w:spacing w:line="580" w:lineRule="exact"/>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5. 负责区本级政务服务大厅建设和管理工作；承担进驻区政务大厅的办事窗口及政务服务事项的指导、协调和管理等事务，提供咨询、导办服务；负责制定政务服务大厅管理办法和规章制度，并组织实施；负责对进驻政务服务大厅窗口及其工作人员的日常监督指导和绩效考评。</w:t>
      </w:r>
    </w:p>
    <w:p>
      <w:pPr>
        <w:spacing w:line="580" w:lineRule="exact"/>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6. 负责指导和监督乡镇、街道党务政务服务中心建设运行工作；协调全区“放管服”改革工作的承接落实，指导社区、村便民服务站工作；负责对经区政府批准设立的各类专门办事服务大厅和分中心业务指导、工作协调和督促考评。</w:t>
      </w:r>
    </w:p>
    <w:p>
      <w:pPr>
        <w:spacing w:line="580" w:lineRule="exact"/>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 xml:space="preserve"> 7. 负责全区电子政务外网传输网络及其网络安全平台的建设、管理和维护工作；负责各级各部门电子政务网络互联互通，组织建立安全防范体系。</w:t>
      </w:r>
    </w:p>
    <w:p>
      <w:pPr>
        <w:spacing w:line="580" w:lineRule="exact"/>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 xml:space="preserve"> 8. 负责承办区政府门户网站，承担网站技术平台建设等工作；负责向市政府门户网站提供内容保障；承担全区政府网站及政务新媒体管理等工作，建立政府网站间的协调联动机制。</w:t>
      </w:r>
    </w:p>
    <w:p>
      <w:pPr>
        <w:spacing w:line="580" w:lineRule="exact"/>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9. 负责区政务公开工作；承担区本级政府信息网上公开的日常事务工作。</w:t>
      </w:r>
    </w:p>
    <w:p>
      <w:pPr>
        <w:spacing w:line="580" w:lineRule="exact"/>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10. 负责全区电子政务平台项目的建设、管理和运营维护等工作；规范全区政务信息资源的开发利用，负责推动政务大数据资源整合共享和应用；负责智慧政务服务网上办事大厅、智慧鹤城手机移动端和自助终端的日常管理、运营维护和建设工作；负责区数据中心机房和大数据综合分析平台的建设、管理和日常运营维护工作；负责区、乡镇（街道）、村（社区）三级视频会议系统的建设、运营维护等工作。负责全区“互联网+监督”平台、土地确权平台、智慧党建等平台的运营维护、操作培训和技术指导等工作。</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11. 完成区委、区政府交办的其他任务。</w:t>
      </w:r>
    </w:p>
    <w:p>
      <w:pPr>
        <w:widowControl/>
        <w:numPr>
          <w:ilvl w:val="0"/>
          <w:numId w:val="6"/>
        </w:numPr>
        <w:shd w:val="clear" w:color="auto" w:fill="FFFFFF"/>
        <w:spacing w:line="600" w:lineRule="atLeas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部门整体支出规模、使用方向和主要内容、涉及范围等。</w:t>
      </w:r>
    </w:p>
    <w:p>
      <w:pPr>
        <w:widowControl/>
        <w:shd w:val="clear" w:color="auto" w:fill="FFFFFF"/>
        <w:spacing w:line="600" w:lineRule="atLeast"/>
        <w:ind w:firstLine="640" w:firstLineChars="20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2021年度部门整体支出972.707897万元，其中人员经费15.672054万元，日常公用经费7.898951万元，项目支出949.136892万元。</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二、部门整体支出管理及使用情况</w:t>
      </w:r>
    </w:p>
    <w:p>
      <w:pPr>
        <w:widowControl/>
        <w:shd w:val="clear" w:color="auto" w:fill="FFFFFF"/>
        <w:spacing w:line="600" w:lineRule="atLeast"/>
        <w:ind w:firstLine="643"/>
        <w:rPr>
          <w:rFonts w:ascii="仿宋" w:hAnsi="仿宋" w:eastAsia="仿宋"/>
          <w:b/>
          <w:spacing w:val="-2"/>
          <w:sz w:val="32"/>
          <w:szCs w:val="21"/>
        </w:rPr>
      </w:pPr>
      <w:r>
        <w:rPr>
          <w:rFonts w:ascii="仿宋" w:hAnsi="仿宋" w:eastAsia="仿宋"/>
          <w:b/>
          <w:spacing w:val="-2"/>
          <w:sz w:val="32"/>
          <w:szCs w:val="32"/>
        </w:rPr>
        <w:t>（一）基本支出</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仿宋" w:hAnsi="仿宋" w:eastAsia="仿宋"/>
          <w:spacing w:val="-2"/>
          <w:kern w:val="2"/>
          <w:sz w:val="32"/>
          <w:szCs w:val="32"/>
        </w:rPr>
        <w:t>2021年度财政拨款基本支出9.76万元，其中：人员经费8.69万元，占基本支出的89.04%，主要包括基本工资、津贴补贴、奖金、机关事业单位基本养老保险缴费、其他工资福利支出、退休费、住房公积金、其他对个人</w:t>
      </w:r>
      <w:r>
        <w:rPr>
          <w:rFonts w:hint="eastAsia" w:ascii="宋体" w:hAnsi="宋体" w:cs="黑体" w:eastAsiaTheme="minorEastAsia"/>
          <w:color w:val="000000"/>
          <w:kern w:val="0"/>
          <w:sz w:val="32"/>
          <w:szCs w:val="32"/>
          <w:lang w:val="en-US" w:eastAsia="zh-CN" w:bidi="ar-SA"/>
        </w:rPr>
        <w:t>和家庭的补助支出；公用经费1.07万元，占基本支出的10.96%，主要包括劳务费、工会经费、其他交通费用和服务支出以及其他机关运行费用。</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2.“三公” 经费总支出情况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三公经费预算为0万元，其中：因公出国（境）费预算0万元,公务用车购置费0万元，公务用车运行维护费0万元，公务接待费0万元。本年度我单位实际支出0万元，其中：因公出国（境）费0万元，公务用车购置费0万元，公务用车运行维护费0万元，公务接待费0万元。</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3.因公出国（境）费用支出和公务用车（购置）情况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2021年参加出国（境）团组0个，因公出国（境）费用零支出，购置新车0台。</w:t>
      </w:r>
    </w:p>
    <w:p>
      <w:pPr>
        <w:widowControl/>
        <w:shd w:val="clear" w:color="auto" w:fill="FFFFFF"/>
        <w:spacing w:line="600" w:lineRule="atLeast"/>
        <w:ind w:firstLine="643"/>
        <w:rPr>
          <w:rFonts w:hint="eastAsia" w:ascii="宋体" w:hAnsi="宋体" w:eastAsia="宋体" w:cs="宋体"/>
          <w:b/>
          <w:spacing w:val="-2"/>
          <w:sz w:val="32"/>
          <w:szCs w:val="32"/>
        </w:rPr>
      </w:pPr>
      <w:r>
        <w:rPr>
          <w:rFonts w:hint="eastAsia" w:ascii="宋体" w:hAnsi="宋体" w:eastAsia="宋体" w:cs="宋体"/>
          <w:b/>
          <w:spacing w:val="-2"/>
          <w:sz w:val="32"/>
          <w:szCs w:val="32"/>
        </w:rPr>
        <w:t>（二）专项支出</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1、专项资金（包括财政资金、自筹资金等）安排落实、总投入等情况分析。</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2021年度专项支出949.136892万元（财政拨款949.136892万元），其中商品和服务支出97.935121万元、工资福利支出617.473771万元、资本性支出233.728万元。</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color w:val="000000"/>
          <w:kern w:val="0"/>
          <w:sz w:val="32"/>
          <w:szCs w:val="32"/>
          <w:lang w:val="en-US" w:eastAsia="zh-CN" w:bidi="ar-SA"/>
        </w:rPr>
        <w:t>2、</w:t>
      </w:r>
      <w:r>
        <w:rPr>
          <w:rFonts w:hint="eastAsia" w:ascii="宋体" w:hAnsi="宋体" w:cs="黑体" w:eastAsiaTheme="minorEastAsia"/>
          <w:color w:val="000000"/>
          <w:kern w:val="0"/>
          <w:sz w:val="32"/>
          <w:szCs w:val="32"/>
          <w:lang w:val="en-US" w:eastAsia="zh-CN" w:bidi="ar-SA"/>
        </w:rPr>
        <w:t>专项资金实际使用情况分析。</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度专项支出949.136892万元，主要项目包括：政务服务中心大厅运转经费、政务服务中心速递服务及免费打印复印经费、政务服务中心大厅使用设备运维升级及中心机房设备运维经费、政务服务中心窗口人员工资、政务服务中心电子政务外网、综合视频会议网络租赁费、政务服务中心异地新建大楼配套设施项目经费。</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color w:val="000000"/>
          <w:kern w:val="0"/>
          <w:sz w:val="32"/>
          <w:szCs w:val="32"/>
          <w:lang w:val="en-US" w:eastAsia="zh-CN" w:bidi="ar-SA"/>
        </w:rPr>
        <w:t>3、</w:t>
      </w:r>
      <w:r>
        <w:rPr>
          <w:rFonts w:hint="eastAsia" w:ascii="宋体" w:hAnsi="宋体" w:cs="黑体" w:eastAsiaTheme="minorEastAsia"/>
          <w:color w:val="000000"/>
          <w:kern w:val="0"/>
          <w:sz w:val="32"/>
          <w:szCs w:val="32"/>
          <w:lang w:val="en-US" w:eastAsia="zh-CN" w:bidi="ar-SA"/>
        </w:rPr>
        <w:t>专项资金管理情况分析，主要包括管理制度、办法的</w:t>
      </w:r>
      <w:r>
        <w:rPr>
          <w:rFonts w:hint="eastAsia" w:ascii="宋体" w:hAnsi="宋体" w:cs="黑体"/>
          <w:color w:val="000000"/>
          <w:kern w:val="0"/>
          <w:sz w:val="32"/>
          <w:szCs w:val="32"/>
          <w:lang w:val="en-US" w:eastAsia="zh-CN" w:bidi="ar-SA"/>
        </w:rPr>
        <w:t>制定</w:t>
      </w:r>
      <w:r>
        <w:rPr>
          <w:rFonts w:hint="eastAsia" w:ascii="宋体" w:hAnsi="宋体" w:cs="黑体" w:eastAsiaTheme="minorEastAsia"/>
          <w:color w:val="000000"/>
          <w:kern w:val="0"/>
          <w:sz w:val="32"/>
          <w:szCs w:val="32"/>
          <w:lang w:val="en-US" w:eastAsia="zh-CN" w:bidi="ar-SA"/>
        </w:rPr>
        <w:t>及执行情况。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认真落实鹤城区相关财务制度、管理规定，按照专项资金专款专用的原则，以项目库建设为核心，以部门绩效评价为资金分配的依据，建立了财务管理制度和经费开支审批管理办法，严格制度的执行，严格支出审批报销程序，做到了无虚列套取,无截留、挤占、挪用,无开支超预算或超标准等情况。</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三、部门专项组织实施情况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（一）专项组织情况分析，主要包括项目招投标、调整、竣工验收等情况。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度组织实施的政务中心异地新建大楼配套项目设施等项目均本着公平、公正、科学、择优的原则，严格按照有关规定进行招标，在指定媒介发布招标公告，并按公告约定时间、地点开标、评标。开标、评标过程均受财政、纪检等行政监督部门行政监督。</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w:t>
      </w:r>
      <w:r>
        <w:rPr>
          <w:rFonts w:hint="eastAsia" w:ascii="宋体" w:hAnsi="宋体" w:cs="黑体"/>
          <w:color w:val="000000"/>
          <w:kern w:val="0"/>
          <w:sz w:val="32"/>
          <w:szCs w:val="32"/>
          <w:lang w:val="en-US" w:eastAsia="zh-CN" w:bidi="ar-SA"/>
        </w:rPr>
        <w:t>二</w:t>
      </w:r>
      <w:r>
        <w:rPr>
          <w:rFonts w:hint="eastAsia" w:ascii="宋体" w:hAnsi="宋体" w:cs="黑体" w:eastAsiaTheme="minorEastAsia"/>
          <w:color w:val="000000"/>
          <w:kern w:val="0"/>
          <w:sz w:val="32"/>
          <w:szCs w:val="32"/>
          <w:lang w:val="en-US" w:eastAsia="zh-CN" w:bidi="ar-SA"/>
        </w:rPr>
        <w:t>）专项管理情况分析，主要包括项目管理制度建设、日常检查监督管理等情况。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政务服务中心制定了项目管理相关制度，包括合同制度、财务管理制度、廉洁自律制度等。在项目</w:t>
      </w:r>
      <w:r>
        <w:rPr>
          <w:rFonts w:hint="eastAsia" w:ascii="宋体" w:hAnsi="宋体" w:cs="黑体"/>
          <w:color w:val="000000"/>
          <w:kern w:val="0"/>
          <w:sz w:val="32"/>
          <w:szCs w:val="32"/>
          <w:lang w:val="en-US" w:eastAsia="zh-CN" w:bidi="ar-SA"/>
        </w:rPr>
        <w:t>实施过程</w:t>
      </w:r>
      <w:r>
        <w:rPr>
          <w:rFonts w:hint="eastAsia" w:ascii="宋体" w:hAnsi="宋体" w:cs="黑体" w:eastAsiaTheme="minorEastAsia"/>
          <w:color w:val="000000"/>
          <w:kern w:val="0"/>
          <w:sz w:val="32"/>
          <w:szCs w:val="32"/>
          <w:lang w:val="en-US" w:eastAsia="zh-CN" w:bidi="ar-SA"/>
        </w:rPr>
        <w:t>中，工作人员能严格执行制度的相关规定，派专人负责督查，确保建设任务按时高效完成。</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四、资产管理情况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2021年年末资产合计2496.84万元，其中流动资产为预付账款459.4万元，非流动资产为固定资产1720.86万元、在建工程316.58万元。</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本单位结合实际情况，制定了国有资产管理制度。坚持资产管理与预算管理相结合的原则，推行实物费用定额制度，促进事业资产整合与共享共用，实现资产管理和预算管理的紧密统一；坚持所有权和使用权相分离的原则；坚持资产管理与财务管理、实物管理与价值管理相结合的原则；树立风险意识，防范单位资产管理的风险和漏洞。</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五、部门整体支出绩效情况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来，鹤城区政务服务中心在区委、区政府的正确领导下，始终坚持以人民为中心的发展思路，围绕省、市政务管理服务重点工作，不断深化“放管服”和“一件事一次办”改革、优化营商政务环境，服务质效持续提升，政务管理服务工作取得了较好成绩，初步形成了鹤城区政务服务品牌，典型经验做法在全省政务服务大厅运行管理检查交流情况通报中予以通报表扬，并得到国务院办公厅全国推介。通过加强预算收支管理，不断建立健全内部管理制度，梳理内部管理流程，部门整体支出管理水平得到提升。严格按照上级指示，在规定的时间里完成好了各项绩效目标工作。</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六、存在的主要问题</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人员严重缺编与工作任务繁重矛盾日益突出。</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七、改进措施和有关建议</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在编制内，充实政务中心人员配备，加强预算编制管理，提高预算的准确性，避免年中追加预算，将绩效管理理念贯穿于预算编制与执行全过程，合理地对财政支出进行管理，不断提升绩效管理水平。</w:t>
      </w:r>
    </w:p>
    <w:p/>
    <w:p>
      <w:pPr>
        <w:pStyle w:val="15"/>
        <w:spacing w:line="360" w:lineRule="auto"/>
        <w:ind w:firstLine="1320" w:firstLineChars="300"/>
        <w:jc w:val="center"/>
        <w:rPr>
          <w:rFonts w:ascii="黑体" w:eastAsia="黑体"/>
          <w:sz w:val="44"/>
          <w:szCs w:val="44"/>
        </w:rPr>
      </w:pPr>
    </w:p>
    <w:p>
      <w:pPr>
        <w:pStyle w:val="15"/>
        <w:spacing w:line="360" w:lineRule="auto"/>
        <w:ind w:firstLine="1320" w:firstLineChars="300"/>
        <w:jc w:val="center"/>
        <w:rPr>
          <w:rFonts w:ascii="黑体" w:eastAsia="黑体"/>
          <w:sz w:val="44"/>
          <w:szCs w:val="44"/>
        </w:rPr>
      </w:pPr>
    </w:p>
    <w:p>
      <w:pPr>
        <w:pStyle w:val="15"/>
        <w:spacing w:line="360" w:lineRule="auto"/>
        <w:ind w:firstLine="1320" w:firstLineChars="300"/>
        <w:jc w:val="center"/>
        <w:rPr>
          <w:rFonts w:ascii="黑体" w:eastAsia="黑体"/>
          <w:sz w:val="44"/>
          <w:szCs w:val="44"/>
        </w:rPr>
      </w:pPr>
    </w:p>
    <w:p>
      <w:pPr>
        <w:pStyle w:val="15"/>
        <w:spacing w:line="360" w:lineRule="auto"/>
        <w:ind w:firstLine="1320" w:firstLineChars="300"/>
        <w:jc w:val="center"/>
        <w:rPr>
          <w:rFonts w:ascii="黑体" w:eastAsia="黑体"/>
          <w:sz w:val="44"/>
          <w:szCs w:val="44"/>
        </w:rPr>
      </w:pPr>
    </w:p>
    <w:p>
      <w:pPr>
        <w:pStyle w:val="15"/>
        <w:spacing w:line="360" w:lineRule="auto"/>
        <w:ind w:firstLine="1320" w:firstLineChars="300"/>
        <w:jc w:val="center"/>
        <w:rPr>
          <w:rFonts w:ascii="黑体" w:eastAsia="黑体"/>
          <w:sz w:val="44"/>
          <w:szCs w:val="44"/>
        </w:rPr>
      </w:pPr>
    </w:p>
    <w:p>
      <w:pPr>
        <w:pStyle w:val="15"/>
        <w:spacing w:line="360" w:lineRule="auto"/>
        <w:ind w:firstLine="1320" w:firstLineChars="300"/>
        <w:jc w:val="center"/>
        <w:rPr>
          <w:rFonts w:ascii="黑体" w:eastAsia="黑体"/>
          <w:sz w:val="44"/>
          <w:szCs w:val="44"/>
        </w:rPr>
      </w:pPr>
    </w:p>
    <w:p>
      <w:pPr>
        <w:pStyle w:val="15"/>
        <w:spacing w:line="360" w:lineRule="auto"/>
        <w:ind w:firstLine="1320" w:firstLineChars="300"/>
        <w:jc w:val="center"/>
        <w:rPr>
          <w:rFonts w:ascii="黑体" w:eastAsia="黑体"/>
          <w:sz w:val="44"/>
          <w:szCs w:val="44"/>
        </w:rPr>
      </w:pPr>
    </w:p>
    <w:p>
      <w:pPr>
        <w:pStyle w:val="15"/>
        <w:spacing w:line="360" w:lineRule="auto"/>
        <w:ind w:firstLine="1320" w:firstLineChars="300"/>
        <w:jc w:val="center"/>
        <w:rPr>
          <w:rFonts w:ascii="黑体" w:eastAsia="黑体"/>
          <w:sz w:val="44"/>
          <w:szCs w:val="44"/>
        </w:rPr>
      </w:pPr>
    </w:p>
    <w:p>
      <w:pPr>
        <w:pStyle w:val="15"/>
        <w:spacing w:line="360" w:lineRule="auto"/>
        <w:ind w:firstLine="1320" w:firstLineChars="300"/>
        <w:jc w:val="center"/>
        <w:rPr>
          <w:rFonts w:ascii="黑体" w:eastAsia="黑体"/>
          <w:sz w:val="44"/>
          <w:szCs w:val="44"/>
        </w:rPr>
      </w:pPr>
    </w:p>
    <w:p>
      <w:pPr>
        <w:pStyle w:val="15"/>
        <w:spacing w:line="360" w:lineRule="auto"/>
        <w:ind w:firstLine="1320" w:firstLineChars="300"/>
        <w:jc w:val="center"/>
        <w:rPr>
          <w:rFonts w:ascii="黑体" w:eastAsia="黑体"/>
          <w:sz w:val="44"/>
          <w:szCs w:val="44"/>
        </w:rPr>
      </w:pPr>
    </w:p>
    <w:p>
      <w:pPr>
        <w:pStyle w:val="15"/>
        <w:spacing w:line="360" w:lineRule="auto"/>
        <w:jc w:val="both"/>
        <w:rPr>
          <w:rFonts w:ascii="黑体" w:eastAsia="黑体"/>
          <w:sz w:val="44"/>
          <w:szCs w:val="44"/>
        </w:rPr>
      </w:pPr>
    </w:p>
    <w:p>
      <w:pPr>
        <w:pStyle w:val="15"/>
        <w:spacing w:line="360" w:lineRule="auto"/>
        <w:jc w:val="center"/>
        <w:rPr>
          <w:rFonts w:ascii="黑体" w:eastAsia="黑体"/>
          <w:sz w:val="44"/>
          <w:szCs w:val="44"/>
        </w:rPr>
      </w:pPr>
      <w:r>
        <w:rPr>
          <w:rFonts w:hint="eastAsia" w:ascii="黑体" w:eastAsia="黑体"/>
          <w:sz w:val="44"/>
          <w:szCs w:val="44"/>
        </w:rPr>
        <w:t>专项资金绩效评价报告</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一、项目基本情况</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（一）项目概况</w:t>
      </w:r>
    </w:p>
    <w:p>
      <w:pPr>
        <w:pStyle w:val="13"/>
        <w:widowControl/>
        <w:numPr>
          <w:ilvl w:val="0"/>
          <w:numId w:val="7"/>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项目单位基本情况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鹤城区政务服务中心作为一级部门预算单位，内设6个股室，分别为综合部、行政审批制度改革事务部、效能监察部、政务服务部、政府网站运维部、网络技术部。本单位总编制数为21个，在职人员15人。</w:t>
      </w:r>
    </w:p>
    <w:p>
      <w:pPr>
        <w:pStyle w:val="13"/>
        <w:widowControl/>
        <w:numPr>
          <w:ilvl w:val="0"/>
          <w:numId w:val="7"/>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部门职责</w:t>
      </w:r>
    </w:p>
    <w:p>
      <w:pPr>
        <w:pStyle w:val="13"/>
        <w:widowControl/>
        <w:numPr>
          <w:ilvl w:val="0"/>
          <w:numId w:val="8"/>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按照国家、省、市关于政务公开、政务服务、电子政务方面的法律、法规、方针政策和标准规范开展工作；拟订相关发展规划、年度计划和措施办法并组织实施。</w:t>
      </w:r>
    </w:p>
    <w:p>
      <w:pPr>
        <w:pStyle w:val="13"/>
        <w:widowControl/>
        <w:numPr>
          <w:ilvl w:val="0"/>
          <w:numId w:val="8"/>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 xml:space="preserve">负责区政府行政审批制度改革事务性工作；协调组织各级各有关部门集中开展行政审批和政务服务。 </w:t>
      </w:r>
    </w:p>
    <w:p>
      <w:pPr>
        <w:pStyle w:val="13"/>
        <w:widowControl/>
        <w:numPr>
          <w:ilvl w:val="0"/>
          <w:numId w:val="8"/>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协助配合工程建设项目审批制度改革、商事制度改革，协助开展对并联审批项目的协调督查；负责为重点项目、招商引资项目、工程建设项目等提供代办服务。</w:t>
      </w:r>
    </w:p>
    <w:p>
      <w:pPr>
        <w:pStyle w:val="13"/>
        <w:widowControl/>
        <w:numPr>
          <w:ilvl w:val="0"/>
          <w:numId w:val="8"/>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负责提升“互联网+政务服务”水平；负责区“互联网+政务服务”一体化平台建设工作；负责实体大厅与网上政务服务平台融合发展、无缝衔接；优化提升政务服务大厅“一站式”功能。</w:t>
      </w:r>
    </w:p>
    <w:p>
      <w:pPr>
        <w:pStyle w:val="13"/>
        <w:widowControl/>
        <w:numPr>
          <w:ilvl w:val="0"/>
          <w:numId w:val="8"/>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负责区本级政务服务大厅建设和管理工作；承担进驻区政务大厅的办事窗口及政务服务事项的指导、协调和管理等事务，提供咨询、导办服务；负责制定政务服务大厅管理办法和规章制度，并组织实施；负责对进驻政务服务大厅窗口及其工作人员的日常监督指导和绩效考评。</w:t>
      </w:r>
    </w:p>
    <w:p>
      <w:pPr>
        <w:pStyle w:val="13"/>
        <w:widowControl/>
        <w:numPr>
          <w:ilvl w:val="0"/>
          <w:numId w:val="8"/>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负责指导和监督乡镇、街道党务政务服务中心建设运行工作；协调全区“放管服”改革工作的承接落实，指导社区、村便民服务站工作；负责对经区政府批准设立的各类专门办事服务大厅和分中心业务指导、工作协调和督促考评。</w:t>
      </w:r>
    </w:p>
    <w:p>
      <w:pPr>
        <w:pStyle w:val="13"/>
        <w:widowControl/>
        <w:numPr>
          <w:ilvl w:val="0"/>
          <w:numId w:val="8"/>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负责全区电子政务外网传输网络及其网络安全平台的建设、管理和维护工作；负责各级各部门电子政务网络互联互通，组织建立安全防范体系。</w:t>
      </w:r>
    </w:p>
    <w:p>
      <w:pPr>
        <w:pStyle w:val="13"/>
        <w:widowControl/>
        <w:numPr>
          <w:ilvl w:val="0"/>
          <w:numId w:val="8"/>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负责承办区政府门户网站，承担网站技术平台建设等工作；负责向市政府门户网站提供内容保障；承担全区政府网站及政务新媒体管理等工作，建立政府网站间的协调联动机制。</w:t>
      </w:r>
    </w:p>
    <w:p>
      <w:pPr>
        <w:pStyle w:val="13"/>
        <w:widowControl/>
        <w:numPr>
          <w:ilvl w:val="0"/>
          <w:numId w:val="8"/>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负责区政务公开工作；承担区本级政府信息网上公开的日常事务工作。</w:t>
      </w:r>
    </w:p>
    <w:p>
      <w:pPr>
        <w:pStyle w:val="13"/>
        <w:widowControl/>
        <w:numPr>
          <w:ilvl w:val="0"/>
          <w:numId w:val="8"/>
        </w:numPr>
        <w:spacing w:line="580" w:lineRule="exact"/>
        <w:ind w:left="1265" w:leftChars="0" w:hanging="425" w:firstLineChars="0"/>
        <w:jc w:val="left"/>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负责全区电子政务平台项目的建设、管理和运营维护等工作；规范全区政务信息资源的开发利用，负责推动政务大数据资源整合共享和应用；负责智慧政务服务网上办事大厅、智慧鹤城手机移动端和自助终端的日常管理、运营维护和建设工作；负责区数据中心机房和大数据综合分析平台的建设、管理和日常运营维护工作；负责区、乡镇（街道）、村（社区）三级视频会议系统的建设、运营维护等工作。负责全区“互联网+监督”平台、土地确权平台、智慧党建等平台的运营维护、操作培训和技术指导等工作。</w:t>
      </w:r>
    </w:p>
    <w:p>
      <w:pPr>
        <w:pStyle w:val="13"/>
        <w:widowControl/>
        <w:numPr>
          <w:ilvl w:val="0"/>
          <w:numId w:val="8"/>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完成区委、区政府交办的其他任务。</w:t>
      </w:r>
    </w:p>
    <w:p>
      <w:pPr>
        <w:pStyle w:val="13"/>
        <w:widowControl/>
        <w:numPr>
          <w:ilvl w:val="0"/>
          <w:numId w:val="7"/>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项目的实施依据</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项目实施依据是中共怀化市</w:t>
      </w:r>
      <w:r>
        <w:rPr>
          <w:rFonts w:hint="eastAsia" w:ascii="宋体" w:hAnsi="宋体" w:cs="黑体"/>
          <w:color w:val="000000"/>
          <w:kern w:val="0"/>
          <w:sz w:val="32"/>
          <w:szCs w:val="32"/>
          <w:lang w:val="en-US" w:eastAsia="zh-CN" w:bidi="ar-SA"/>
        </w:rPr>
        <w:t>鹤城区委书记</w:t>
      </w:r>
      <w:r>
        <w:rPr>
          <w:rFonts w:hint="eastAsia" w:ascii="宋体" w:hAnsi="宋体" w:cs="黑体" w:eastAsiaTheme="minorEastAsia"/>
          <w:color w:val="000000"/>
          <w:kern w:val="0"/>
          <w:sz w:val="32"/>
          <w:szCs w:val="32"/>
          <w:lang w:val="en-US" w:eastAsia="zh-CN" w:bidi="ar-SA"/>
        </w:rPr>
        <w:t>办公会议纪要[2016]第3号、区委书记办公会议纪要[2016]第5号、中共怀化市鹤城区委书记专题会议纪要【2019】第13号、中共怀化市鹤城区委常委会议纪要【2017】第3号，区委常委会议纪要[2019]第6号。</w:t>
      </w:r>
    </w:p>
    <w:p>
      <w:pPr>
        <w:pStyle w:val="13"/>
        <w:widowControl/>
        <w:numPr>
          <w:ilvl w:val="0"/>
          <w:numId w:val="7"/>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项目基本性质、用途和主要内容、涉及范围</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政务中心临聘人员工资保障临聘人员工资到位，发放临聘人员54人，全年工资296.712万元。政务中心缴纳社保基数符合国家标准，每月工资按时发放，保证临聘人员的基本生活。运维经费42.5万元、网络、视频租赁费56.24万元保障政务服务大厅各项工作正常运行，提升政务服务水平。政务中心异地新建大楼配套设施项目553.684892万元，全面实现“一站式”服务，切实解决老百姓办事多头跑、往返跑等问题，全面实现“进一扇门、办所有事”。</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（二）项目绩效目标</w:t>
      </w:r>
    </w:p>
    <w:p>
      <w:pPr>
        <w:pStyle w:val="13"/>
        <w:widowControl/>
        <w:numPr>
          <w:ilvl w:val="0"/>
          <w:numId w:val="9"/>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项目绩效总目标和阶段性目标</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确保政务中心及窗口正常运转；全程帮代办服务工作有效开展，企业满意；政务公开信息及时、准确、全面；改造办公环境，提高服务质量，各类行政许可、审批和服务项目顺利实施，提升群众的满意度；政务中心项目能够按时完工，早日搬进新楼，方便群众“进一扇门，办所有事”。进一步推进“一站式”服务；“就近办”服务；提升政务服务水平；推进中心党建工作。网络租赁费充分保障政务服务大厅正常运行，提升政务服务水平。</w:t>
      </w:r>
    </w:p>
    <w:p>
      <w:pPr>
        <w:pStyle w:val="13"/>
        <w:widowControl/>
        <w:numPr>
          <w:ilvl w:val="0"/>
          <w:numId w:val="9"/>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预期主要的生态、社会和经济效益</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提升了政务服务水平，方便群众“进一扇门，办所有事”。</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w:t>
      </w:r>
      <w:r>
        <w:rPr>
          <w:rFonts w:hint="eastAsia" w:ascii="宋体" w:hAnsi="宋体" w:eastAsia="宋体" w:cs="宋体"/>
          <w:b/>
          <w:spacing w:val="-2"/>
          <w:sz w:val="32"/>
          <w:szCs w:val="32"/>
          <w:lang w:val="en-US" w:eastAsia="zh-CN"/>
        </w:rPr>
        <w:t>三</w:t>
      </w:r>
      <w:r>
        <w:rPr>
          <w:rFonts w:hint="eastAsia" w:ascii="宋体" w:hAnsi="宋体" w:eastAsia="宋体" w:cs="宋体"/>
          <w:b/>
          <w:spacing w:val="-2"/>
          <w:sz w:val="32"/>
          <w:szCs w:val="32"/>
        </w:rPr>
        <w:t>）绩效评价工作情况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根据《怀化市鹤城区财政局关于开展2021年度全区部</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门整体支出、专项资金绩效自评工作的通知》(鹤财绩(2022)8号)文件要求，开展绩效评价工作。加强组织领导，明确工作责任。对专项资金绩效自评工作，我中心领导高度重视，由分管财务的领导主持召开了会议，将专项绩效自评工作落实到相对应的部门，做到一个项目一个项目的自评，层层抓落实。通过开展绩效评价，全面了解、分析项目实施程序是否规范，后期维护是否完善，资金使用、管理是否合规，项目绩效目标是否实现，进一步健全相关制度，规范资金使用、管理，加强项目后期运行维护，确保项目正常运行，提高财政资金使用效益。</w:t>
      </w:r>
    </w:p>
    <w:p>
      <w:pPr>
        <w:pStyle w:val="15"/>
        <w:spacing w:line="360" w:lineRule="auto"/>
        <w:ind w:firstLine="640" w:firstLineChars="200"/>
        <w:rPr>
          <w:rFonts w:hint="eastAsia" w:ascii="宋体" w:hAnsi="宋体" w:eastAsia="宋体" w:cs="宋体"/>
          <w:b/>
          <w:spacing w:val="-2"/>
          <w:kern w:val="2"/>
          <w:sz w:val="32"/>
          <w:szCs w:val="32"/>
          <w:lang w:val="en-US" w:eastAsia="zh-CN" w:bidi="ar-SA"/>
        </w:rPr>
      </w:pPr>
      <w:r>
        <w:rPr>
          <w:rFonts w:hint="eastAsia" w:ascii="楷体" w:eastAsia="楷体"/>
          <w:b/>
          <w:sz w:val="32"/>
          <w:szCs w:val="32"/>
        </w:rPr>
        <w:t>三、</w:t>
      </w:r>
      <w:r>
        <w:rPr>
          <w:rFonts w:hint="eastAsia" w:ascii="宋体" w:hAnsi="宋体" w:eastAsia="宋体" w:cs="宋体"/>
          <w:b/>
          <w:spacing w:val="-2"/>
          <w:kern w:val="2"/>
          <w:sz w:val="32"/>
          <w:szCs w:val="32"/>
          <w:lang w:val="en-US" w:eastAsia="zh-CN" w:bidi="ar-SA"/>
        </w:rPr>
        <w:t>绩效评价指标分析情况</w:t>
      </w:r>
    </w:p>
    <w:p>
      <w:pPr>
        <w:pStyle w:val="15"/>
        <w:spacing w:line="360" w:lineRule="auto"/>
        <w:ind w:firstLine="632" w:firstLineChars="200"/>
        <w:rPr>
          <w:rFonts w:hint="eastAsia" w:ascii="宋体" w:hAnsi="宋体" w:eastAsia="宋体" w:cs="宋体"/>
          <w:b/>
          <w:spacing w:val="-2"/>
          <w:kern w:val="2"/>
          <w:sz w:val="32"/>
          <w:szCs w:val="32"/>
          <w:lang w:val="en-US" w:eastAsia="zh-CN" w:bidi="ar-SA"/>
        </w:rPr>
      </w:pPr>
      <w:r>
        <w:rPr>
          <w:rFonts w:hint="eastAsia" w:ascii="宋体" w:hAnsi="宋体" w:eastAsia="宋体" w:cs="宋体"/>
          <w:b/>
          <w:spacing w:val="-2"/>
          <w:kern w:val="2"/>
          <w:sz w:val="32"/>
          <w:szCs w:val="32"/>
          <w:lang w:val="en-US" w:eastAsia="zh-CN" w:bidi="ar-SA"/>
        </w:rPr>
        <w:t>（一）项目资金情况分析</w:t>
      </w:r>
    </w:p>
    <w:p>
      <w:pPr>
        <w:pStyle w:val="13"/>
        <w:widowControl/>
        <w:numPr>
          <w:ilvl w:val="0"/>
          <w:numId w:val="10"/>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项目资金到位情况分析</w:t>
      </w:r>
      <w:r>
        <w:rPr>
          <w:rFonts w:hint="eastAsia" w:ascii="宋体" w:hAnsi="宋体" w:cs="黑体" w:eastAsiaTheme="minorEastAsia"/>
          <w:color w:val="000000"/>
          <w:kern w:val="0"/>
          <w:sz w:val="32"/>
          <w:szCs w:val="32"/>
          <w:lang w:val="en-US" w:eastAsia="zh-CN" w:bidi="ar-SA"/>
        </w:rPr>
        <w:tab/>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根据年度工作任务安排，项目支出全部据实核拨，核拨金额949.136892万元，资金全部是财政资金，无自筹资金。</w:t>
      </w:r>
    </w:p>
    <w:p>
      <w:pPr>
        <w:pStyle w:val="13"/>
        <w:widowControl/>
        <w:numPr>
          <w:ilvl w:val="0"/>
          <w:numId w:val="10"/>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项目资金使用情况分析</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严格按照预算执行，2021年项目资金949.136892万元，主要用于保障政务服务中心临聘人员工资、社保缴费等，政务服务中心异地新建大楼配套设施项目，全区电子政务外网及视频会议系统网络租赁费，政务服务中心正常运转、政务公开、行政审批等工作开展。</w:t>
      </w:r>
    </w:p>
    <w:p>
      <w:pPr>
        <w:pStyle w:val="13"/>
        <w:widowControl/>
        <w:numPr>
          <w:ilvl w:val="0"/>
          <w:numId w:val="10"/>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项目资金管理情况分析</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严格按照区政务服务中心财务管理制度审核开支，实行一支笔管理，未出现违法违规开支现象。</w:t>
      </w:r>
    </w:p>
    <w:p>
      <w:pPr>
        <w:pStyle w:val="15"/>
        <w:spacing w:line="360" w:lineRule="auto"/>
        <w:ind w:firstLine="632" w:firstLineChars="200"/>
        <w:rPr>
          <w:rFonts w:ascii="楷体" w:eastAsia="楷体"/>
          <w:b/>
          <w:sz w:val="32"/>
          <w:szCs w:val="32"/>
        </w:rPr>
      </w:pPr>
      <w:r>
        <w:rPr>
          <w:rFonts w:hint="eastAsia" w:ascii="宋体" w:hAnsi="宋体" w:eastAsia="宋体" w:cs="宋体"/>
          <w:b/>
          <w:spacing w:val="-2"/>
          <w:kern w:val="2"/>
          <w:sz w:val="32"/>
          <w:szCs w:val="32"/>
          <w:lang w:val="en-US" w:eastAsia="zh-CN" w:bidi="ar-SA"/>
        </w:rPr>
        <w:t>（二）项目实施情况分析</w:t>
      </w:r>
    </w:p>
    <w:p>
      <w:pPr>
        <w:pStyle w:val="13"/>
        <w:widowControl/>
        <w:numPr>
          <w:ilvl w:val="0"/>
          <w:numId w:val="11"/>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项目组织情况分析</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根据年初预算安排，严格按照预算执行，有预算有支出，无预算无支出，确保各专项支出用于区政务服务中心各专项工作。</w:t>
      </w:r>
    </w:p>
    <w:p>
      <w:pPr>
        <w:pStyle w:val="13"/>
        <w:widowControl/>
        <w:numPr>
          <w:ilvl w:val="0"/>
          <w:numId w:val="11"/>
        </w:numPr>
        <w:spacing w:line="580" w:lineRule="exact"/>
        <w:ind w:left="126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项目管理情况分析</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为了进一步加强和规范对专项资金的管理，提高专项资金的使用效益，促进政务服务中心稳步发展，专项资金的管理应当遵循依法设立、统筹兼顾、公开透明、规范管理、绩效评价、跟踪监督的原则，资金申报和使用情况向社会公开，接受有关部门和社会监督，确保资金安排使用合法、合规、高效。</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 xml:space="preserve">（三）项目绩效情况分析 </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1、项目经济性分析</w:t>
      </w:r>
    </w:p>
    <w:p>
      <w:pPr>
        <w:pStyle w:val="13"/>
        <w:widowControl/>
        <w:numPr>
          <w:ilvl w:val="0"/>
          <w:numId w:val="12"/>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项目成本（预算）控制情况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2021年政务服务中心专项资金949.136892万元，实际支出专项资金949.136892。</w:t>
      </w:r>
    </w:p>
    <w:p>
      <w:pPr>
        <w:pStyle w:val="13"/>
        <w:widowControl/>
        <w:numPr>
          <w:ilvl w:val="0"/>
          <w:numId w:val="12"/>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项目成本（预算）节约情况</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我单位严格执行《党政机关厉行节约反对浪费条例》，建立健全财务管理制度，强化财务监督，严肃财经纪律，厉行节约，专款专用，有效发挥项目资金的良好作用，较好的保障了区政务中心的正常运行。</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rPr>
        <w:t>2、项目的效率性分析</w:t>
      </w:r>
    </w:p>
    <w:p>
      <w:pPr>
        <w:pStyle w:val="13"/>
        <w:widowControl/>
        <w:numPr>
          <w:ilvl w:val="0"/>
          <w:numId w:val="13"/>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项目的实施进度</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项目实施进度在2021年底完成年度目标。</w:t>
      </w:r>
    </w:p>
    <w:p>
      <w:pPr>
        <w:pStyle w:val="13"/>
        <w:widowControl/>
        <w:numPr>
          <w:ilvl w:val="0"/>
          <w:numId w:val="13"/>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项目完成质量</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各项工作圆满完成，临聘人员工资足额支付，全区电子政务外网、视频会议系统网络通畅、政务服务中心有效运行，政务服务中心异地新建大楼配套设施保质保量完成了任务，提升了政务服务水平，人民群众满意度得到提高，。</w:t>
      </w:r>
    </w:p>
    <w:p>
      <w:pPr>
        <w:pStyle w:val="15"/>
        <w:spacing w:line="360" w:lineRule="auto"/>
        <w:ind w:firstLine="632" w:firstLineChars="200"/>
        <w:rPr>
          <w:rFonts w:ascii="楷体" w:eastAsia="楷体"/>
          <w:b/>
          <w:sz w:val="32"/>
          <w:szCs w:val="32"/>
        </w:rPr>
      </w:pPr>
      <w:r>
        <w:rPr>
          <w:rFonts w:hint="eastAsia" w:ascii="宋体" w:hAnsi="宋体" w:eastAsia="宋体" w:cs="宋体"/>
          <w:b/>
          <w:spacing w:val="-2"/>
          <w:kern w:val="2"/>
          <w:sz w:val="32"/>
          <w:szCs w:val="32"/>
          <w:lang w:val="en-US" w:eastAsia="zh-CN" w:bidi="ar-SA"/>
        </w:rPr>
        <w:t>3、项目的效益性分析</w:t>
      </w:r>
    </w:p>
    <w:p>
      <w:pPr>
        <w:pStyle w:val="13"/>
        <w:widowControl/>
        <w:numPr>
          <w:ilvl w:val="0"/>
          <w:numId w:val="14"/>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项目预期目标完成程度</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经过一年的运行，区政务服务中心工作取得了阶段性的成果，政务大厅办事群众对服务人员态度满意度高，各项平台数据能够及时发布，起到了良好的社会效应，同时也提高了办事人员的积极性。政务中心临聘人员工资296.712万元、运维经费42.5万元、网络、视频租赁费56.24万元，政务中心异地新建大楼配套设施项目553.684892万元，以上绩效目标均按预算执行到位。</w:t>
      </w:r>
    </w:p>
    <w:p>
      <w:pPr>
        <w:pStyle w:val="13"/>
        <w:widowControl/>
        <w:numPr>
          <w:ilvl w:val="0"/>
          <w:numId w:val="14"/>
        </w:numPr>
        <w:spacing w:line="580" w:lineRule="exact"/>
        <w:ind w:left="1055" w:leftChars="0" w:hanging="425" w:firstLine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项目实施对经济和社会的影响</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经济效益：提高政务服务质量，为鹤城区经济社会发展提供便民利商的优质服务。</w:t>
      </w:r>
    </w:p>
    <w:p>
      <w:pPr>
        <w:pStyle w:val="13"/>
        <w:widowControl/>
        <w:numPr>
          <w:ilvl w:val="0"/>
          <w:numId w:val="0"/>
        </w:numPr>
        <w:spacing w:line="580" w:lineRule="exact"/>
        <w:ind w:left="630" w:leftChars="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社会效益：提高办事群众对政务服务中心满意度。</w:t>
      </w:r>
    </w:p>
    <w:p>
      <w:pPr>
        <w:widowControl/>
        <w:shd w:val="clear" w:color="auto" w:fill="FFFFFF"/>
        <w:spacing w:line="600" w:lineRule="atLeast"/>
        <w:ind w:firstLine="640"/>
        <w:rPr>
          <w:rFonts w:hint="eastAsia" w:ascii="宋体" w:hAnsi="宋体" w:eastAsia="宋体" w:cs="宋体"/>
          <w:b/>
          <w:spacing w:val="-2"/>
          <w:sz w:val="32"/>
          <w:szCs w:val="32"/>
        </w:rPr>
      </w:pPr>
      <w:r>
        <w:rPr>
          <w:rFonts w:hint="eastAsia" w:ascii="宋体" w:hAnsi="宋体" w:eastAsia="宋体" w:cs="宋体"/>
          <w:b/>
          <w:spacing w:val="-2"/>
          <w:sz w:val="32"/>
          <w:szCs w:val="32"/>
          <w:lang w:eastAsia="zh-CN"/>
        </w:rPr>
        <w:t>（</w:t>
      </w:r>
      <w:r>
        <w:rPr>
          <w:rFonts w:hint="eastAsia" w:ascii="宋体" w:hAnsi="宋体" w:eastAsia="宋体" w:cs="宋体"/>
          <w:b/>
          <w:spacing w:val="-2"/>
          <w:sz w:val="32"/>
          <w:szCs w:val="32"/>
          <w:lang w:val="en-US" w:eastAsia="zh-CN"/>
        </w:rPr>
        <w:t>四）</w:t>
      </w:r>
      <w:r>
        <w:rPr>
          <w:rFonts w:hint="eastAsia" w:ascii="宋体" w:hAnsi="宋体" w:eastAsia="宋体" w:cs="宋体"/>
          <w:b/>
          <w:spacing w:val="-2"/>
          <w:sz w:val="32"/>
          <w:szCs w:val="32"/>
        </w:rPr>
        <w:t>综合评价情况及评价结论（附相关评分表）</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我中心积极推进预算绩效管理，合理制定和编制年初预算，加强资金管理，提高资金使用效益，建立完善内部监察机制，合理列支年度经费支出。通过开展绩效评价，我中心更容易找出项目管理中存在的问题并分析其原因，促使我单位健全项目资金的核算与管理制度，改进资金使用管理方式，逐步形成自我约束意识，提高管理水平。我单位严格执行预算管理，节约、合理进行收支预算申报，严格按照财务管理制度管控开支。自我填报专项资金绩效评价共性指标表得分100分。</w:t>
      </w:r>
    </w:p>
    <w:p>
      <w:pPr>
        <w:pStyle w:val="15"/>
        <w:numPr>
          <w:ilvl w:val="0"/>
          <w:numId w:val="15"/>
        </w:numPr>
        <w:spacing w:line="360" w:lineRule="auto"/>
        <w:ind w:firstLine="640" w:firstLineChars="200"/>
        <w:rPr>
          <w:rFonts w:ascii="楷体" w:eastAsia="楷体"/>
          <w:b/>
          <w:sz w:val="32"/>
          <w:szCs w:val="32"/>
        </w:rPr>
      </w:pPr>
      <w:r>
        <w:rPr>
          <w:rFonts w:hint="eastAsia" w:ascii="楷体" w:eastAsia="楷体"/>
          <w:b/>
          <w:sz w:val="32"/>
          <w:szCs w:val="32"/>
        </w:rPr>
        <w:t>绩效评价结果应用建议</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2021年绩效评价工作完成后,我中心及时整理、归纳、分析绩效评价结果,作为改进预算管理和安排以后年度预算的重要依据。根据绩效评价的结果,我中心相应改进管理措施,完善管理办法,调整和优化本单位预算支出结构,合理配置资源。</w:t>
      </w:r>
    </w:p>
    <w:p>
      <w:pPr>
        <w:pStyle w:val="15"/>
        <w:spacing w:line="360" w:lineRule="auto"/>
        <w:ind w:firstLine="640" w:firstLineChars="200"/>
        <w:rPr>
          <w:rFonts w:ascii="楷体" w:eastAsia="楷体"/>
          <w:b/>
          <w:sz w:val="32"/>
          <w:szCs w:val="32"/>
        </w:rPr>
      </w:pPr>
      <w:r>
        <w:rPr>
          <w:rFonts w:hint="eastAsia" w:ascii="楷体" w:eastAsia="楷体"/>
          <w:b/>
          <w:sz w:val="32"/>
          <w:szCs w:val="32"/>
        </w:rPr>
        <w:t>六、主要经验及做法、存在的问题和建议</w:t>
      </w:r>
    </w:p>
    <w:p>
      <w:pPr>
        <w:pStyle w:val="13"/>
        <w:widowControl/>
        <w:spacing w:line="580" w:lineRule="exact"/>
        <w:ind w:firstLine="640"/>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财政在审核预算编制时，能允许单位根据自己的实际情况，做出更合理的预算编制。</w:t>
      </w:r>
    </w:p>
    <w:p>
      <w:pPr>
        <w:pStyle w:val="15"/>
        <w:spacing w:line="360" w:lineRule="auto"/>
        <w:ind w:firstLine="640" w:firstLineChars="200"/>
        <w:rPr>
          <w:rFonts w:ascii="楷体" w:eastAsia="楷体"/>
          <w:b/>
          <w:sz w:val="32"/>
          <w:szCs w:val="32"/>
        </w:rPr>
      </w:pPr>
      <w:r>
        <w:rPr>
          <w:rFonts w:hint="eastAsia" w:ascii="楷体" w:eastAsia="楷体"/>
          <w:b/>
          <w:sz w:val="32"/>
          <w:szCs w:val="32"/>
        </w:rPr>
        <w:t>七、其他需要说明的问题</w:t>
      </w:r>
    </w:p>
    <w:p>
      <w:pPr>
        <w:pStyle w:val="15"/>
        <w:spacing w:line="360" w:lineRule="auto"/>
        <w:ind w:firstLine="640" w:firstLineChars="200"/>
        <w:rPr>
          <w:rFonts w:ascii="楷体" w:eastAsia="楷体"/>
          <w:b/>
          <w:sz w:val="32"/>
          <w:szCs w:val="32"/>
        </w:rPr>
      </w:pPr>
      <w:r>
        <w:rPr>
          <w:rFonts w:hint="eastAsia" w:ascii="楷体" w:eastAsia="楷体"/>
          <w:b/>
          <w:sz w:val="32"/>
          <w:szCs w:val="32"/>
        </w:rPr>
        <w:t>无。</w:t>
      </w:r>
    </w:p>
    <w:p/>
    <w:p>
      <w:pPr>
        <w:autoSpaceDE w:val="0"/>
        <w:autoSpaceDN w:val="0"/>
        <w:adjustRightInd w:val="0"/>
        <w:ind w:firstLine="640" w:firstLineChars="200"/>
        <w:jc w:val="left"/>
        <w:rPr>
          <w:rFonts w:cs="黑体" w:asciiTheme="minorEastAsia" w:hAnsiTheme="minorEastAsia"/>
          <w:color w:val="FF0000"/>
          <w:kern w:val="0"/>
          <w:sz w:val="32"/>
          <w:szCs w:val="32"/>
        </w:rPr>
      </w:pPr>
    </w:p>
    <w:p>
      <w:pPr>
        <w:pStyle w:val="2"/>
        <w:rPr>
          <w:rFonts w:cs="黑体" w:asciiTheme="minorEastAsia" w:hAnsiTheme="minorEastAsia"/>
          <w:color w:val="FF0000"/>
          <w:kern w:val="0"/>
          <w:sz w:val="32"/>
          <w:szCs w:val="32"/>
        </w:rPr>
      </w:pPr>
    </w:p>
    <w:p>
      <w:pPr>
        <w:rPr>
          <w:rFonts w:cs="黑体" w:asciiTheme="minorEastAsia" w:hAnsiTheme="minorEastAsia"/>
          <w:color w:val="FF0000"/>
          <w:kern w:val="0"/>
          <w:sz w:val="32"/>
          <w:szCs w:val="32"/>
        </w:rPr>
      </w:pPr>
    </w:p>
    <w:p>
      <w:pPr>
        <w:pStyle w:val="2"/>
        <w:rPr>
          <w:rFonts w:cs="黑体" w:asciiTheme="minorEastAsia" w:hAnsiTheme="minorEastAsia"/>
          <w:color w:val="FF0000"/>
          <w:kern w:val="0"/>
          <w:sz w:val="32"/>
          <w:szCs w:val="32"/>
        </w:rPr>
      </w:pPr>
    </w:p>
    <w:p>
      <w:pPr>
        <w:pStyle w:val="13"/>
        <w:widowControl/>
        <w:spacing w:line="580" w:lineRule="exact"/>
        <w:ind w:left="0" w:leftChars="0" w:firstLine="0" w:firstLineChars="0"/>
        <w:rPr>
          <w:rFonts w:cs="黑体" w:asciiTheme="minorEastAsia" w:hAnsiTheme="minorEastAsia"/>
          <w:color w:val="000000"/>
          <w:kern w:val="0"/>
          <w:sz w:val="32"/>
          <w:szCs w:val="32"/>
        </w:rPr>
      </w:pPr>
    </w:p>
    <w:p>
      <w:pPr>
        <w:pStyle w:val="13"/>
        <w:widowControl/>
        <w:spacing w:line="580" w:lineRule="exact"/>
        <w:ind w:left="0" w:leftChars="0" w:firstLine="0" w:firstLineChars="0"/>
        <w:jc w:val="center"/>
        <w:rPr>
          <w:rFonts w:ascii="黑体" w:hAnsi="宋体" w:eastAsia="黑体" w:cs="宋体"/>
          <w:kern w:val="0"/>
          <w:sz w:val="32"/>
          <w:szCs w:val="32"/>
        </w:rPr>
      </w:pPr>
      <w:r>
        <w:rPr>
          <w:rFonts w:hint="eastAsia" w:ascii="黑体" w:hAnsi="宋体" w:eastAsia="黑体" w:cs="宋体"/>
          <w:kern w:val="0"/>
          <w:sz w:val="32"/>
          <w:szCs w:val="32"/>
        </w:rPr>
        <w:t>专项资金绩效目标自评表</w:t>
      </w:r>
    </w:p>
    <w:tbl>
      <w:tblPr>
        <w:tblStyle w:val="8"/>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color w:val="000000"/>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临聘人员工资、绩效、劳务费</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负责人</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eastAsia="宋体" w:cs="宋体"/>
                <w:color w:val="000000"/>
                <w:kern w:val="0"/>
                <w:szCs w:val="21"/>
              </w:rPr>
            </w:pPr>
            <w:r>
              <w:rPr>
                <w:rFonts w:hint="eastAsia" w:ascii="宋体" w:hAnsi="宋体" w:cs="宋体"/>
                <w:color w:val="000000"/>
                <w:kern w:val="0"/>
                <w:szCs w:val="21"/>
              </w:rPr>
              <w:t>　谢泽波2338201</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怀化市政务服务中心　</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鹤城区人民政府　</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eastAsia="宋体" w:cs="宋体"/>
                <w:color w:val="000000"/>
                <w:kern w:val="0"/>
                <w:szCs w:val="21"/>
              </w:rPr>
            </w:pPr>
            <w:r>
              <w:rPr>
                <w:rFonts w:hint="eastAsia" w:ascii="宋体" w:hAnsi="宋体" w:cs="宋体"/>
                <w:color w:val="000000"/>
                <w:kern w:val="0"/>
                <w:szCs w:val="21"/>
              </w:rPr>
              <w:t>　鹤城区政务服务中心</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296.712万元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296.712万元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　</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296.712万元</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296.712万元</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Cs w:val="21"/>
              </w:rPr>
            </w:pPr>
            <w:r>
              <w:rPr>
                <w:rFonts w:hint="eastAsia" w:ascii="仿宋_GB2312" w:hAnsi="宋体" w:eastAsia="仿宋_GB2312" w:cs="宋体"/>
                <w:color w:val="000000"/>
                <w:kern w:val="0"/>
                <w:szCs w:val="21"/>
              </w:rPr>
              <w:t>年初设定目标</w:t>
            </w:r>
            <w:r>
              <w:rPr>
                <w:rFonts w:hint="eastAsia" w:ascii="宋体" w:hAnsi="宋体" w:cs="宋体"/>
                <w:color w:val="000000"/>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全年实际完成情况</w:t>
            </w:r>
          </w:p>
        </w:tc>
      </w:tr>
      <w:tr>
        <w:tblPrEx>
          <w:tblCellMar>
            <w:top w:w="0" w:type="dxa"/>
            <w:left w:w="108" w:type="dxa"/>
            <w:bottom w:w="0" w:type="dxa"/>
            <w:right w:w="108" w:type="dxa"/>
          </w:tblCellMar>
        </w:tblPrEx>
        <w:trPr>
          <w:trHeight w:val="135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Cs w:val="21"/>
              </w:rPr>
            </w:pPr>
            <w:r>
              <w:rPr>
                <w:rFonts w:hint="eastAsia" w:eastAsia="仿宋_GB2312"/>
                <w:color w:val="000000"/>
                <w:kern w:val="0"/>
                <w:sz w:val="18"/>
                <w:szCs w:val="18"/>
              </w:rPr>
              <w:t>保证政务中心临聘人员工资到位,政务中心缴纳社保基数符合国家标准，每月工资按时发放，保证临聘人员的基本生活;保障了政务中心人员的稳定，能更好的发挥工作积极性。便于窗口工作人员管理，提高办事效率及群众满意度</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r>
              <w:rPr>
                <w:rFonts w:hint="eastAsia" w:eastAsia="仿宋_GB2312"/>
                <w:color w:val="000000"/>
                <w:kern w:val="0"/>
                <w:sz w:val="18"/>
                <w:szCs w:val="18"/>
              </w:rPr>
              <w:t>保证政务中心临聘人员工资到位,政务中心缴纳社保基数符合国家标准，每月工资按时发放，保证临聘人员的基本生活;保障了政务中心人员的稳定，能更好的发挥工作积极性。便于窗口工作人员管理，提高办事效率及群众满意度</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未完成原因和</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   出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临聘人员数量</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54</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54</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9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临聘人员工资足额支付率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政务服务中心有效运行</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有效</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有效</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701" w:type="dxa"/>
            <w:tcBorders>
              <w:top w:val="single" w:color="auto" w:sz="4" w:space="0"/>
              <w:left w:val="nil"/>
              <w:bottom w:val="single" w:color="auto" w:sz="4" w:space="0"/>
              <w:right w:val="single" w:color="auto" w:sz="4" w:space="0"/>
            </w:tcBorders>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临聘人员工资支付及时性</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599"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临聘人员工资、绩效、劳务费</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296.712万元</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296.712万元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648"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促进经济发展</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有所促进</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有所促进</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构建和谐社会</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有所改善</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有所改善</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1701"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保障政务服务工作正常运行</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正常运行</w:t>
            </w:r>
          </w:p>
        </w:tc>
        <w:tc>
          <w:tcPr>
            <w:tcW w:w="1104" w:type="dxa"/>
            <w:gridSpan w:val="2"/>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正常运行</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社会公众满意度</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98%</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98%</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color w:val="000000"/>
                <w:kern w:val="0"/>
                <w:szCs w:val="21"/>
              </w:rPr>
            </w:pP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12"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12"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color w:val="000000"/>
                <w:kern w:val="0"/>
                <w:szCs w:val="21"/>
              </w:rPr>
            </w:pPr>
          </w:p>
        </w:tc>
      </w:tr>
    </w:tbl>
    <w:p>
      <w:pPr>
        <w:spacing w:line="560" w:lineRule="exact"/>
        <w:rPr>
          <w:rFonts w:ascii="黑体" w:hAnsi="宋体" w:eastAsia="黑体" w:cs="宋体"/>
          <w:kern w:val="0"/>
          <w:sz w:val="36"/>
          <w:szCs w:val="36"/>
        </w:rPr>
      </w:pPr>
    </w:p>
    <w:p>
      <w:pPr>
        <w:spacing w:line="560" w:lineRule="exact"/>
        <w:ind w:firstLine="2240" w:firstLineChars="700"/>
        <w:rPr>
          <w:rFonts w:ascii="黑体" w:hAnsi="宋体" w:eastAsia="黑体" w:cs="宋体"/>
          <w:kern w:val="0"/>
          <w:sz w:val="32"/>
          <w:szCs w:val="32"/>
        </w:rPr>
      </w:pPr>
    </w:p>
    <w:p>
      <w:pPr>
        <w:spacing w:line="560" w:lineRule="exact"/>
        <w:ind w:firstLine="2240" w:firstLineChars="700"/>
        <w:rPr>
          <w:rFonts w:ascii="黑体" w:hAnsi="宋体" w:eastAsia="黑体" w:cs="宋体"/>
          <w:kern w:val="0"/>
          <w:sz w:val="32"/>
          <w:szCs w:val="32"/>
        </w:rPr>
      </w:pPr>
    </w:p>
    <w:p/>
    <w:p/>
    <w:p/>
    <w:p/>
    <w:p/>
    <w:p/>
    <w:p/>
    <w:p/>
    <w:p/>
    <w:p/>
    <w:p/>
    <w:p/>
    <w:p/>
    <w:p/>
    <w:p/>
    <w:p/>
    <w:p/>
    <w:p>
      <w:pPr>
        <w:spacing w:line="560" w:lineRule="exact"/>
        <w:ind w:firstLine="2240" w:firstLineChars="700"/>
        <w:rPr>
          <w:rFonts w:ascii="黑体" w:hAnsi="宋体" w:eastAsia="黑体" w:cs="宋体"/>
          <w:kern w:val="0"/>
          <w:sz w:val="32"/>
          <w:szCs w:val="32"/>
        </w:rPr>
      </w:pPr>
      <w:r>
        <w:rPr>
          <w:rFonts w:hint="eastAsia" w:ascii="黑体" w:hAnsi="宋体" w:eastAsia="黑体" w:cs="宋体"/>
          <w:kern w:val="0"/>
          <w:sz w:val="32"/>
          <w:szCs w:val="32"/>
        </w:rPr>
        <w:t>专项资金绩效目标自评表</w:t>
      </w:r>
    </w:p>
    <w:tbl>
      <w:tblPr>
        <w:tblStyle w:val="8"/>
        <w:tblW w:w="10060" w:type="dxa"/>
        <w:jc w:val="center"/>
        <w:tblLayout w:type="fixed"/>
        <w:tblCellMar>
          <w:top w:w="0" w:type="dxa"/>
          <w:left w:w="108" w:type="dxa"/>
          <w:bottom w:w="0" w:type="dxa"/>
          <w:right w:w="108" w:type="dxa"/>
        </w:tblCellMar>
      </w:tblPr>
      <w:tblGrid>
        <w:gridCol w:w="769"/>
        <w:gridCol w:w="675"/>
        <w:gridCol w:w="709"/>
        <w:gridCol w:w="1701"/>
        <w:gridCol w:w="1843"/>
        <w:gridCol w:w="1276"/>
        <w:gridCol w:w="107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color w:val="000000"/>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政务中心运维经费</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负责人</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及电话</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eastAsia="宋体" w:cs="宋体"/>
                <w:color w:val="000000"/>
                <w:kern w:val="0"/>
                <w:szCs w:val="21"/>
              </w:rPr>
            </w:pPr>
            <w:r>
              <w:rPr>
                <w:rFonts w:hint="eastAsia" w:ascii="宋体" w:hAnsi="宋体" w:cs="宋体"/>
                <w:color w:val="000000"/>
                <w:kern w:val="0"/>
                <w:szCs w:val="21"/>
              </w:rPr>
              <w:t>　谢泽波2338201</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怀化市政务服务中心　</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鹤城区人民政府　</w:t>
            </w:r>
          </w:p>
        </w:tc>
        <w:tc>
          <w:tcPr>
            <w:tcW w:w="127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08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eastAsia="宋体" w:cs="宋体"/>
                <w:color w:val="000000"/>
                <w:kern w:val="0"/>
                <w:szCs w:val="21"/>
              </w:rPr>
            </w:pPr>
            <w:r>
              <w:rPr>
                <w:rFonts w:hint="eastAsia" w:ascii="宋体" w:hAnsi="宋体" w:cs="宋体"/>
                <w:color w:val="000000"/>
                <w:kern w:val="0"/>
                <w:szCs w:val="21"/>
              </w:rPr>
              <w:t>　鹤城区政务服务中心</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42.5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42.5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42.5</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　</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42.5</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42.5</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Cs w:val="21"/>
              </w:rPr>
            </w:pPr>
            <w:r>
              <w:rPr>
                <w:rFonts w:hint="eastAsia" w:ascii="仿宋_GB2312" w:hAnsi="宋体" w:eastAsia="仿宋_GB2312" w:cs="宋体"/>
                <w:color w:val="000000"/>
                <w:kern w:val="0"/>
                <w:szCs w:val="21"/>
              </w:rPr>
              <w:t>年初设定目标</w:t>
            </w:r>
            <w:r>
              <w:rPr>
                <w:rFonts w:hint="eastAsia" w:ascii="宋体" w:hAnsi="宋体" w:cs="宋体"/>
                <w:color w:val="000000"/>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Cs w:val="21"/>
              </w:rPr>
            </w:pPr>
            <w:r>
              <w:rPr>
                <w:rFonts w:hint="eastAsia" w:ascii="仿宋" w:hAnsi="仿宋" w:eastAsia="仿宋" w:cs="仿宋"/>
                <w:color w:val="000000"/>
                <w:kern w:val="0"/>
                <w:szCs w:val="21"/>
              </w:rPr>
              <w:t>主要用于保障2021年政务服务中心办事大厅的日常运行支出保障信息系统安全稳定运行，延长设备使用寿命。提高我县政务服务水平，拓展群众政务服务渠道</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r>
              <w:rPr>
                <w:rFonts w:hint="eastAsia" w:ascii="仿宋" w:hAnsi="仿宋" w:eastAsia="仿宋" w:cs="仿宋"/>
                <w:color w:val="000000"/>
                <w:kern w:val="0"/>
                <w:szCs w:val="21"/>
              </w:rPr>
              <w:t>主要用于保障2021年政务服务中心办事大厅的日常运行支出保障信息系统安全稳定运行，延长设备使用寿命。提高我县政务服务水平，拓展群众政务服务渠道</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110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未完成原因和</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   出   指   标</w:t>
            </w:r>
          </w:p>
        </w:tc>
        <w:tc>
          <w:tcPr>
            <w:tcW w:w="709" w:type="dxa"/>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政务服务大厅数量</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continue"/>
            <w:tcBorders>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已铺设备数量</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c>
          <w:tcPr>
            <w:tcW w:w="1276" w:type="dxa"/>
            <w:tcBorders>
              <w:top w:val="single" w:color="auto" w:sz="4" w:space="0"/>
              <w:left w:val="nil"/>
              <w:bottom w:val="single" w:color="auto" w:sz="4" w:space="0"/>
              <w:right w:val="single" w:color="auto" w:sz="4" w:space="0"/>
            </w:tcBorders>
            <w:noWrap/>
            <w:vAlign w:val="bottom"/>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120</w:t>
            </w:r>
          </w:p>
        </w:tc>
        <w:tc>
          <w:tcPr>
            <w:tcW w:w="1104" w:type="dxa"/>
            <w:gridSpan w:val="2"/>
            <w:tcBorders>
              <w:top w:val="single" w:color="auto" w:sz="4" w:space="0"/>
              <w:left w:val="nil"/>
              <w:bottom w:val="single" w:color="auto" w:sz="4" w:space="0"/>
              <w:right w:val="single" w:color="auto" w:sz="4" w:space="0"/>
            </w:tcBorders>
            <w:noWrap/>
            <w:vAlign w:val="bottom"/>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各项工作圆满完成的达标率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104" w:type="dxa"/>
            <w:gridSpan w:val="2"/>
            <w:tcBorders>
              <w:top w:val="single" w:color="auto" w:sz="4" w:space="0"/>
              <w:left w:val="nil"/>
              <w:bottom w:val="single" w:color="auto" w:sz="4" w:space="0"/>
              <w:right w:val="single" w:color="auto" w:sz="4" w:space="0"/>
            </w:tcBorders>
            <w:noWrap/>
            <w:vAlign w:val="bottom"/>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完成项目的及时性</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2021年底</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政务中心运维成本</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42.5</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42.5</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社会成本节约率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0</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促进经济发展</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有所促成</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有所促成</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构建和谐社会</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有所改善</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有所改善</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1701"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保障大厅正常运行</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有所提高</w:t>
            </w:r>
          </w:p>
        </w:tc>
        <w:tc>
          <w:tcPr>
            <w:tcW w:w="1104" w:type="dxa"/>
            <w:gridSpan w:val="2"/>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有所提高</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社会公众满意度</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98%</w:t>
            </w:r>
          </w:p>
        </w:tc>
        <w:tc>
          <w:tcPr>
            <w:tcW w:w="110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98%</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727"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color w:val="000000"/>
                <w:kern w:val="0"/>
                <w:szCs w:val="21"/>
              </w:rPr>
            </w:pP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12"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12"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color w:val="000000"/>
                <w:kern w:val="0"/>
                <w:szCs w:val="21"/>
              </w:rPr>
            </w:pPr>
          </w:p>
        </w:tc>
      </w:tr>
    </w:tbl>
    <w:p/>
    <w:p/>
    <w:p>
      <w:pPr>
        <w:spacing w:line="560" w:lineRule="exact"/>
        <w:ind w:firstLine="2240" w:firstLineChars="700"/>
        <w:rPr>
          <w:rFonts w:ascii="黑体" w:hAnsi="宋体" w:eastAsia="黑体" w:cs="宋体"/>
          <w:kern w:val="0"/>
          <w:sz w:val="32"/>
          <w:szCs w:val="32"/>
        </w:rPr>
      </w:pPr>
      <w:r>
        <w:rPr>
          <w:rFonts w:hint="eastAsia" w:ascii="黑体" w:hAnsi="宋体" w:eastAsia="黑体" w:cs="宋体"/>
          <w:kern w:val="0"/>
          <w:sz w:val="32"/>
          <w:szCs w:val="32"/>
        </w:rPr>
        <w:t>专项资金绩效目标自评表</w:t>
      </w:r>
    </w:p>
    <w:tbl>
      <w:tblPr>
        <w:tblStyle w:val="8"/>
        <w:tblW w:w="10060" w:type="dxa"/>
        <w:jc w:val="center"/>
        <w:tblLayout w:type="fixed"/>
        <w:tblCellMar>
          <w:top w:w="0" w:type="dxa"/>
          <w:left w:w="108" w:type="dxa"/>
          <w:bottom w:w="0" w:type="dxa"/>
          <w:right w:w="108" w:type="dxa"/>
        </w:tblCellMar>
      </w:tblPr>
      <w:tblGrid>
        <w:gridCol w:w="769"/>
        <w:gridCol w:w="675"/>
        <w:gridCol w:w="709"/>
        <w:gridCol w:w="1701"/>
        <w:gridCol w:w="1843"/>
        <w:gridCol w:w="1081"/>
        <w:gridCol w:w="1268"/>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color w:val="000000"/>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eastAsia="仿宋_GB2312"/>
                <w:color w:val="000000"/>
                <w:kern w:val="0"/>
                <w:szCs w:val="21"/>
              </w:rPr>
              <w:t>政务中心网络租赁</w:t>
            </w:r>
          </w:p>
        </w:tc>
        <w:tc>
          <w:tcPr>
            <w:tcW w:w="108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负责人</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及电话</w:t>
            </w:r>
          </w:p>
        </w:tc>
        <w:tc>
          <w:tcPr>
            <w:tcW w:w="3282"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eastAsia="宋体" w:cs="宋体"/>
                <w:color w:val="000000"/>
                <w:kern w:val="0"/>
                <w:szCs w:val="21"/>
              </w:rPr>
            </w:pPr>
            <w:r>
              <w:rPr>
                <w:rFonts w:hint="eastAsia" w:ascii="宋体" w:hAnsi="宋体" w:cs="宋体"/>
                <w:color w:val="000000"/>
                <w:kern w:val="0"/>
                <w:szCs w:val="21"/>
              </w:rPr>
              <w:t>　谢泽波2338201</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怀化市政务服务中心　</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鹤城区人民政府　</w:t>
            </w:r>
          </w:p>
        </w:tc>
        <w:tc>
          <w:tcPr>
            <w:tcW w:w="108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282"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eastAsia="宋体" w:cs="宋体"/>
                <w:color w:val="000000"/>
                <w:kern w:val="0"/>
                <w:szCs w:val="21"/>
              </w:rPr>
            </w:pPr>
            <w:r>
              <w:rPr>
                <w:rFonts w:hint="eastAsia" w:ascii="宋体" w:hAnsi="宋体" w:cs="宋体"/>
                <w:color w:val="000000"/>
                <w:kern w:val="0"/>
                <w:szCs w:val="21"/>
              </w:rPr>
              <w:t>　鹤城区政务服务中心</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56.24万元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56.24万元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　</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9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56.24万元</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56.24万元</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Cs w:val="21"/>
              </w:rPr>
            </w:pPr>
            <w:r>
              <w:rPr>
                <w:rFonts w:hint="eastAsia" w:ascii="仿宋_GB2312" w:hAnsi="宋体" w:eastAsia="仿宋_GB2312" w:cs="宋体"/>
                <w:color w:val="000000"/>
                <w:kern w:val="0"/>
                <w:szCs w:val="21"/>
              </w:rPr>
              <w:t>年初设定目标</w:t>
            </w:r>
            <w:r>
              <w:rPr>
                <w:rFonts w:hint="eastAsia" w:ascii="宋体" w:hAnsi="宋体" w:cs="宋体"/>
                <w:color w:val="000000"/>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Cs w:val="21"/>
              </w:rPr>
            </w:pPr>
            <w:r>
              <w:rPr>
                <w:rFonts w:hint="eastAsia" w:ascii="仿宋_GB2312" w:hAnsi="宋体" w:eastAsia="仿宋_GB2312" w:cs="宋体"/>
                <w:color w:val="000000"/>
                <w:kern w:val="0"/>
                <w:szCs w:val="21"/>
              </w:rPr>
              <w:t>租赁网络设备及线路达到网络组网需求并且运行稳定。保障区电子政务外网平台网络运行稳定、应用系统使用正常。　</w:t>
            </w:r>
            <w:r>
              <w:rPr>
                <w:rFonts w:ascii="微软雅黑" w:hAnsi="微软雅黑" w:eastAsia="微软雅黑" w:cs="微软雅黑"/>
                <w:color w:val="000000"/>
                <w:sz w:val="27"/>
                <w:szCs w:val="27"/>
                <w:shd w:val="clear" w:color="auto" w:fill="FFFFFF"/>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color w:val="000000"/>
                <w:kern w:val="0"/>
                <w:szCs w:val="21"/>
              </w:rPr>
            </w:pPr>
            <w:r>
              <w:rPr>
                <w:rFonts w:hint="eastAsia" w:ascii="仿宋_GB2312" w:hAnsi="宋体" w:eastAsia="仿宋_GB2312" w:cs="宋体"/>
                <w:color w:val="000000"/>
                <w:kern w:val="0"/>
                <w:szCs w:val="21"/>
              </w:rPr>
              <w:t>租赁网络设备及线路达到网络组网需求并且运行稳定。保障区电子政务外网平台网络运行稳定、应用系统使用正常。　</w:t>
            </w:r>
            <w:r>
              <w:rPr>
                <w:rFonts w:ascii="微软雅黑" w:hAnsi="微软雅黑" w:eastAsia="微软雅黑" w:cs="微软雅黑"/>
                <w:color w:val="000000"/>
                <w:sz w:val="27"/>
                <w:szCs w:val="27"/>
                <w:shd w:val="clear" w:color="auto" w:fill="FFFFFF"/>
              </w:rPr>
              <w:t>　</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1299"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未完成原因和</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   出   指   标</w:t>
            </w: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租赁网络路线</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323</w:t>
            </w:r>
          </w:p>
        </w:tc>
        <w:tc>
          <w:tcPr>
            <w:tcW w:w="1299"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323</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政务外网宽带</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ascii="Arial" w:hAnsi="Arial" w:eastAsia="仿宋_GB2312" w:cs="Arial"/>
                <w:color w:val="000000"/>
                <w:kern w:val="0"/>
                <w:szCs w:val="21"/>
              </w:rPr>
              <w:t>≥</w:t>
            </w:r>
            <w:r>
              <w:rPr>
                <w:rFonts w:hint="eastAsia" w:ascii="仿宋_GB2312" w:hAnsi="宋体" w:eastAsia="仿宋_GB2312" w:cs="宋体"/>
                <w:color w:val="000000"/>
                <w:kern w:val="0"/>
                <w:szCs w:val="21"/>
              </w:rPr>
              <w:t>10G</w:t>
            </w:r>
          </w:p>
        </w:tc>
        <w:tc>
          <w:tcPr>
            <w:tcW w:w="1299"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ascii="Arial" w:hAnsi="Arial" w:eastAsia="仿宋_GB2312" w:cs="Arial"/>
                <w:color w:val="000000"/>
                <w:kern w:val="0"/>
                <w:szCs w:val="21"/>
              </w:rPr>
              <w:t>≥</w:t>
            </w:r>
            <w:r>
              <w:rPr>
                <w:rFonts w:hint="eastAsia" w:ascii="仿宋_GB2312" w:hAnsi="宋体" w:eastAsia="仿宋_GB2312" w:cs="宋体"/>
                <w:color w:val="000000"/>
                <w:kern w:val="0"/>
                <w:szCs w:val="21"/>
              </w:rPr>
              <w:t>10G</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租赁网络的合格率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299"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线路租赁合格</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299"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项目完成的及时性</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299"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spacing w:line="260" w:lineRule="exact"/>
              <w:jc w:val="left"/>
              <w:rPr>
                <w:rFonts w:ascii="Times New Roman" w:hAnsi="Times New Roman" w:eastAsia="仿宋_GB2312" w:cs="Times New Roman"/>
                <w:color w:val="000000"/>
                <w:spacing w:val="-11"/>
                <w:kern w:val="0"/>
                <w:szCs w:val="21"/>
              </w:rPr>
            </w:pPr>
            <w:r>
              <w:rPr>
                <w:rFonts w:hint="eastAsia" w:eastAsia="仿宋_GB2312"/>
                <w:color w:val="000000"/>
                <w:spacing w:val="-11"/>
                <w:kern w:val="0"/>
                <w:szCs w:val="21"/>
              </w:rPr>
              <w:t>农村电子政务外网</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center"/>
          </w:tcPr>
          <w:p>
            <w:pPr>
              <w:widowControl/>
              <w:spacing w:line="260" w:lineRule="exact"/>
              <w:jc w:val="left"/>
              <w:rPr>
                <w:rFonts w:ascii="仿宋_GB2312" w:hAnsi="宋体" w:eastAsia="仿宋_GB2312" w:cs="宋体"/>
                <w:color w:val="000000"/>
                <w:kern w:val="0"/>
                <w:szCs w:val="21"/>
              </w:rPr>
            </w:pPr>
            <w:r>
              <w:rPr>
                <w:rFonts w:hint="eastAsia" w:eastAsia="仿宋_GB2312"/>
                <w:color w:val="000000"/>
                <w:spacing w:val="-11"/>
                <w:kern w:val="0"/>
                <w:szCs w:val="21"/>
              </w:rPr>
              <w:t>11.78万元</w:t>
            </w:r>
          </w:p>
        </w:tc>
        <w:tc>
          <w:tcPr>
            <w:tcW w:w="1299" w:type="dxa"/>
            <w:gridSpan w:val="2"/>
            <w:tcBorders>
              <w:top w:val="single" w:color="auto" w:sz="4" w:space="0"/>
              <w:left w:val="nil"/>
              <w:bottom w:val="single" w:color="auto" w:sz="4" w:space="0"/>
              <w:right w:val="single" w:color="auto" w:sz="4" w:space="0"/>
            </w:tcBorders>
            <w:noWrap/>
            <w:vAlign w:val="center"/>
          </w:tcPr>
          <w:p>
            <w:pPr>
              <w:widowControl/>
              <w:spacing w:line="260" w:lineRule="exact"/>
              <w:jc w:val="left"/>
              <w:rPr>
                <w:rFonts w:ascii="仿宋_GB2312" w:hAnsi="宋体" w:eastAsia="仿宋_GB2312" w:cs="宋体"/>
                <w:color w:val="000000"/>
                <w:kern w:val="0"/>
                <w:szCs w:val="21"/>
              </w:rPr>
            </w:pPr>
            <w:r>
              <w:rPr>
                <w:rFonts w:hint="eastAsia" w:eastAsia="仿宋_GB2312"/>
                <w:color w:val="000000"/>
                <w:spacing w:val="-11"/>
                <w:kern w:val="0"/>
                <w:szCs w:val="21"/>
              </w:rPr>
              <w:t>11.78万元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60" w:lineRule="exact"/>
              <w:jc w:val="left"/>
              <w:rPr>
                <w:rFonts w:ascii="Times New Roman" w:hAnsi="Times New Roman" w:eastAsia="仿宋_GB2312" w:cs="Times New Roman"/>
                <w:color w:val="000000"/>
                <w:spacing w:val="-11"/>
                <w:kern w:val="0"/>
                <w:szCs w:val="21"/>
              </w:rPr>
            </w:pPr>
            <w:r>
              <w:rPr>
                <w:rFonts w:hint="eastAsia" w:eastAsia="仿宋_GB2312"/>
                <w:color w:val="000000"/>
                <w:spacing w:val="-11"/>
                <w:kern w:val="0"/>
                <w:szCs w:val="21"/>
              </w:rPr>
              <w:t>社区电子政务外网</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17.76万元</w:t>
            </w:r>
          </w:p>
        </w:tc>
        <w:tc>
          <w:tcPr>
            <w:tcW w:w="1299"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17.76万元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60" w:lineRule="exact"/>
              <w:jc w:val="left"/>
              <w:rPr>
                <w:rFonts w:ascii="Times New Roman" w:hAnsi="Times New Roman" w:eastAsia="仿宋_GB2312" w:cs="Times New Roman"/>
                <w:color w:val="000000"/>
                <w:spacing w:val="-11"/>
                <w:kern w:val="0"/>
                <w:szCs w:val="21"/>
              </w:rPr>
            </w:pPr>
            <w:r>
              <w:rPr>
                <w:rFonts w:hint="eastAsia" w:eastAsia="仿宋_GB2312"/>
                <w:color w:val="000000"/>
                <w:spacing w:val="-11"/>
                <w:kern w:val="0"/>
                <w:szCs w:val="21"/>
              </w:rPr>
              <w:t>全区综合视频会议网</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26.7万元　</w:t>
            </w:r>
          </w:p>
        </w:tc>
        <w:tc>
          <w:tcPr>
            <w:tcW w:w="1299"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26.7万元　</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758"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节约财政资金</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有所促成</w:t>
            </w:r>
          </w:p>
        </w:tc>
        <w:tc>
          <w:tcPr>
            <w:tcW w:w="1299"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有所促成</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   益   指   标</w:t>
            </w: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构建和谐社会</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有所改善</w:t>
            </w:r>
          </w:p>
        </w:tc>
        <w:tc>
          <w:tcPr>
            <w:tcW w:w="1299"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有所改善</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nil"/>
              <w:bottom w:val="single" w:color="auto" w:sz="4" w:space="0"/>
              <w:right w:val="single" w:color="auto" w:sz="4" w:space="0"/>
            </w:tcBorders>
            <w:noWrap/>
            <w:vAlign w:val="center"/>
          </w:tcPr>
          <w:p>
            <w:pPr>
              <w:widowControl/>
              <w:spacing w:line="260" w:lineRule="exact"/>
              <w:jc w:val="left"/>
              <w:rPr>
                <w:rFonts w:ascii="Times New Roman" w:hAnsi="Times New Roman" w:eastAsia="仿宋_GB2312" w:cs="Times New Roman"/>
                <w:color w:val="000000"/>
                <w:spacing w:val="-11"/>
                <w:kern w:val="0"/>
                <w:szCs w:val="21"/>
              </w:rPr>
            </w:pPr>
            <w:r>
              <w:rPr>
                <w:rFonts w:hint="eastAsia" w:eastAsia="仿宋_GB2312"/>
                <w:color w:val="000000"/>
                <w:spacing w:val="-11"/>
                <w:kern w:val="0"/>
                <w:szCs w:val="21"/>
              </w:rPr>
              <w:t>提高电子政务信息化水平</w:t>
            </w:r>
          </w:p>
        </w:tc>
        <w:tc>
          <w:tcPr>
            <w:tcW w:w="1843" w:type="dxa"/>
            <w:tcBorders>
              <w:top w:val="single" w:color="auto" w:sz="4" w:space="0"/>
              <w:left w:val="nil"/>
              <w:bottom w:val="single" w:color="auto" w:sz="4" w:space="0"/>
              <w:right w:val="single" w:color="auto" w:sz="4" w:space="0"/>
            </w:tcBorders>
            <w:noWrap/>
            <w:vAlign w:val="center"/>
          </w:tcPr>
          <w:p>
            <w:pPr>
              <w:widowControl/>
              <w:spacing w:line="260" w:lineRule="exact"/>
              <w:jc w:val="left"/>
              <w:rPr>
                <w:rFonts w:ascii="Times New Roman" w:hAnsi="Times New Roman" w:eastAsia="仿宋_GB2312" w:cs="Times New Roman"/>
                <w:color w:val="000000"/>
                <w:spacing w:val="-11"/>
                <w:kern w:val="0"/>
                <w:szCs w:val="21"/>
              </w:rPr>
            </w:pPr>
          </w:p>
        </w:tc>
        <w:tc>
          <w:tcPr>
            <w:tcW w:w="108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eastAsia="仿宋_GB2312"/>
                <w:color w:val="000000"/>
                <w:spacing w:val="-11"/>
                <w:kern w:val="0"/>
                <w:szCs w:val="21"/>
              </w:rPr>
              <w:t>　</w:t>
            </w:r>
            <w:r>
              <w:rPr>
                <w:rFonts w:hint="eastAsia" w:eastAsia="仿宋_GB2312"/>
                <w:color w:val="000000"/>
                <w:spacing w:val="-11"/>
                <w:kern w:val="0"/>
                <w:szCs w:val="21"/>
              </w:rPr>
              <w:t>≥95%</w:t>
            </w:r>
          </w:p>
        </w:tc>
        <w:tc>
          <w:tcPr>
            <w:tcW w:w="1299"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eastAsia="仿宋_GB2312"/>
                <w:color w:val="000000"/>
                <w:spacing w:val="-11"/>
                <w:kern w:val="0"/>
                <w:szCs w:val="21"/>
              </w:rPr>
              <w:t>　</w:t>
            </w:r>
            <w:r>
              <w:rPr>
                <w:rFonts w:hint="eastAsia" w:eastAsia="仿宋_GB2312"/>
                <w:color w:val="000000"/>
                <w:spacing w:val="-11"/>
                <w:kern w:val="0"/>
                <w:szCs w:val="21"/>
              </w:rPr>
              <w:t>≥95%</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1701"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eastAsia="仿宋_GB2312"/>
                <w:color w:val="000000"/>
                <w:spacing w:val="-23"/>
                <w:kern w:val="0"/>
                <w:szCs w:val="21"/>
              </w:rPr>
              <w:t>全区所有业务系统的正常运转</w:t>
            </w:r>
          </w:p>
        </w:tc>
        <w:tc>
          <w:tcPr>
            <w:tcW w:w="184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299" w:type="dxa"/>
            <w:gridSpan w:val="2"/>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社会公众满意度</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98%</w:t>
            </w:r>
          </w:p>
        </w:tc>
        <w:tc>
          <w:tcPr>
            <w:tcW w:w="1299"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vMerge w:val="restart"/>
            <w:tcBorders>
              <w:top w:val="single" w:color="auto" w:sz="8" w:space="0"/>
              <w:left w:val="nil"/>
              <w:bottom w:val="nil"/>
              <w:right w:val="nil"/>
            </w:tcBorders>
            <w:noWrap/>
          </w:tcPr>
          <w:p>
            <w:pPr>
              <w:widowControl/>
              <w:ind w:firstLine="420" w:firstLineChars="200"/>
              <w:jc w:val="left"/>
              <w:rPr>
                <w:rFonts w:ascii="仿宋_GB2312" w:hAnsi="宋体" w:eastAsia="仿宋_GB2312" w:cs="宋体"/>
                <w:color w:val="000000"/>
                <w:kern w:val="0"/>
                <w:szCs w:val="21"/>
              </w:rPr>
            </w:pP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12"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color w:val="000000"/>
                <w:kern w:val="0"/>
                <w:szCs w:val="21"/>
              </w:rPr>
            </w:pPr>
          </w:p>
        </w:tc>
      </w:tr>
      <w:tr>
        <w:tblPrEx>
          <w:tblCellMar>
            <w:top w:w="0" w:type="dxa"/>
            <w:left w:w="108" w:type="dxa"/>
            <w:bottom w:w="0" w:type="dxa"/>
            <w:right w:w="108" w:type="dxa"/>
          </w:tblCellMar>
        </w:tblPrEx>
        <w:trPr>
          <w:trHeight w:val="312" w:hRule="atLeast"/>
          <w:jc w:val="center"/>
        </w:trPr>
        <w:tc>
          <w:tcPr>
            <w:tcW w:w="10060" w:type="dxa"/>
            <w:gridSpan w:val="9"/>
            <w:vMerge w:val="continue"/>
            <w:tcBorders>
              <w:top w:val="single" w:color="auto" w:sz="8" w:space="0"/>
              <w:left w:val="nil"/>
              <w:bottom w:val="nil"/>
              <w:right w:val="nil"/>
            </w:tcBorders>
            <w:noWrap/>
            <w:vAlign w:val="center"/>
          </w:tcPr>
          <w:p>
            <w:pPr>
              <w:widowControl/>
              <w:jc w:val="left"/>
              <w:rPr>
                <w:rFonts w:ascii="仿宋_GB2312" w:hAnsi="宋体" w:eastAsia="仿宋_GB2312" w:cs="宋体"/>
                <w:color w:val="000000"/>
                <w:kern w:val="0"/>
                <w:szCs w:val="21"/>
              </w:rPr>
            </w:pPr>
          </w:p>
        </w:tc>
      </w:tr>
    </w:tbl>
    <w:p/>
    <w:p/>
    <w:p/>
    <w:p/>
    <w:p/>
    <w:p/>
    <w:p/>
    <w:p>
      <w:pPr>
        <w:spacing w:line="560" w:lineRule="exact"/>
        <w:ind w:firstLine="2240" w:firstLineChars="700"/>
        <w:rPr>
          <w:rFonts w:ascii="黑体" w:hAnsi="宋体" w:eastAsia="黑体" w:cs="宋体"/>
          <w:kern w:val="0"/>
          <w:sz w:val="32"/>
          <w:szCs w:val="32"/>
        </w:rPr>
      </w:pPr>
      <w:r>
        <w:rPr>
          <w:rFonts w:hint="eastAsia" w:ascii="黑体" w:hAnsi="宋体" w:eastAsia="黑体" w:cs="宋体"/>
          <w:kern w:val="0"/>
          <w:sz w:val="32"/>
          <w:szCs w:val="32"/>
        </w:rPr>
        <w:t>专项资金绩效目标自评表</w:t>
      </w:r>
    </w:p>
    <w:tbl>
      <w:tblPr>
        <w:tblStyle w:val="8"/>
        <w:tblW w:w="10060" w:type="dxa"/>
        <w:jc w:val="center"/>
        <w:tblLayout w:type="fixed"/>
        <w:tblCellMar>
          <w:top w:w="0" w:type="dxa"/>
          <w:left w:w="108" w:type="dxa"/>
          <w:bottom w:w="0" w:type="dxa"/>
          <w:right w:w="108" w:type="dxa"/>
        </w:tblCellMar>
      </w:tblPr>
      <w:tblGrid>
        <w:gridCol w:w="769"/>
        <w:gridCol w:w="675"/>
        <w:gridCol w:w="709"/>
        <w:gridCol w:w="1701"/>
        <w:gridCol w:w="1843"/>
        <w:gridCol w:w="1216"/>
        <w:gridCol w:w="1133"/>
        <w:gridCol w:w="31"/>
        <w:gridCol w:w="1983"/>
      </w:tblGrid>
      <w:tr>
        <w:tblPrEx>
          <w:tblCellMar>
            <w:top w:w="0" w:type="dxa"/>
            <w:left w:w="108" w:type="dxa"/>
            <w:bottom w:w="0" w:type="dxa"/>
            <w:right w:w="108" w:type="dxa"/>
          </w:tblCellMar>
        </w:tblPrEx>
        <w:trPr>
          <w:trHeight w:val="98" w:hRule="atLeast"/>
          <w:jc w:val="center"/>
        </w:trPr>
        <w:tc>
          <w:tcPr>
            <w:tcW w:w="10060" w:type="dxa"/>
            <w:gridSpan w:val="9"/>
            <w:tcBorders>
              <w:top w:val="nil"/>
              <w:left w:val="nil"/>
              <w:bottom w:val="single" w:color="auto" w:sz="4" w:space="0"/>
              <w:right w:val="nil"/>
            </w:tcBorders>
            <w:noWrap/>
            <w:vAlign w:val="center"/>
          </w:tcPr>
          <w:p>
            <w:pPr>
              <w:widowControl/>
              <w:jc w:val="center"/>
              <w:rPr>
                <w:rFonts w:ascii="楷体_GB2312" w:hAnsi="宋体" w:eastAsia="楷体_GB2312" w:cs="宋体"/>
                <w:b/>
                <w:bCs/>
                <w:color w:val="000000"/>
                <w:kern w:val="0"/>
                <w:sz w:val="22"/>
              </w:rPr>
            </w:pP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专项资金名称</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宋体" w:eastAsia="仿宋_GB2312" w:cs="宋体"/>
                <w:color w:val="000000"/>
                <w:kern w:val="0"/>
                <w:szCs w:val="21"/>
              </w:rPr>
            </w:pPr>
            <w:r>
              <w:rPr>
                <w:rFonts w:hint="eastAsia" w:eastAsia="仿宋_GB2312"/>
                <w:color w:val="000000"/>
                <w:kern w:val="0"/>
                <w:szCs w:val="21"/>
              </w:rPr>
              <w:t>政务中心异地新建大楼配套设施项目</w:t>
            </w:r>
          </w:p>
        </w:tc>
        <w:tc>
          <w:tcPr>
            <w:tcW w:w="12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负责人</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及电话</w:t>
            </w:r>
          </w:p>
        </w:tc>
        <w:tc>
          <w:tcPr>
            <w:tcW w:w="314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eastAsia="宋体" w:cs="宋体"/>
                <w:color w:val="000000"/>
                <w:kern w:val="0"/>
                <w:szCs w:val="21"/>
              </w:rPr>
            </w:pPr>
            <w:r>
              <w:rPr>
                <w:rFonts w:hint="eastAsia" w:ascii="宋体" w:hAnsi="宋体" w:cs="宋体"/>
                <w:color w:val="000000"/>
                <w:kern w:val="0"/>
                <w:szCs w:val="21"/>
              </w:rPr>
              <w:t>　谢泽波2338201</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nil"/>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市级主管部门</w:t>
            </w:r>
          </w:p>
        </w:tc>
        <w:tc>
          <w:tcPr>
            <w:tcW w:w="7907"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怀化市政务服务中心　</w:t>
            </w:r>
          </w:p>
        </w:tc>
      </w:tr>
      <w:tr>
        <w:tblPrEx>
          <w:tblCellMar>
            <w:top w:w="0" w:type="dxa"/>
            <w:left w:w="108" w:type="dxa"/>
            <w:bottom w:w="0" w:type="dxa"/>
            <w:right w:w="108" w:type="dxa"/>
          </w:tblCellMar>
        </w:tblPrEx>
        <w:trPr>
          <w:trHeight w:val="425" w:hRule="atLeast"/>
          <w:jc w:val="center"/>
        </w:trPr>
        <w:tc>
          <w:tcPr>
            <w:tcW w:w="2153"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地方主管部门</w:t>
            </w:r>
          </w:p>
        </w:tc>
        <w:tc>
          <w:tcPr>
            <w:tcW w:w="354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鹤城区人民政府　</w:t>
            </w:r>
          </w:p>
        </w:tc>
        <w:tc>
          <w:tcPr>
            <w:tcW w:w="12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47" w:type="dxa"/>
            <w:gridSpan w:val="3"/>
            <w:tcBorders>
              <w:top w:val="single" w:color="auto" w:sz="4" w:space="0"/>
              <w:left w:val="single" w:color="auto" w:sz="4" w:space="0"/>
              <w:bottom w:val="single" w:color="auto" w:sz="4" w:space="0"/>
              <w:right w:val="single" w:color="auto" w:sz="4" w:space="0"/>
            </w:tcBorders>
            <w:noWrap/>
            <w:vAlign w:val="bottom"/>
          </w:tcPr>
          <w:p>
            <w:pPr>
              <w:widowControl/>
              <w:jc w:val="left"/>
              <w:rPr>
                <w:rFonts w:ascii="宋体" w:hAnsi="宋体" w:eastAsia="宋体" w:cs="宋体"/>
                <w:color w:val="000000"/>
                <w:kern w:val="0"/>
                <w:szCs w:val="21"/>
              </w:rPr>
            </w:pPr>
            <w:r>
              <w:rPr>
                <w:rFonts w:hint="eastAsia" w:ascii="宋体" w:hAnsi="宋体" w:cs="宋体"/>
                <w:color w:val="000000"/>
                <w:kern w:val="0"/>
                <w:szCs w:val="21"/>
              </w:rPr>
              <w:t>　鹤城区政务服务中心</w:t>
            </w:r>
          </w:p>
        </w:tc>
      </w:tr>
      <w:tr>
        <w:tblPrEx>
          <w:tblCellMar>
            <w:top w:w="0" w:type="dxa"/>
            <w:left w:w="108" w:type="dxa"/>
            <w:bottom w:w="0" w:type="dxa"/>
            <w:right w:w="108" w:type="dxa"/>
          </w:tblCellMar>
        </w:tblPrEx>
        <w:trPr>
          <w:trHeight w:val="425" w:hRule="atLeast"/>
          <w:jc w:val="center"/>
        </w:trPr>
        <w:tc>
          <w:tcPr>
            <w:tcW w:w="2153" w:type="dxa"/>
            <w:gridSpan w:val="3"/>
            <w:vMerge w:val="restart"/>
            <w:tcBorders>
              <w:top w:val="single" w:color="auto" w:sz="4" w:space="0"/>
              <w:left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全年预算数（A）</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全年执行数（B）</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执行率（B／A）</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553.684892万元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553.684892万元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　</w:t>
            </w:r>
          </w:p>
        </w:tc>
      </w:tr>
      <w:tr>
        <w:tblPrEx>
          <w:tblCellMar>
            <w:top w:w="0" w:type="dxa"/>
            <w:left w:w="108" w:type="dxa"/>
            <w:bottom w:w="0" w:type="dxa"/>
            <w:right w:w="108" w:type="dxa"/>
          </w:tblCellMar>
        </w:tblPrEx>
        <w:trPr>
          <w:trHeight w:val="425"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其中：中央补助</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40"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ind w:firstLine="420" w:firstLineChars="200"/>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省级资金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市级资金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02" w:hRule="atLeast"/>
          <w:jc w:val="center"/>
        </w:trPr>
        <w:tc>
          <w:tcPr>
            <w:tcW w:w="2153" w:type="dxa"/>
            <w:gridSpan w:val="3"/>
            <w:vMerge w:val="continue"/>
            <w:tcBorders>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84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553.684892万元　</w:t>
            </w:r>
          </w:p>
        </w:tc>
        <w:tc>
          <w:tcPr>
            <w:tcW w:w="234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553.684892万元　</w:t>
            </w:r>
          </w:p>
        </w:tc>
        <w:tc>
          <w:tcPr>
            <w:tcW w:w="201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Cs w:val="21"/>
              </w:rPr>
            </w:pPr>
            <w:r>
              <w:rPr>
                <w:rFonts w:hint="eastAsia" w:ascii="仿宋_GB2312" w:hAnsi="宋体" w:eastAsia="仿宋_GB2312" w:cs="宋体"/>
                <w:color w:val="000000"/>
                <w:kern w:val="0"/>
                <w:szCs w:val="21"/>
              </w:rPr>
              <w:t>年初设定目标</w:t>
            </w:r>
            <w:r>
              <w:rPr>
                <w:rFonts w:hint="eastAsia" w:ascii="宋体" w:hAnsi="宋体" w:cs="宋体"/>
                <w:color w:val="000000"/>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全年实际完成情况</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4928"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300" w:lineRule="exact"/>
              <w:jc w:val="left"/>
              <w:rPr>
                <w:rFonts w:ascii="Times New Roman" w:hAnsi="Times New Roman" w:eastAsia="仿宋_GB2312" w:cs="Times New Roman"/>
                <w:color w:val="000000"/>
                <w:kern w:val="0"/>
                <w:szCs w:val="21"/>
              </w:rPr>
            </w:pPr>
            <w:r>
              <w:rPr>
                <w:rFonts w:hint="eastAsia" w:eastAsia="仿宋_GB2312"/>
                <w:color w:val="000000"/>
                <w:kern w:val="0"/>
                <w:szCs w:val="21"/>
              </w:rPr>
              <w:t>完成政务服务中心异地新建大楼项目采购及、安装，优化提升政务服务大厅“一站式”功能，完善区本级综合性政务大厅集中服务模式，实现企业和群众必须到现场办理的事项“只进一扇门”，满足办公需求。</w:t>
            </w:r>
            <w:r>
              <w:rPr>
                <w:rFonts w:eastAsia="仿宋_GB2312"/>
                <w:color w:val="000000"/>
                <w:kern w:val="0"/>
                <w:szCs w:val="21"/>
              </w:rPr>
              <w:t>　　</w:t>
            </w:r>
          </w:p>
        </w:tc>
        <w:tc>
          <w:tcPr>
            <w:tcW w:w="4363"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300" w:lineRule="exact"/>
              <w:jc w:val="left"/>
              <w:rPr>
                <w:rFonts w:ascii="Times New Roman" w:hAnsi="Times New Roman" w:eastAsia="仿宋_GB2312" w:cs="Times New Roman"/>
                <w:color w:val="000000"/>
                <w:kern w:val="0"/>
                <w:szCs w:val="21"/>
              </w:rPr>
            </w:pPr>
            <w:r>
              <w:rPr>
                <w:rFonts w:hint="eastAsia" w:eastAsia="仿宋_GB2312"/>
                <w:color w:val="000000"/>
                <w:kern w:val="0"/>
                <w:szCs w:val="21"/>
              </w:rPr>
              <w:t>完成政务服务中心异地新建大楼项目采购及、安装，优化提升政务服务大厅“一站式”功能，完善区本级综合性政务大厅集中服务模式，实现企业和群众必须到现场办理的事项“只进一扇门”，满足办公需求。</w:t>
            </w:r>
            <w:r>
              <w:rPr>
                <w:rFonts w:eastAsia="仿宋_GB2312"/>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  效    指  标</w:t>
            </w:r>
          </w:p>
        </w:tc>
        <w:tc>
          <w:tcPr>
            <w:tcW w:w="675" w:type="dxa"/>
            <w:tcBorders>
              <w:top w:val="single" w:color="auto" w:sz="4" w:space="0"/>
              <w:left w:val="nil"/>
              <w:bottom w:val="single" w:color="auto" w:sz="4" w:space="0"/>
              <w:right w:val="nil"/>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4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16"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1164" w:type="dxa"/>
            <w:gridSpan w:val="2"/>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1983" w:type="dxa"/>
            <w:tcBorders>
              <w:top w:val="single" w:color="auto" w:sz="4" w:space="0"/>
              <w:left w:val="nil"/>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未完成原因和</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   出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异地新建大楼装修面积</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c>
          <w:tcPr>
            <w:tcW w:w="121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5500平方米</w:t>
            </w:r>
          </w:p>
        </w:tc>
        <w:tc>
          <w:tcPr>
            <w:tcW w:w="116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5500平方米</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办公区域办公设备正常运转通电通水率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c>
          <w:tcPr>
            <w:tcW w:w="121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16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项目验收合格率</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c>
          <w:tcPr>
            <w:tcW w:w="121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16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项目完成的及时性</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c>
          <w:tcPr>
            <w:tcW w:w="121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2021完工</w:t>
            </w:r>
          </w:p>
        </w:tc>
        <w:tc>
          <w:tcPr>
            <w:tcW w:w="116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2021完工</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25"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701" w:type="dxa"/>
            <w:tcBorders>
              <w:top w:val="single" w:color="auto" w:sz="4" w:space="0"/>
              <w:left w:val="nil"/>
              <w:bottom w:val="single" w:color="auto" w:sz="4" w:space="0"/>
              <w:right w:val="single" w:color="auto" w:sz="4" w:space="0"/>
            </w:tcBorders>
            <w:noWrap/>
            <w:vAlign w:val="center"/>
          </w:tcPr>
          <w:p>
            <w:pPr>
              <w:widowControl/>
              <w:rPr>
                <w:rFonts w:ascii="仿宋_GB2312" w:hAnsi="宋体" w:eastAsia="仿宋_GB2312" w:cs="宋体"/>
                <w:color w:val="000000"/>
                <w:kern w:val="0"/>
                <w:szCs w:val="21"/>
              </w:rPr>
            </w:pPr>
            <w:r>
              <w:rPr>
                <w:rFonts w:hint="eastAsia" w:eastAsia="仿宋_GB2312"/>
                <w:color w:val="000000"/>
                <w:kern w:val="0"/>
                <w:szCs w:val="21"/>
              </w:rPr>
              <w:t>政务中心异地新建大楼配套设施项目</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c>
          <w:tcPr>
            <w:tcW w:w="1216" w:type="dxa"/>
            <w:tcBorders>
              <w:top w:val="single" w:color="auto" w:sz="4" w:space="0"/>
              <w:left w:val="nil"/>
              <w:bottom w:val="single" w:color="auto" w:sz="4" w:space="0"/>
              <w:right w:val="single" w:color="auto" w:sz="4" w:space="0"/>
            </w:tcBorders>
            <w:noWrap/>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553.684892万元</w:t>
            </w:r>
          </w:p>
        </w:tc>
        <w:tc>
          <w:tcPr>
            <w:tcW w:w="1164" w:type="dxa"/>
            <w:gridSpan w:val="2"/>
            <w:tcBorders>
              <w:top w:val="single" w:color="auto" w:sz="4" w:space="0"/>
              <w:left w:val="nil"/>
              <w:bottom w:val="single" w:color="auto" w:sz="4" w:space="0"/>
              <w:right w:val="single" w:color="auto" w:sz="4" w:space="0"/>
            </w:tcBorders>
            <w:noWrap/>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553.684892万元</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758"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优化办事</w:t>
            </w:r>
            <w:r>
              <w:rPr>
                <w:rFonts w:hint="eastAsia" w:ascii="仿宋_GB2312" w:hAnsi="宋体" w:eastAsia="仿宋_GB2312" w:cs="宋体"/>
                <w:color w:val="000000"/>
                <w:kern w:val="0"/>
                <w:szCs w:val="21"/>
                <w:lang w:eastAsia="zh-CN"/>
              </w:rPr>
              <w:t>环境</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c>
          <w:tcPr>
            <w:tcW w:w="121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有所促进</w:t>
            </w:r>
          </w:p>
        </w:tc>
        <w:tc>
          <w:tcPr>
            <w:tcW w:w="116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有所促进</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  效    指  标</w:t>
            </w:r>
          </w:p>
        </w:tc>
        <w:tc>
          <w:tcPr>
            <w:tcW w:w="675" w:type="dxa"/>
            <w:vMerge w:val="restart"/>
            <w:tcBorders>
              <w:top w:val="single" w:color="auto" w:sz="4" w:space="0"/>
              <w:left w:val="single" w:color="auto" w:sz="4" w:space="0"/>
              <w:bottom w:val="single" w:color="auto" w:sz="4" w:space="0"/>
              <w:right w:val="single" w:color="auto" w:sz="4" w:space="0"/>
            </w:tcBorders>
            <w:noWrap/>
            <w:vAlign w:val="center"/>
          </w:tcPr>
          <w:p>
            <w:pPr>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   益   指   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  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构建和谐社会</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p>
        </w:tc>
        <w:tc>
          <w:tcPr>
            <w:tcW w:w="121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有所改善</w:t>
            </w:r>
          </w:p>
        </w:tc>
        <w:tc>
          <w:tcPr>
            <w:tcW w:w="116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有所改善</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397"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1701"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ascii="Times New Roman" w:hAnsi="Times New Roman" w:eastAsia="仿宋_GB2312" w:cs="Times New Roman"/>
                <w:color w:val="000000"/>
                <w:kern w:val="0"/>
                <w:szCs w:val="21"/>
              </w:rPr>
            </w:pPr>
            <w:r>
              <w:rPr>
                <w:rFonts w:hint="eastAsia" w:eastAsia="仿宋_GB2312"/>
                <w:color w:val="000000"/>
                <w:kern w:val="0"/>
                <w:szCs w:val="21"/>
              </w:rPr>
              <w:t>项目布局</w:t>
            </w:r>
          </w:p>
        </w:tc>
        <w:tc>
          <w:tcPr>
            <w:tcW w:w="1843" w:type="dxa"/>
            <w:tcBorders>
              <w:top w:val="single" w:color="auto" w:sz="4" w:space="0"/>
              <w:left w:val="nil"/>
              <w:bottom w:val="single" w:color="auto" w:sz="4" w:space="0"/>
              <w:right w:val="single" w:color="auto" w:sz="4" w:space="0"/>
            </w:tcBorders>
            <w:noWrap/>
            <w:vAlign w:val="center"/>
          </w:tcPr>
          <w:p>
            <w:pPr>
              <w:widowControl/>
              <w:spacing w:line="320" w:lineRule="exact"/>
              <w:jc w:val="left"/>
              <w:rPr>
                <w:rFonts w:ascii="Times New Roman" w:hAnsi="Times New Roman" w:eastAsia="仿宋_GB2312" w:cs="Times New Roman"/>
                <w:color w:val="000000"/>
                <w:kern w:val="0"/>
                <w:szCs w:val="21"/>
              </w:rPr>
            </w:pPr>
          </w:p>
        </w:tc>
        <w:tc>
          <w:tcPr>
            <w:tcW w:w="1216"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eastAsia="仿宋_GB2312"/>
                <w:color w:val="000000"/>
                <w:kern w:val="0"/>
                <w:szCs w:val="21"/>
              </w:rPr>
              <w:t>　</w:t>
            </w:r>
            <w:r>
              <w:rPr>
                <w:rFonts w:hint="eastAsia" w:eastAsia="仿宋_GB2312"/>
                <w:color w:val="000000"/>
                <w:kern w:val="0"/>
                <w:szCs w:val="21"/>
              </w:rPr>
              <w:t>合理化</w:t>
            </w:r>
          </w:p>
        </w:tc>
        <w:tc>
          <w:tcPr>
            <w:tcW w:w="1164" w:type="dxa"/>
            <w:gridSpan w:val="2"/>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eastAsia="仿宋_GB2312"/>
                <w:color w:val="000000"/>
                <w:kern w:val="0"/>
                <w:szCs w:val="21"/>
              </w:rPr>
              <w:t>　</w:t>
            </w:r>
            <w:r>
              <w:rPr>
                <w:rFonts w:hint="eastAsia" w:eastAsia="仿宋_GB2312"/>
                <w:color w:val="000000"/>
                <w:kern w:val="0"/>
                <w:szCs w:val="21"/>
              </w:rPr>
              <w:t>合理化</w:t>
            </w:r>
          </w:p>
        </w:tc>
        <w:tc>
          <w:tcPr>
            <w:tcW w:w="1983" w:type="dxa"/>
            <w:tcBorders>
              <w:top w:val="single" w:color="auto" w:sz="4" w:space="0"/>
              <w:left w:val="nil"/>
              <w:bottom w:val="single" w:color="auto" w:sz="4" w:space="0"/>
              <w:right w:val="single" w:color="auto" w:sz="4" w:space="0"/>
            </w:tcBorders>
            <w:noWrap/>
            <w:vAlign w:val="bottom"/>
          </w:tcPr>
          <w:p>
            <w:pPr>
              <w:widowControl/>
              <w:spacing w:line="28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70" w:hRule="atLeast"/>
          <w:jc w:val="center"/>
        </w:trPr>
        <w:tc>
          <w:tcPr>
            <w:tcW w:w="769"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_GB2312" w:hAnsi="宋体" w:eastAsia="仿宋_GB2312" w:cs="宋体"/>
                <w:color w:val="000000"/>
                <w:kern w:val="0"/>
                <w:szCs w:val="21"/>
              </w:rPr>
            </w:pPr>
          </w:p>
        </w:tc>
        <w:tc>
          <w:tcPr>
            <w:tcW w:w="67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7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701"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社会公众满意度</w:t>
            </w:r>
          </w:p>
        </w:tc>
        <w:tc>
          <w:tcPr>
            <w:tcW w:w="184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16"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98%</w:t>
            </w:r>
          </w:p>
        </w:tc>
        <w:tc>
          <w:tcPr>
            <w:tcW w:w="1164" w:type="dxa"/>
            <w:gridSpan w:val="2"/>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83" w:type="dxa"/>
            <w:tcBorders>
              <w:top w:val="single" w:color="auto" w:sz="4" w:space="0"/>
              <w:left w:val="nil"/>
              <w:bottom w:val="single" w:color="auto" w:sz="4" w:space="0"/>
              <w:right w:val="single" w:color="auto" w:sz="4" w:space="0"/>
            </w:tcBorders>
            <w:noWrap/>
            <w:vAlign w:val="bottom"/>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952" w:hRule="atLeast"/>
          <w:jc w:val="center"/>
        </w:trPr>
        <w:tc>
          <w:tcPr>
            <w:tcW w:w="769" w:type="dxa"/>
            <w:tcBorders>
              <w:top w:val="single" w:color="auto" w:sz="4" w:space="0"/>
              <w:left w:val="single" w:color="auto" w:sz="4" w:space="0"/>
              <w:bottom w:val="nil"/>
              <w:right w:val="single" w:color="auto" w:sz="4" w:space="0"/>
            </w:tcBorders>
            <w:noWrap/>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说明</w:t>
            </w:r>
          </w:p>
        </w:tc>
        <w:tc>
          <w:tcPr>
            <w:tcW w:w="9291" w:type="dxa"/>
            <w:gridSpan w:val="8"/>
            <w:tcBorders>
              <w:top w:val="single" w:color="auto" w:sz="4" w:space="0"/>
              <w:left w:val="nil"/>
              <w:bottom w:val="nil"/>
              <w:right w:val="single" w:color="000000" w:sz="4" w:space="0"/>
            </w:tcBorders>
            <w:noWrap/>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1785" w:hRule="atLeast"/>
          <w:jc w:val="center"/>
        </w:trPr>
        <w:tc>
          <w:tcPr>
            <w:tcW w:w="10060" w:type="dxa"/>
            <w:gridSpan w:val="9"/>
            <w:tcBorders>
              <w:top w:val="single" w:color="auto" w:sz="8" w:space="0"/>
              <w:left w:val="nil"/>
              <w:bottom w:val="nil"/>
              <w:right w:val="nil"/>
            </w:tcBorders>
            <w:noWrap/>
          </w:tcPr>
          <w:p>
            <w:pPr>
              <w:widowControl/>
              <w:ind w:firstLine="420" w:firstLineChars="200"/>
              <w:jc w:val="left"/>
              <w:rPr>
                <w:rFonts w:ascii="仿宋_GB2312" w:hAnsi="宋体" w:eastAsia="仿宋_GB2312" w:cs="宋体"/>
                <w:color w:val="000000"/>
                <w:kern w:val="0"/>
                <w:szCs w:val="21"/>
              </w:rPr>
            </w:pP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注：1、其他资金包括和中央补助、地方财政资金共同投入到同一项目的自有资金、社会资金，以及以前年度的结转结余资金等。 </w:t>
            </w: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2、定量指标，资金使用单位填写本地区实际完成数。市直各部门汇总时，对绝对值直接累加计算，相对值按照资金额度加权平均计算。</w:t>
            </w:r>
          </w:p>
          <w:p>
            <w:pPr>
              <w:widowControl/>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定性指标根据指标完成情况分为：全部或基本达成预期指标、部分达成预期指标并具有一定效果、未达成预期指标且效果较差三档，资金使用单位分别按照100％—80％（含）、80％—60％（含）、60％—0％合理填写完成比例。</w:t>
            </w:r>
          </w:p>
          <w:p>
            <w:pPr>
              <w:widowControl/>
              <w:spacing w:line="360" w:lineRule="exact"/>
              <w:ind w:firstLine="420" w:firstLineChars="200"/>
              <w:jc w:val="left"/>
              <w:rPr>
                <w:rFonts w:ascii="仿宋_GB2312" w:hAnsi="宋体" w:eastAsia="仿宋_GB2312" w:cs="宋体"/>
                <w:color w:val="000000"/>
                <w:kern w:val="0"/>
                <w:szCs w:val="21"/>
              </w:rPr>
            </w:pPr>
          </w:p>
        </w:tc>
      </w:tr>
    </w:tbl>
    <w:p/>
    <w:p>
      <w:pPr>
        <w:pStyle w:val="2"/>
        <w:rPr>
          <w:rFonts w:hint="default"/>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6B8873"/>
    <w:multiLevelType w:val="singleLevel"/>
    <w:tmpl w:val="866B8873"/>
    <w:lvl w:ilvl="0" w:tentative="0">
      <w:start w:val="1"/>
      <w:numFmt w:val="decimal"/>
      <w:lvlText w:val="%1."/>
      <w:lvlJc w:val="left"/>
      <w:pPr>
        <w:ind w:left="1055" w:hanging="425"/>
      </w:pPr>
      <w:rPr>
        <w:rFonts w:hint="default"/>
      </w:rPr>
    </w:lvl>
  </w:abstractNum>
  <w:abstractNum w:abstractNumId="1">
    <w:nsid w:val="8E645040"/>
    <w:multiLevelType w:val="singleLevel"/>
    <w:tmpl w:val="8E645040"/>
    <w:lvl w:ilvl="0" w:tentative="0">
      <w:start w:val="1"/>
      <w:numFmt w:val="decimal"/>
      <w:lvlText w:val="(%1)"/>
      <w:lvlJc w:val="left"/>
      <w:pPr>
        <w:ind w:left="1055" w:hanging="425"/>
      </w:pPr>
      <w:rPr>
        <w:rFonts w:hint="default"/>
      </w:rPr>
    </w:lvl>
  </w:abstractNum>
  <w:abstractNum w:abstractNumId="2">
    <w:nsid w:val="BE4F03AA"/>
    <w:multiLevelType w:val="singleLevel"/>
    <w:tmpl w:val="BE4F03AA"/>
    <w:lvl w:ilvl="0" w:tentative="0">
      <w:start w:val="3"/>
      <w:numFmt w:val="decimal"/>
      <w:lvlText w:val="%1."/>
      <w:lvlJc w:val="left"/>
      <w:pPr>
        <w:tabs>
          <w:tab w:val="left" w:pos="312"/>
        </w:tabs>
      </w:pPr>
    </w:lvl>
  </w:abstractNum>
  <w:abstractNum w:abstractNumId="3">
    <w:nsid w:val="C2A6B517"/>
    <w:multiLevelType w:val="singleLevel"/>
    <w:tmpl w:val="C2A6B517"/>
    <w:lvl w:ilvl="0" w:tentative="0">
      <w:start w:val="1"/>
      <w:numFmt w:val="decimal"/>
      <w:lvlText w:val="(%1)"/>
      <w:lvlJc w:val="left"/>
      <w:pPr>
        <w:ind w:left="1055" w:hanging="425"/>
      </w:pPr>
      <w:rPr>
        <w:rFonts w:hint="default"/>
      </w:rPr>
    </w:lvl>
  </w:abstractNum>
  <w:abstractNum w:abstractNumId="4">
    <w:nsid w:val="D332841F"/>
    <w:multiLevelType w:val="singleLevel"/>
    <w:tmpl w:val="D332841F"/>
    <w:lvl w:ilvl="0" w:tentative="0">
      <w:start w:val="1"/>
      <w:numFmt w:val="decimal"/>
      <w:lvlText w:val="%1."/>
      <w:lvlJc w:val="left"/>
      <w:pPr>
        <w:ind w:left="1055" w:hanging="425"/>
      </w:pPr>
      <w:rPr>
        <w:rFonts w:hint="default"/>
      </w:rPr>
    </w:lvl>
  </w:abstractNum>
  <w:abstractNum w:abstractNumId="5">
    <w:nsid w:val="FFFF18FF"/>
    <w:multiLevelType w:val="singleLevel"/>
    <w:tmpl w:val="FFFF18FF"/>
    <w:lvl w:ilvl="0" w:tentative="0">
      <w:start w:val="2"/>
      <w:numFmt w:val="chineseCounting"/>
      <w:suff w:val="nothing"/>
      <w:lvlText w:val="（%1）"/>
      <w:lvlJc w:val="left"/>
      <w:rPr>
        <w:rFonts w:hint="eastAsia"/>
      </w:rPr>
    </w:lvl>
  </w:abstractNum>
  <w:abstractNum w:abstractNumId="6">
    <w:nsid w:val="1773903E"/>
    <w:multiLevelType w:val="singleLevel"/>
    <w:tmpl w:val="1773903E"/>
    <w:lvl w:ilvl="0" w:tentative="0">
      <w:start w:val="1"/>
      <w:numFmt w:val="decimal"/>
      <w:lvlText w:val="(%1)"/>
      <w:lvlJc w:val="left"/>
      <w:pPr>
        <w:ind w:left="1055" w:hanging="425"/>
      </w:pPr>
      <w:rPr>
        <w:rFonts w:hint="default"/>
      </w:rPr>
    </w:lvl>
  </w:abstractNum>
  <w:abstractNum w:abstractNumId="7">
    <w:nsid w:val="1AF48296"/>
    <w:multiLevelType w:val="singleLevel"/>
    <w:tmpl w:val="1AF48296"/>
    <w:lvl w:ilvl="0" w:tentative="0">
      <w:start w:val="1"/>
      <w:numFmt w:val="chineseCounting"/>
      <w:suff w:val="nothing"/>
      <w:lvlText w:val="（%1）"/>
      <w:lvlJc w:val="left"/>
      <w:pPr>
        <w:ind w:left="0" w:firstLine="420"/>
      </w:pPr>
      <w:rPr>
        <w:rFonts w:hint="eastAsia"/>
        <w:b w:val="0"/>
        <w:bCs w:val="0"/>
      </w:rPr>
    </w:lvl>
  </w:abstractNum>
  <w:abstractNum w:abstractNumId="8">
    <w:nsid w:val="30522462"/>
    <w:multiLevelType w:val="singleLevel"/>
    <w:tmpl w:val="30522462"/>
    <w:lvl w:ilvl="0" w:tentative="0">
      <w:start w:val="1"/>
      <w:numFmt w:val="decimal"/>
      <w:lvlText w:val="%1."/>
      <w:lvlJc w:val="left"/>
      <w:pPr>
        <w:ind w:left="1265" w:hanging="425"/>
      </w:pPr>
      <w:rPr>
        <w:rFonts w:hint="default"/>
      </w:rPr>
    </w:lvl>
  </w:abstractNum>
  <w:abstractNum w:abstractNumId="9">
    <w:nsid w:val="31F7F934"/>
    <w:multiLevelType w:val="singleLevel"/>
    <w:tmpl w:val="31F7F934"/>
    <w:lvl w:ilvl="0" w:tentative="0">
      <w:start w:val="1"/>
      <w:numFmt w:val="chineseCounting"/>
      <w:suff w:val="nothing"/>
      <w:lvlText w:val="%1、"/>
      <w:lvlJc w:val="left"/>
      <w:rPr>
        <w:rFonts w:hint="eastAsia"/>
      </w:rPr>
    </w:lvl>
  </w:abstractNum>
  <w:abstractNum w:abstractNumId="10">
    <w:nsid w:val="343C65D6"/>
    <w:multiLevelType w:val="singleLevel"/>
    <w:tmpl w:val="343C65D6"/>
    <w:lvl w:ilvl="0" w:tentative="0">
      <w:start w:val="1"/>
      <w:numFmt w:val="decimal"/>
      <w:lvlText w:val="%1."/>
      <w:lvlJc w:val="left"/>
      <w:pPr>
        <w:ind w:left="1265" w:hanging="425"/>
      </w:pPr>
      <w:rPr>
        <w:rFonts w:hint="default"/>
      </w:rPr>
    </w:lvl>
  </w:abstractNum>
  <w:abstractNum w:abstractNumId="1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A31EF3A"/>
    <w:multiLevelType w:val="singleLevel"/>
    <w:tmpl w:val="3A31EF3A"/>
    <w:lvl w:ilvl="0" w:tentative="0">
      <w:start w:val="2"/>
      <w:numFmt w:val="decimal"/>
      <w:suff w:val="nothing"/>
      <w:lvlText w:val="%1、"/>
      <w:lvlJc w:val="left"/>
    </w:lvl>
  </w:abstractNum>
  <w:abstractNum w:abstractNumId="13">
    <w:nsid w:val="54B665CA"/>
    <w:multiLevelType w:val="singleLevel"/>
    <w:tmpl w:val="54B665CA"/>
    <w:lvl w:ilvl="0" w:tentative="0">
      <w:start w:val="4"/>
      <w:numFmt w:val="chineseCounting"/>
      <w:suff w:val="nothing"/>
      <w:lvlText w:val="%1、"/>
      <w:lvlJc w:val="left"/>
      <w:rPr>
        <w:rFonts w:hint="eastAsia"/>
      </w:rPr>
    </w:lvl>
  </w:abstractNum>
  <w:abstractNum w:abstractNumId="14">
    <w:nsid w:val="75D848A0"/>
    <w:multiLevelType w:val="singleLevel"/>
    <w:tmpl w:val="75D848A0"/>
    <w:lvl w:ilvl="0" w:tentative="0">
      <w:start w:val="1"/>
      <w:numFmt w:val="decimal"/>
      <w:lvlText w:val="(%1)"/>
      <w:lvlJc w:val="left"/>
      <w:pPr>
        <w:ind w:left="1265" w:hanging="425"/>
      </w:pPr>
      <w:rPr>
        <w:rFonts w:hint="default"/>
      </w:rPr>
    </w:lvl>
  </w:abstractNum>
  <w:num w:numId="1">
    <w:abstractNumId w:val="9"/>
  </w:num>
  <w:num w:numId="2">
    <w:abstractNumId w:val="11"/>
  </w:num>
  <w:num w:numId="3">
    <w:abstractNumId w:val="7"/>
  </w:num>
  <w:num w:numId="4">
    <w:abstractNumId w:val="12"/>
  </w:num>
  <w:num w:numId="5">
    <w:abstractNumId w:val="2"/>
  </w:num>
  <w:num w:numId="6">
    <w:abstractNumId w:val="5"/>
  </w:num>
  <w:num w:numId="7">
    <w:abstractNumId w:val="4"/>
  </w:num>
  <w:num w:numId="8">
    <w:abstractNumId w:val="14"/>
  </w:num>
  <w:num w:numId="9">
    <w:abstractNumId w:val="0"/>
  </w:num>
  <w:num w:numId="10">
    <w:abstractNumId w:val="8"/>
  </w:num>
  <w:num w:numId="11">
    <w:abstractNumId w:val="10"/>
  </w:num>
  <w:num w:numId="12">
    <w:abstractNumId w:val="6"/>
  </w:num>
  <w:num w:numId="13">
    <w:abstractNumId w:val="1"/>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4F1EC6"/>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B44CC"/>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33F9F"/>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1117665"/>
    <w:rsid w:val="01635B98"/>
    <w:rsid w:val="018327CF"/>
    <w:rsid w:val="0285377D"/>
    <w:rsid w:val="03873972"/>
    <w:rsid w:val="045A0BC3"/>
    <w:rsid w:val="05DF7DBF"/>
    <w:rsid w:val="08065580"/>
    <w:rsid w:val="0D227DD4"/>
    <w:rsid w:val="112C741F"/>
    <w:rsid w:val="13C026C2"/>
    <w:rsid w:val="15530355"/>
    <w:rsid w:val="1A473ED9"/>
    <w:rsid w:val="1E3D5D47"/>
    <w:rsid w:val="1F1C1B35"/>
    <w:rsid w:val="1FD92077"/>
    <w:rsid w:val="22AD188F"/>
    <w:rsid w:val="26397214"/>
    <w:rsid w:val="28C037FD"/>
    <w:rsid w:val="298D2929"/>
    <w:rsid w:val="29A865AD"/>
    <w:rsid w:val="2D5717A8"/>
    <w:rsid w:val="303D3985"/>
    <w:rsid w:val="31374B9C"/>
    <w:rsid w:val="31545036"/>
    <w:rsid w:val="32662F17"/>
    <w:rsid w:val="36154455"/>
    <w:rsid w:val="3B182771"/>
    <w:rsid w:val="3B4402BD"/>
    <w:rsid w:val="3E8C03EA"/>
    <w:rsid w:val="3EA13297"/>
    <w:rsid w:val="40B059BA"/>
    <w:rsid w:val="412E0E49"/>
    <w:rsid w:val="42A32DB3"/>
    <w:rsid w:val="4752315F"/>
    <w:rsid w:val="499A72FA"/>
    <w:rsid w:val="49F02827"/>
    <w:rsid w:val="50541A66"/>
    <w:rsid w:val="51D84E64"/>
    <w:rsid w:val="543D36A4"/>
    <w:rsid w:val="54EB4EAE"/>
    <w:rsid w:val="57D61A53"/>
    <w:rsid w:val="57F55CA9"/>
    <w:rsid w:val="5B8266FE"/>
    <w:rsid w:val="5CDB3A5A"/>
    <w:rsid w:val="5F806A57"/>
    <w:rsid w:val="5FF26ACB"/>
    <w:rsid w:val="625978FB"/>
    <w:rsid w:val="626F35C2"/>
    <w:rsid w:val="65184477"/>
    <w:rsid w:val="656767D3"/>
    <w:rsid w:val="65827169"/>
    <w:rsid w:val="66890422"/>
    <w:rsid w:val="66FD73EF"/>
    <w:rsid w:val="69DC4B74"/>
    <w:rsid w:val="707A6F93"/>
    <w:rsid w:val="7094298F"/>
    <w:rsid w:val="73A83752"/>
    <w:rsid w:val="77A50BEA"/>
    <w:rsid w:val="79D623CF"/>
    <w:rsid w:val="7B29241E"/>
    <w:rsid w:val="7C0B3F04"/>
    <w:rsid w:val="7E153995"/>
    <w:rsid w:val="7E5020A2"/>
    <w:rsid w:val="7EEA1B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cs="Times New Roman"/>
      <w:kern w:val="0"/>
      <w:sz w:val="24"/>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paragraph" w:customStyle="1" w:styleId="15">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36</Pages>
  <Words>15781</Words>
  <Characters>16852</Characters>
  <Lines>130</Lines>
  <Paragraphs>36</Paragraphs>
  <TotalTime>0</TotalTime>
  <ScaleCrop>false</ScaleCrop>
  <LinksUpToDate>false</LinksUpToDate>
  <CharactersWithSpaces>17307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2022-09-23T03:19:00Z</dcterms:created>
  <dc:creator>李航 null</dc:creator>
  <cp:lastModifiedBy>养鱼的猫</cp:lastModifiedBy>
  <cp:lastPrinted>2022-07-27T12:55:00Z</cp:lastPrinted>
  <dcterms:modified xsi:type="dcterms:W3CDTF">2023-09-27T18:52:56Z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EDDFBC4A456241A2B8FE96B1AE86B01F_13</vt:lpwstr>
  </property>
</Properties>
</file>