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2021年度</w:t>
      </w:r>
    </w:p>
    <w:p>
      <w:pPr>
        <w:pStyle w:val="11"/>
        <w:jc w:val="center"/>
        <w:rPr>
          <w:sz w:val="84"/>
          <w:szCs w:val="84"/>
        </w:rPr>
      </w:pPr>
      <w:r>
        <w:rPr>
          <w:rFonts w:hint="eastAsia"/>
          <w:sz w:val="84"/>
          <w:szCs w:val="84"/>
        </w:rPr>
        <w:t>怀化市人民路小学部门决算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spacing w:line="540" w:lineRule="exact"/>
        <w:jc w:val="center"/>
        <w:rPr>
          <w:sz w:val="56"/>
          <w:szCs w:val="56"/>
        </w:rPr>
      </w:pPr>
    </w:p>
    <w:p>
      <w:pPr>
        <w:pStyle w:val="11"/>
        <w:spacing w:line="500" w:lineRule="exact"/>
        <w:jc w:val="center"/>
        <w:rPr>
          <w:b/>
          <w:sz w:val="36"/>
          <w:szCs w:val="28"/>
        </w:rPr>
      </w:pPr>
    </w:p>
    <w:p>
      <w:pPr>
        <w:pStyle w:val="11"/>
        <w:spacing w:line="500" w:lineRule="exact"/>
        <w:jc w:val="center"/>
        <w:rPr>
          <w:b/>
          <w:sz w:val="36"/>
          <w:szCs w:val="28"/>
        </w:rPr>
      </w:pPr>
    </w:p>
    <w:p>
      <w:pPr>
        <w:pStyle w:val="11"/>
        <w:spacing w:line="500" w:lineRule="exact"/>
        <w:jc w:val="center"/>
        <w:rPr>
          <w:b/>
          <w:sz w:val="36"/>
          <w:szCs w:val="28"/>
        </w:rPr>
      </w:pPr>
      <w:r>
        <w:rPr>
          <w:rFonts w:hint="eastAsia"/>
          <w:b/>
          <w:sz w:val="36"/>
          <w:szCs w:val="28"/>
        </w:rPr>
        <w:t>目录</w:t>
      </w:r>
    </w:p>
    <w:p>
      <w:pPr>
        <w:pStyle w:val="11"/>
        <w:spacing w:line="500" w:lineRule="exact"/>
        <w:rPr>
          <w:rFonts w:ascii="仿宋_GB2312" w:hAnsi="仿宋_GB2312" w:cs="仿宋_GB2312"/>
          <w:b/>
          <w:sz w:val="28"/>
          <w:szCs w:val="28"/>
        </w:rPr>
      </w:pPr>
      <w:r>
        <w:rPr>
          <w:rFonts w:hint="eastAsia"/>
          <w:b/>
          <w:sz w:val="28"/>
          <w:szCs w:val="28"/>
        </w:rPr>
        <w:t>第一部分怀化市人民路小学单位概况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rFonts w:hint="eastAsia"/>
          <w:sz w:val="84"/>
          <w:szCs w:val="84"/>
        </w:rPr>
        <w:t>第一部分</w:t>
      </w:r>
    </w:p>
    <w:p>
      <w:pPr>
        <w:pStyle w:val="11"/>
        <w:jc w:val="center"/>
        <w:rPr>
          <w:sz w:val="84"/>
          <w:szCs w:val="84"/>
        </w:rPr>
      </w:pPr>
    </w:p>
    <w:p>
      <w:pPr>
        <w:pStyle w:val="11"/>
        <w:jc w:val="center"/>
        <w:rPr>
          <w:sz w:val="84"/>
          <w:szCs w:val="84"/>
        </w:rPr>
      </w:pPr>
      <w:r>
        <w:rPr>
          <w:rFonts w:hint="eastAsia"/>
          <w:sz w:val="84"/>
          <w:szCs w:val="84"/>
        </w:rPr>
        <w:t>怀化市人民路小学</w:t>
      </w:r>
      <w:r>
        <w:rPr>
          <w:rFonts w:hint="eastAsia"/>
          <w:sz w:val="84"/>
          <w:szCs w:val="84"/>
          <w:lang w:val="en-US" w:eastAsia="zh-CN"/>
        </w:rPr>
        <w:t>单位</w:t>
      </w: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spacing w:line="600" w:lineRule="exact"/>
        <w:ind w:firstLine="640" w:firstLineChars="200"/>
        <w:rPr>
          <w:rFonts w:hint="eastAsia" w:asciiTheme="minorEastAsia" w:hAnsiTheme="minorEastAsia"/>
          <w:bCs/>
          <w:kern w:val="0"/>
          <w:sz w:val="32"/>
          <w:szCs w:val="32"/>
        </w:rPr>
      </w:pPr>
      <w:r>
        <w:rPr>
          <w:rFonts w:hint="eastAsia" w:asciiTheme="minorEastAsia" w:hAnsiTheme="minorEastAsia"/>
          <w:bCs/>
          <w:kern w:val="0"/>
          <w:sz w:val="32"/>
          <w:szCs w:val="32"/>
        </w:rPr>
        <w:t>（一）怀化市人民路小学是全额拨款的事业单位。</w:t>
      </w:r>
    </w:p>
    <w:p>
      <w:pPr>
        <w:spacing w:line="600" w:lineRule="exact"/>
        <w:ind w:firstLine="640" w:firstLineChars="200"/>
        <w:rPr>
          <w:rFonts w:hint="eastAsia" w:asciiTheme="minorEastAsia" w:hAnsiTheme="minorEastAsia"/>
          <w:bCs/>
          <w:kern w:val="0"/>
          <w:sz w:val="32"/>
          <w:szCs w:val="32"/>
        </w:rPr>
      </w:pPr>
      <w:r>
        <w:rPr>
          <w:rFonts w:hint="eastAsia" w:asciiTheme="minorEastAsia" w:hAnsiTheme="minorEastAsia"/>
          <w:bCs/>
          <w:kern w:val="0"/>
          <w:sz w:val="32"/>
          <w:szCs w:val="32"/>
        </w:rPr>
        <w:t>（二）主要工作职责：全面贯彻党的教育方针，落实九年义务教育各项政策，保障学生受教育的各项权利，维护教师职工各项权益。</w:t>
      </w:r>
    </w:p>
    <w:p>
      <w:pPr>
        <w:pStyle w:val="12"/>
        <w:spacing w:line="600" w:lineRule="exact"/>
        <w:ind w:left="0" w:leftChars="0" w:firstLine="0" w:firstLineChars="0"/>
        <w:rPr>
          <w:rFonts w:cs="仿宋" w:asciiTheme="minorEastAsia" w:hAnsiTheme="minorEastAsia"/>
          <w:sz w:val="32"/>
          <w:szCs w:val="32"/>
        </w:rPr>
      </w:pP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600" w:lineRule="exact"/>
        <w:ind w:firstLine="640" w:firstLineChars="200"/>
        <w:rPr>
          <w:rFonts w:asciiTheme="minorEastAsia" w:hAnsiTheme="minorEastAsia" w:cstheme="minorEastAsia"/>
          <w:b/>
          <w:bCs/>
          <w:kern w:val="0"/>
          <w:sz w:val="32"/>
          <w:szCs w:val="32"/>
        </w:rPr>
      </w:pPr>
      <w:r>
        <w:rPr>
          <w:rFonts w:hint="eastAsia" w:asciiTheme="minorEastAsia" w:hAnsiTheme="minorEastAsia"/>
          <w:bCs/>
          <w:kern w:val="0"/>
          <w:sz w:val="32"/>
          <w:szCs w:val="32"/>
        </w:rPr>
        <w:t>（一）内设机构设置。</w:t>
      </w:r>
      <w:r>
        <w:rPr>
          <w:rFonts w:hint="eastAsia" w:ascii="Times New Roman" w:hAnsi="Times New Roman" w:eastAsia="仿宋_GB2312" w:cs="Times New Roman"/>
          <w:bCs/>
          <w:kern w:val="0"/>
          <w:sz w:val="32"/>
          <w:szCs w:val="32"/>
        </w:rPr>
        <w:t>9</w:t>
      </w:r>
      <w:r>
        <w:rPr>
          <w:rFonts w:hint="eastAsia" w:cs="仿宋" w:asciiTheme="minorEastAsia" w:hAnsiTheme="minorEastAsia"/>
          <w:sz w:val="32"/>
          <w:szCs w:val="32"/>
        </w:rPr>
        <w:t>个职能处室：</w:t>
      </w:r>
      <w:r>
        <w:rPr>
          <w:rFonts w:hint="eastAsia" w:asciiTheme="minorEastAsia" w:hAnsiTheme="minorEastAsia" w:cstheme="minorEastAsia"/>
          <w:sz w:val="32"/>
          <w:szCs w:val="32"/>
        </w:rPr>
        <w:t>校长室、教导处、教研室、总务处、办公室、工会、德育处、副校长室、财务室。</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heme="minorEastAsia" w:hAnsiTheme="minorEastAsia"/>
          <w:bCs/>
          <w:kern w:val="0"/>
          <w:sz w:val="32"/>
          <w:szCs w:val="32"/>
        </w:rPr>
        <w:t>（二）决算单位构成：怀化市人民路小学本级</w:t>
      </w:r>
      <w:r>
        <w:rPr>
          <w:rFonts w:hint="eastAsia" w:ascii="Times New Roman" w:hAnsi="Times New Roman" w:eastAsia="仿宋_GB2312" w:cs="Times New Roman"/>
          <w:bCs/>
          <w:kern w:val="0"/>
          <w:sz w:val="32"/>
          <w:szCs w:val="32"/>
        </w:rPr>
        <w:t>。</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r>
        <w:rPr>
          <w:sz w:val="72"/>
          <w:szCs w:val="72"/>
        </w:rPr>
        <w:br w:type="textWrapping"/>
      </w: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1"/>
        <w:rPr>
          <w:sz w:val="72"/>
          <w:szCs w:val="72"/>
        </w:rPr>
      </w:pPr>
    </w:p>
    <w:p>
      <w:pPr>
        <w:pStyle w:val="11"/>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1"/>
        <w:rPr>
          <w:rFonts w:hAnsi="黑体"/>
          <w:b/>
          <w:sz w:val="32"/>
          <w:szCs w:val="32"/>
        </w:rPr>
      </w:pPr>
      <w:r>
        <w:rPr>
          <w:rFonts w:hint="eastAsia" w:hAnsi="黑体"/>
          <w:b/>
          <w:sz w:val="32"/>
          <w:szCs w:val="32"/>
        </w:rPr>
        <w:t>一、收入支出决算总体情况说明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2021年度收入合计2921.57万元。与上年相比，减少428.33万元，减少12.8%，主要是因为学生人数减少，一般公共预算财政拨款收入减少。</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2021年度支出合计2903.18万元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年初结转和结余18.40万元，支出总计2921.57万元</w:t>
      </w:r>
      <w:r>
        <w:rPr>
          <w:rFonts w:hint="eastAsia" w:asciiTheme="minorEastAsia" w:hAnsiTheme="minorEastAsia" w:eastAsiaTheme="minorEastAsia"/>
          <w:sz w:val="32"/>
          <w:szCs w:val="32"/>
        </w:rPr>
        <w:t>。与上年相比，减少201.82万元，减少6.5%，主要是因为学生人数减少，一般公共预算财政拨款收入减少，厉行节约。</w:t>
      </w:r>
    </w:p>
    <w:p>
      <w:pPr>
        <w:pStyle w:val="11"/>
        <w:rPr>
          <w:rFonts w:hAnsi="黑体"/>
          <w:b/>
          <w:sz w:val="32"/>
          <w:szCs w:val="32"/>
        </w:rPr>
      </w:pPr>
      <w:r>
        <w:rPr>
          <w:rFonts w:hint="eastAsia" w:hAnsi="黑体"/>
          <w:b/>
          <w:sz w:val="32"/>
          <w:szCs w:val="32"/>
        </w:rPr>
        <w:t>二、收入决算情况说明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w:t>
      </w:r>
      <w:r>
        <w:rPr>
          <w:rFonts w:hint="eastAsia" w:asciiTheme="minorEastAsia" w:hAnsiTheme="minorEastAsia" w:eastAsiaTheme="minorEastAsia"/>
          <w:sz w:val="32"/>
          <w:szCs w:val="32"/>
          <w:lang w:val="en-US" w:eastAsia="zh-CN"/>
        </w:rPr>
        <w:t>2676.67</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1870.53</w:t>
      </w:r>
      <w:r>
        <w:rPr>
          <w:rFonts w:hint="eastAsia" w:asciiTheme="minorEastAsia" w:hAnsiTheme="minorEastAsia" w:eastAsiaTheme="minorEastAsia"/>
          <w:sz w:val="32"/>
          <w:szCs w:val="32"/>
        </w:rPr>
        <w:t>万元，占72.4%；上级补助收入0万元，占0%；事业收入0万元，占0%；经营收入0万元，占0%；附属单位上缴收入0万元，占0%；其他收入806.14万元，占27.6%。</w:t>
      </w:r>
    </w:p>
    <w:p>
      <w:pPr>
        <w:pStyle w:val="11"/>
        <w:rPr>
          <w:rFonts w:hAnsi="黑体"/>
          <w:b/>
          <w:sz w:val="32"/>
          <w:szCs w:val="32"/>
        </w:rPr>
      </w:pPr>
      <w:r>
        <w:rPr>
          <w:rFonts w:hint="eastAsia" w:hAnsi="黑体"/>
          <w:b/>
          <w:sz w:val="32"/>
          <w:szCs w:val="32"/>
        </w:rPr>
        <w:t>三、支出决算情况说明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2021年度支出合计2903.18万元，其中：基本支出2523.87万元，占86.9%；项目支出379.3万元，占13.1%；上缴上级支出0万元，占0%；经营支出0万元，占0%；对附属单位补助支出0万元，占0%。</w:t>
      </w:r>
    </w:p>
    <w:p>
      <w:pPr>
        <w:pStyle w:val="11"/>
        <w:rPr>
          <w:rFonts w:hAnsi="黑体"/>
          <w:b/>
          <w:sz w:val="32"/>
          <w:szCs w:val="32"/>
        </w:rPr>
      </w:pPr>
      <w:r>
        <w:rPr>
          <w:rFonts w:hint="eastAsia" w:hAnsi="黑体"/>
          <w:b/>
          <w:sz w:val="32"/>
          <w:szCs w:val="32"/>
        </w:rPr>
        <w:t>四、财政拨款收入支出决算总体情况说明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2021年度财政拨款收入合计2115.44万元。与上年相比，减少775.04万元，减少26.8%，主要是因为学生人数减少。</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2021年度财政拨款支出合计2115.44万元。与上年相比，减少775.04万元，减少26.8%，主要是因为学生人数减少，财政拨款收入减少。</w:t>
      </w:r>
    </w:p>
    <w:p>
      <w:pPr>
        <w:pStyle w:val="11"/>
        <w:rPr>
          <w:rFonts w:hAnsi="黑体"/>
          <w:b/>
          <w:sz w:val="32"/>
          <w:szCs w:val="32"/>
        </w:rPr>
      </w:pPr>
      <w:r>
        <w:rPr>
          <w:rFonts w:hint="eastAsia" w:hAnsi="黑体"/>
          <w:b/>
          <w:sz w:val="32"/>
          <w:szCs w:val="32"/>
        </w:rPr>
        <w:t>五、一般公共预算财政拨款支出决算情况说明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2021年度财政拨款支出2097.04万元，占本年支出合计的72.2%，与上年相比，财政拨款支出增加减少548.53万元，减少20.7%，主要是因为学生人数减少，厉行节约。</w:t>
      </w:r>
    </w:p>
    <w:p>
      <w:pPr>
        <w:pStyle w:val="11"/>
        <w:ind w:firstLine="640" w:firstLineChars="200"/>
        <w:rPr>
          <w:rFonts w:hint="eastAsia"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2021年度财政拨款支出2097.04万元，主要用于以下方面：教育（类）支出2097.04万元，占100%;</w:t>
      </w:r>
    </w:p>
    <w:p>
      <w:pPr>
        <w:pStyle w:val="11"/>
        <w:ind w:firstLine="640" w:firstLineChars="200"/>
        <w:rPr>
          <w:rFonts w:hint="eastAsia"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ind w:firstLine="800" w:firstLineChars="250"/>
        <w:rPr>
          <w:rFonts w:asciiTheme="minorEastAsia" w:hAnsiTheme="minorEastAsia" w:eastAsiaTheme="minorEastAsia"/>
          <w:color w:val="FF0000"/>
          <w:sz w:val="32"/>
          <w:szCs w:val="32"/>
        </w:rPr>
      </w:pPr>
      <w:r>
        <w:rPr>
          <w:rFonts w:hint="eastAsia" w:asciiTheme="minorEastAsia" w:hAnsiTheme="minorEastAsia" w:eastAsiaTheme="minorEastAsia"/>
          <w:color w:val="auto"/>
          <w:sz w:val="32"/>
          <w:szCs w:val="32"/>
        </w:rPr>
        <w:t>2021年度财政拨款支出年初预算数为2391.4万元，支出决算数为2097.04万元，完成年初预算的87.7%，其中：</w:t>
      </w:r>
    </w:p>
    <w:p>
      <w:pPr>
        <w:pStyle w:val="11"/>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1、教育支出（类）普通教育（款）小学教育（项）。</w:t>
      </w:r>
    </w:p>
    <w:p>
      <w:pPr>
        <w:pStyle w:val="11"/>
        <w:ind w:firstLine="800" w:firstLineChars="250"/>
        <w:rPr>
          <w:rFonts w:asciiTheme="minorEastAsia" w:hAnsiTheme="minorEastAsia" w:eastAsiaTheme="minorEastAsia"/>
          <w:color w:val="FF0000"/>
          <w:sz w:val="32"/>
          <w:szCs w:val="32"/>
        </w:rPr>
      </w:pPr>
      <w:r>
        <w:rPr>
          <w:rFonts w:hint="eastAsia" w:asciiTheme="minorEastAsia" w:hAnsiTheme="minorEastAsia" w:eastAsiaTheme="minorEastAsia"/>
          <w:color w:val="auto"/>
          <w:sz w:val="32"/>
          <w:szCs w:val="32"/>
        </w:rPr>
        <w:t>年初预算为1962.5万元，支出决算为1717.73万元，完成年初预算的87.5%。</w:t>
      </w:r>
    </w:p>
    <w:p>
      <w:pPr>
        <w:pStyle w:val="11"/>
        <w:ind w:firstLine="800" w:firstLineChars="25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2、教育支出（类）</w:t>
      </w:r>
      <w:r>
        <w:rPr>
          <w:rFonts w:hint="eastAsia" w:asciiTheme="minorEastAsia" w:hAnsiTheme="minorEastAsia" w:eastAsiaTheme="minorEastAsia"/>
          <w:color w:val="auto"/>
          <w:sz w:val="32"/>
          <w:szCs w:val="32"/>
          <w:lang w:val="en-US" w:eastAsia="zh-CN"/>
        </w:rPr>
        <w:t>普通</w:t>
      </w:r>
      <w:r>
        <w:rPr>
          <w:rFonts w:hint="eastAsia" w:asciiTheme="minorEastAsia" w:hAnsiTheme="minorEastAsia" w:eastAsiaTheme="minorEastAsia"/>
          <w:color w:val="auto"/>
          <w:sz w:val="32"/>
          <w:szCs w:val="32"/>
        </w:rPr>
        <w:t>教育（款）其他普通教育支出（项）</w:t>
      </w:r>
      <w:r>
        <w:rPr>
          <w:rFonts w:hint="eastAsia" w:asciiTheme="minorEastAsia" w:hAnsiTheme="minorEastAsia" w:eastAsiaTheme="minorEastAsia"/>
          <w:color w:val="auto"/>
          <w:sz w:val="32"/>
          <w:szCs w:val="32"/>
          <w:lang w:eastAsia="zh-CN"/>
        </w:rPr>
        <w:t>。</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color w:val="auto"/>
          <w:sz w:val="32"/>
          <w:szCs w:val="32"/>
        </w:rPr>
        <w:t>年初预算为428.9万元，支出决算为379.3万元，完成年初预算的88.4%。</w:t>
      </w:r>
    </w:p>
    <w:p>
      <w:pPr>
        <w:pStyle w:val="11"/>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1717.73万元，其中：人员经费1679.03万元，占基本支出的97.7%,主要包括基本工资、津贴补贴、奖金、伙食补助费等；公用经费38.7万元，占基本支出的2.3%，主要包括办公费、印刷费、咨询费、手续费等。</w:t>
      </w:r>
    </w:p>
    <w:p>
      <w:pPr>
        <w:pStyle w:val="11"/>
        <w:rPr>
          <w:rFonts w:hAnsi="黑体"/>
          <w:b/>
          <w:sz w:val="32"/>
          <w:szCs w:val="32"/>
        </w:rPr>
      </w:pPr>
      <w:r>
        <w:rPr>
          <w:rFonts w:hint="eastAsia" w:hAnsi="黑体"/>
          <w:b/>
          <w:sz w:val="32"/>
          <w:szCs w:val="32"/>
        </w:rPr>
        <w:t>七、一般公共预算财政拨款“三公”经费支出决算情况说明</w:t>
      </w:r>
    </w:p>
    <w:p>
      <w:pPr>
        <w:pStyle w:val="11"/>
        <w:ind w:firstLine="640" w:firstLineChars="200"/>
        <w:rPr>
          <w:rFonts w:hint="eastAsia"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万元，支出决算为0万元，由于预算数为0，无法计算百分比，其中：</w:t>
      </w:r>
    </w:p>
    <w:p>
      <w:pPr>
        <w:pStyle w:val="11"/>
        <w:keepNext w:val="0"/>
        <w:keepLines w:val="0"/>
        <w:pageBreakBefore w:val="0"/>
        <w:widowControl w:val="0"/>
        <w:kinsoku/>
        <w:wordWrap/>
        <w:overflowPunct/>
        <w:topLinePunct w:val="0"/>
        <w:bidi w:val="0"/>
        <w:snapToGrid/>
        <w:ind w:firstLine="640" w:firstLineChars="200"/>
        <w:textAlignment w:val="auto"/>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因公出国（境）费支出预算为0万元，支出决算为0万元，由于预算数为0，无法计算百分比，决算数等于预算数的主要原因是今年无人因公出国（境），与上年相比相同。</w:t>
      </w:r>
      <w:r>
        <w:rPr>
          <w:rFonts w:hint="eastAsia" w:asciiTheme="minorEastAsia" w:hAnsiTheme="minorEastAsia" w:eastAsiaTheme="minorEastAsia"/>
          <w:color w:val="000000" w:themeColor="text1"/>
          <w:sz w:val="32"/>
          <w:szCs w:val="32"/>
        </w:rPr>
        <w:br w:type="textWrapping"/>
      </w:r>
      <w:r>
        <w:rPr>
          <w:rFonts w:hint="eastAsia" w:asciiTheme="minorEastAsia" w:hAnsiTheme="minorEastAsia" w:eastAsiaTheme="minorEastAsia"/>
          <w:color w:val="000000" w:themeColor="text1"/>
          <w:sz w:val="32"/>
          <w:szCs w:val="32"/>
          <w:lang w:val="en-US" w:eastAsia="zh-CN"/>
        </w:rPr>
        <w:t xml:space="preserve">    </w:t>
      </w:r>
      <w:r>
        <w:rPr>
          <w:rFonts w:hint="eastAsia" w:asciiTheme="minorEastAsia" w:hAnsiTheme="minorEastAsia" w:eastAsiaTheme="minorEastAsia"/>
          <w:color w:val="000000" w:themeColor="text1"/>
          <w:sz w:val="32"/>
          <w:szCs w:val="32"/>
        </w:rPr>
        <w:t>公务接待费支出预算为0万元，支出决算为0万元，由于预算数为0，无法计算百分比，决算数等于预算数的主要原因是无公务接待，与上年相比相同。</w:t>
      </w:r>
      <w:r>
        <w:rPr>
          <w:rFonts w:hint="eastAsia" w:asciiTheme="minorEastAsia" w:hAnsiTheme="minorEastAsia" w:eastAsiaTheme="minorEastAsia"/>
          <w:color w:val="000000" w:themeColor="text1"/>
          <w:sz w:val="32"/>
          <w:szCs w:val="32"/>
        </w:rPr>
        <w:br w:type="textWrapping"/>
      </w:r>
      <w:r>
        <w:rPr>
          <w:rFonts w:hint="eastAsia" w:asciiTheme="minorEastAsia" w:hAnsiTheme="minorEastAsia" w:eastAsiaTheme="minorEastAsia"/>
          <w:color w:val="000000" w:themeColor="text1"/>
          <w:sz w:val="32"/>
          <w:szCs w:val="32"/>
          <w:lang w:val="en-US" w:eastAsia="zh-CN"/>
        </w:rPr>
        <w:t xml:space="preserve">    </w:t>
      </w:r>
      <w:r>
        <w:rPr>
          <w:rFonts w:hint="eastAsia" w:asciiTheme="minorEastAsia" w:hAnsiTheme="minorEastAsia" w:eastAsiaTheme="minorEastAsia"/>
          <w:color w:val="000000" w:themeColor="text1"/>
          <w:sz w:val="32"/>
          <w:szCs w:val="32"/>
        </w:rPr>
        <w:t>公务用车购置费支出预算为0万元，支出决算为0万元，由于预算数为0，无法计算百分比，决算数等于预算数的主要原因是未购置公务用车，与上年相比相同。</w:t>
      </w:r>
      <w:r>
        <w:rPr>
          <w:rFonts w:hint="eastAsia" w:asciiTheme="minorEastAsia" w:hAnsiTheme="minorEastAsia" w:eastAsiaTheme="minorEastAsia"/>
          <w:color w:val="000000" w:themeColor="text1"/>
          <w:sz w:val="32"/>
          <w:szCs w:val="32"/>
        </w:rPr>
        <w:br w:type="textWrapping"/>
      </w:r>
      <w:r>
        <w:rPr>
          <w:rFonts w:hint="eastAsia" w:asciiTheme="minorEastAsia" w:hAnsiTheme="minorEastAsia" w:eastAsiaTheme="minorEastAsia"/>
          <w:color w:val="000000" w:themeColor="text1"/>
          <w:sz w:val="32"/>
          <w:szCs w:val="32"/>
          <w:lang w:val="en-US" w:eastAsia="zh-CN"/>
        </w:rPr>
        <w:t xml:space="preserve">    </w:t>
      </w:r>
      <w:r>
        <w:rPr>
          <w:rFonts w:hint="eastAsia" w:asciiTheme="minorEastAsia" w:hAnsiTheme="minorEastAsia" w:eastAsiaTheme="minorEastAsia"/>
          <w:color w:val="000000" w:themeColor="text1"/>
          <w:sz w:val="32"/>
          <w:szCs w:val="32"/>
        </w:rPr>
        <w:t>公务用车运行维护费支出预算为0万元，支出决算为0万元，由于预算数为0，无法计算百分比，决算数等于预算数的主要原因是未购置公务用车，与上年相比相同。</w:t>
      </w:r>
    </w:p>
    <w:p>
      <w:pPr>
        <w:pStyle w:val="11"/>
        <w:ind w:firstLine="640" w:firstLineChars="200"/>
        <w:rPr>
          <w:rFonts w:hint="eastAsia" w:asciiTheme="minorEastAsia" w:hAnsiTheme="minorEastAsia" w:eastAsiaTheme="minorEastAsia"/>
          <w:b/>
          <w:sz w:val="32"/>
          <w:szCs w:val="32"/>
        </w:rPr>
      </w:pPr>
      <w:bookmarkStart w:id="0" w:name="_GoBack"/>
      <w:bookmarkEnd w:id="0"/>
      <w:r>
        <w:rPr>
          <w:rFonts w:hint="eastAsia" w:asciiTheme="minorEastAsia" w:hAnsiTheme="minorEastAsia" w:eastAsiaTheme="minorEastAsia"/>
          <w:b/>
          <w:sz w:val="32"/>
          <w:szCs w:val="32"/>
        </w:rPr>
        <w:t>（二）“三公”经费财政拨款支出决算具体情况说明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2021年度“三公”经费财政拨款支出决算中，公务接待费支出决算0万元，占0%,因公出国（境）费支出决算0万元，占0%,公务用车购置费及运行维护费支出决算0万元，占0%。其中：</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r>
        <w:rPr>
          <w:rFonts w:hint="eastAsia" w:asciiTheme="minorEastAsia" w:hAnsiTheme="minorEastAsia" w:eastAsiaTheme="minorEastAsia"/>
          <w:i/>
          <w:color w:val="FF0000"/>
          <w:sz w:val="32"/>
          <w:szCs w:val="32"/>
        </w:rPr>
        <w:t>.</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w:t>
      </w:r>
    </w:p>
    <w:p>
      <w:pPr>
        <w:ind w:firstLine="800" w:firstLineChars="250"/>
        <w:rPr>
          <w:rFonts w:asciiTheme="minorEastAsia" w:hAnsiTheme="minorEastAsia"/>
          <w:sz w:val="32"/>
          <w:szCs w:val="32"/>
        </w:rPr>
      </w:pPr>
      <w:r>
        <w:rPr>
          <w:rFonts w:hint="eastAsia" w:asciiTheme="minorEastAsia" w:hAnsiTheme="minorEastAsia"/>
          <w:sz w:val="32"/>
          <w:szCs w:val="32"/>
        </w:rPr>
        <w:t>3、公务用车购置费及运行维护费支出决算为0万元，其中：公务用车购置费0万元，更新公务用车0辆</w:t>
      </w:r>
      <w:r>
        <w:rPr>
          <w:rFonts w:hint="eastAsia" w:asciiTheme="minorEastAsia" w:hAnsiTheme="minorEastAsia"/>
          <w:sz w:val="32"/>
          <w:szCs w:val="32"/>
          <w:lang w:val="en-US" w:eastAsia="zh-CN"/>
        </w:rPr>
        <w:t>,</w:t>
      </w:r>
      <w:r>
        <w:rPr>
          <w:rFonts w:hint="eastAsia" w:asciiTheme="minorEastAsia" w:hAnsiTheme="minorEastAsia"/>
          <w:sz w:val="32"/>
          <w:szCs w:val="32"/>
        </w:rPr>
        <w:t>公务用车运行维护费0万元，截止2021年12月31日，我单位开支财政拨款的公务用车保有量为0辆。</w:t>
      </w:r>
    </w:p>
    <w:p>
      <w:pPr>
        <w:pStyle w:val="11"/>
        <w:rPr>
          <w:rFonts w:hAnsi="黑体"/>
          <w:b/>
          <w:sz w:val="32"/>
          <w:szCs w:val="32"/>
        </w:rPr>
      </w:pPr>
      <w:r>
        <w:rPr>
          <w:rFonts w:hint="eastAsia" w:hAnsi="黑体"/>
          <w:b/>
          <w:sz w:val="32"/>
          <w:szCs w:val="32"/>
        </w:rPr>
        <w:t>八、政府性基金预算收入支出决算情况</w:t>
      </w:r>
    </w:p>
    <w:p>
      <w:pPr>
        <w:pStyle w:val="11"/>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2021年度政府性基金预算财政拨款收入0万元；年初结转和结余0万元；支出0万元，其中基本支出0万元，项目支出0万元；年末结转和结余0万元。</w:t>
      </w:r>
    </w:p>
    <w:p>
      <w:pPr>
        <w:pStyle w:val="11"/>
        <w:ind w:firstLine="640"/>
        <w:rPr>
          <w:rFonts w:asciiTheme="minorEastAsia" w:hAnsiTheme="minorEastAsia" w:eastAsiaTheme="minorEastAsia"/>
          <w:i/>
          <w:color w:val="FF0000"/>
          <w:sz w:val="32"/>
          <w:szCs w:val="32"/>
        </w:rPr>
      </w:pPr>
      <w:r>
        <w:rPr>
          <w:rFonts w:hint="eastAsia" w:asciiTheme="minorEastAsia" w:hAnsiTheme="minorEastAsia" w:eastAsiaTheme="minorEastAsia"/>
          <w:color w:val="000000" w:themeColor="text1"/>
          <w:sz w:val="32"/>
          <w:szCs w:val="32"/>
        </w:rPr>
        <w:t>本单位无政府性基金。</w:t>
      </w:r>
    </w:p>
    <w:p>
      <w:pPr>
        <w:pStyle w:val="11"/>
        <w:rPr>
          <w:rFonts w:hAnsi="黑体"/>
          <w:b/>
          <w:sz w:val="32"/>
          <w:szCs w:val="32"/>
        </w:rPr>
      </w:pPr>
      <w:r>
        <w:rPr>
          <w:rFonts w:hint="eastAsia" w:hAnsi="黑体"/>
          <w:b/>
          <w:sz w:val="32"/>
          <w:szCs w:val="32"/>
        </w:rPr>
        <w:t>九、国有资本经营预算财政拨款支出情况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color w:val="auto"/>
          <w:sz w:val="32"/>
          <w:szCs w:val="32"/>
        </w:rPr>
        <w:t>202</w:t>
      </w:r>
      <w:r>
        <w:rPr>
          <w:rFonts w:hint="eastAsia" w:asciiTheme="minorEastAsia" w:hAnsiTheme="minorEastAsia" w:eastAsiaTheme="minorEastAsia"/>
          <w:color w:val="auto"/>
          <w:sz w:val="32"/>
          <w:szCs w:val="32"/>
          <w:lang w:val="en-US" w:eastAsia="zh-CN"/>
        </w:rPr>
        <w:t>1</w:t>
      </w:r>
      <w:r>
        <w:rPr>
          <w:rFonts w:hint="eastAsia" w:asciiTheme="minorEastAsia" w:hAnsiTheme="minorEastAsia" w:eastAsiaTheme="minorEastAsia"/>
          <w:color w:val="auto"/>
          <w:sz w:val="32"/>
          <w:szCs w:val="32"/>
        </w:rPr>
        <w:t>年度国有资本经营预算财政拨款收入</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万元；年初结转和结余</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万元，其中基本支出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万元，项目支出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万元；年末结转和结余</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sz w:val="32"/>
          <w:szCs w:val="32"/>
        </w:rPr>
        <w:t>。具体情况如下：本单位无国有资本经营。</w:t>
      </w:r>
    </w:p>
    <w:p>
      <w:pPr>
        <w:pStyle w:val="11"/>
        <w:rPr>
          <w:rFonts w:hAnsi="黑体"/>
          <w:b/>
          <w:sz w:val="32"/>
          <w:szCs w:val="32"/>
        </w:rPr>
      </w:pPr>
      <w:r>
        <w:rPr>
          <w:rFonts w:hint="eastAsia" w:hAnsi="黑体"/>
          <w:b/>
          <w:sz w:val="32"/>
          <w:szCs w:val="32"/>
        </w:rPr>
        <w:t>十、机关运行经费支出说明</w:t>
      </w:r>
    </w:p>
    <w:p>
      <w:pPr>
        <w:pStyle w:val="11"/>
        <w:ind w:firstLine="640" w:firstLineChars="200"/>
        <w:rPr>
          <w:rFonts w:hAnsi="黑体"/>
          <w:b/>
          <w:sz w:val="32"/>
          <w:szCs w:val="32"/>
        </w:rPr>
      </w:pPr>
      <w:r>
        <w:rPr>
          <w:rFonts w:hint="eastAsia" w:asciiTheme="minorEastAsia" w:hAnsiTheme="minorEastAsia" w:eastAsiaTheme="minorEastAsia"/>
          <w:sz w:val="32"/>
          <w:szCs w:val="32"/>
        </w:rPr>
        <w:t>本部门2021年度机关运行经费支出0万元。</w:t>
      </w:r>
      <w:r>
        <w:rPr>
          <w:rFonts w:hint="eastAsia" w:asciiTheme="minorEastAsia" w:hAnsiTheme="minorEastAsia" w:eastAsiaTheme="minorEastAsia"/>
          <w:color w:val="000000" w:themeColor="text1"/>
          <w:sz w:val="32"/>
          <w:szCs w:val="32"/>
        </w:rPr>
        <w:t>机关运行经费为保障行政单位（含参照公务员法管理的事业单位）运行用于购买货物和服务的各项资金，本单位为财政补助事业单位，无机关运行经费，本单位公用经费为38.7万元。</w:t>
      </w:r>
      <w:r>
        <w:rPr>
          <w:rFonts w:hint="eastAsia" w:hAnsi="黑体"/>
          <w:b/>
          <w:sz w:val="32"/>
          <w:szCs w:val="32"/>
        </w:rPr>
        <w:t>十一、一般性支出情况说明</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2021年本部门开支会议费0万元，人数0人；开支培训费</w:t>
      </w:r>
      <w:r>
        <w:rPr>
          <w:rFonts w:hint="eastAsia" w:cs="黑体" w:asciiTheme="minorEastAsia" w:hAnsiTheme="minorEastAsia"/>
          <w:color w:val="000000"/>
          <w:kern w:val="0"/>
          <w:sz w:val="32"/>
          <w:szCs w:val="32"/>
          <w:lang w:val="en-US" w:eastAsia="zh-CN"/>
        </w:rPr>
        <w:t>10.14</w:t>
      </w:r>
      <w:r>
        <w:rPr>
          <w:rFonts w:hint="eastAsia" w:cs="黑体" w:asciiTheme="minorEastAsia" w:hAnsiTheme="minorEastAsia"/>
          <w:color w:val="000000"/>
          <w:kern w:val="0"/>
          <w:sz w:val="32"/>
          <w:szCs w:val="32"/>
        </w:rPr>
        <w:t>万元，</w:t>
      </w:r>
      <w:r>
        <w:rPr>
          <w:rFonts w:hint="eastAsia" w:cs="黑体" w:asciiTheme="minorEastAsia" w:hAnsiTheme="minorEastAsia"/>
          <w:color w:val="000000"/>
          <w:kern w:val="0"/>
          <w:sz w:val="32"/>
          <w:szCs w:val="32"/>
          <w:lang w:val="en-US" w:eastAsia="zh-CN"/>
        </w:rPr>
        <w:t>用于教师培训</w:t>
      </w:r>
      <w:r>
        <w:rPr>
          <w:rFonts w:hint="eastAsia" w:cs="黑体" w:asciiTheme="minorEastAsia" w:hAnsiTheme="minorEastAsia"/>
          <w:color w:val="000000"/>
          <w:kern w:val="0"/>
          <w:sz w:val="32"/>
          <w:szCs w:val="32"/>
        </w:rPr>
        <w:t>；未举办节庆、晚会、论坛、赛事活动，开支0万元。</w:t>
      </w:r>
    </w:p>
    <w:p>
      <w:pPr>
        <w:pStyle w:val="11"/>
        <w:rPr>
          <w:rFonts w:hAnsi="黑体"/>
          <w:b/>
          <w:sz w:val="32"/>
          <w:szCs w:val="32"/>
        </w:rPr>
      </w:pPr>
      <w:r>
        <w:rPr>
          <w:rFonts w:hint="eastAsia" w:hAnsi="黑体"/>
          <w:b/>
          <w:sz w:val="32"/>
          <w:szCs w:val="32"/>
        </w:rPr>
        <w:t>十二、政府采购支出说明</w:t>
      </w:r>
    </w:p>
    <w:p>
      <w:pPr>
        <w:pStyle w:val="11"/>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 xml:space="preserve">    本</w:t>
      </w:r>
      <w:r>
        <w:rPr>
          <w:rFonts w:hint="eastAsia" w:asciiTheme="minorEastAsia" w:hAnsiTheme="minorEastAsia" w:eastAsiaTheme="minorEastAsia"/>
          <w:sz w:val="32"/>
          <w:szCs w:val="32"/>
        </w:rPr>
        <w:t>部门2021年度政府采购支出总额0万元，其中：政府采购货物支出0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1"/>
        <w:rPr>
          <w:rFonts w:hAnsi="黑体"/>
          <w:b/>
          <w:sz w:val="32"/>
          <w:szCs w:val="32"/>
        </w:rPr>
      </w:pPr>
      <w:r>
        <w:rPr>
          <w:rFonts w:hint="eastAsia" w:hAnsi="黑体"/>
          <w:b/>
          <w:sz w:val="32"/>
          <w:szCs w:val="32"/>
        </w:rPr>
        <w:t>十三、国有资产占用情况说明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2020年12月31日，本单位共有车辆0辆，其中，主要领导干部用车0辆，机要通信用车0辆、应急保障用车0辆、执法执勤用车0辆、特种专业技术用车0辆、其他用车0辆；单位价值50万元以上通用设备0台（套）；单位价值100万元以上专用设备0台（套）。</w:t>
      </w:r>
    </w:p>
    <w:p>
      <w:pPr>
        <w:pStyle w:val="11"/>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年度一般公共预算项目支出全面开展绩效自评，其中，一级项目2个，二级项目0个，共涉及资金211.872万元，占一般公共预算项目支出总额的55.9</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年度0等0个政府性基金预算项目支出开展绩效自评，共涉及资金0万元，占政府性基金预算项目支出总额的0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年度0等0个国有资本经营预算项目支出开展绩效自评，共涉及资金0万元，占国有资本经营预算项目支出总额的0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安保工资”“临聘教师工资”等2个项目开展了部门评价，涉及一般公共预算支出211.872万元，政府性基金预算支出0万元，国有资本经营预算支出0万元。从评价情况来看，项目所有开支均按照我单位财务管理制度执行，资金的使用严格把关，专款专用。项目资金使用与具体项目实施内容相符，绩效总目标和阶段性目标都已按照计划完成，未逾期。</w:t>
      </w:r>
    </w:p>
    <w:p>
      <w:pPr>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保证了学校教学工作顺利开展。2021年我校各项工作开展的有生有色，取得了较好的社会效应，周边群众及服务对象满意度较高。项目支出合理、规范、有效，项目目标全部完成，2021年，项目支出绩效评价单位自评得分：99分，等级为优秀。</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“安保工资”项目绩效自评综述：根据年初设定的绩效目标，项目绩效自评得分为100分。项目全年预算数为19.872万元，执行数为19.872万元，完成预算的100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。项目绩效目标完成情况：一是雇佣保安人数为8人；二是确保学校安全事故发生率为0。下一步改进措施：进一步加强安保工作。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“临聘工资”项目绩效自评综述：根据年初设定的绩效目标，项目绩效自评得分为100分。项目全年预算数为192万元，执行数为192万元，完成预算的100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一是弥补了师资力量的不足，协助完成我校4168名校学生81个班级的教学及班级管理工作。发现的主要问题是临聘教师师资补稳定，教师培训工作每个学期都要进行，主要原因的很多临聘教师考上了编制。下一步改进措施：加强师资力量的培训，以维持较高的教学及管理水平。</w:t>
      </w:r>
    </w:p>
    <w:p>
      <w:pPr>
        <w:ind w:firstLine="640" w:firstLineChars="200"/>
        <w:jc w:val="left"/>
        <w:rPr>
          <w:rFonts w:cs="黑体" w:asciiTheme="minorEastAsia" w:hAnsiTheme="minorEastAsia"/>
          <w:color w:val="000000"/>
          <w:kern w:val="0"/>
          <w:sz w:val="32"/>
          <w:szCs w:val="32"/>
        </w:rPr>
      </w:pPr>
      <w:r>
        <w:rPr>
          <w:rFonts w:hint="eastAsia" w:asciiTheme="minorEastAsia" w:hAnsiTheme="minorEastAsia"/>
          <w:sz w:val="32"/>
          <w:szCs w:val="32"/>
        </w:rPr>
        <w:t>2</w:t>
      </w:r>
      <w:r>
        <w:rPr>
          <w:rFonts w:hint="eastAsia" w:cs="黑体" w:asciiTheme="minorEastAsia" w:hAnsiTheme="minorEastAsia"/>
          <w:color w:val="000000"/>
          <w:kern w:val="0"/>
          <w:sz w:val="32"/>
          <w:szCs w:val="32"/>
        </w:rPr>
        <w:t>021年在上级部门的正确领导下，保证各项资金使用的真实、合法、有效，充分发挥资金使用效率。年初制定的支出绩效目标总体完成情况良好，学校实现平稳运行，各项教育教学工作正常有序。</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jc w:val="both"/>
        <w:textAlignment w:val="auto"/>
        <w:rPr>
          <w:sz w:val="72"/>
          <w:szCs w:val="72"/>
        </w:rPr>
      </w:pPr>
      <w:r>
        <w:rPr>
          <w:rFonts w:hint="eastAsia" w:asciiTheme="minorEastAsia" w:hAnsiTheme="minorEastAsia" w:eastAsiaTheme="minorEastAsia"/>
          <w:sz w:val="32"/>
          <w:szCs w:val="32"/>
        </w:rPr>
        <w:t>“临聘工资”项目已经单独在绩效评价中公开。</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cs="黑体" w:asciiTheme="minorEastAsia" w:hAnsiTheme="minorEastAsia"/>
          <w:color w:val="000000"/>
          <w:kern w:val="0"/>
          <w:sz w:val="32"/>
          <w:szCs w:val="32"/>
        </w:rPr>
      </w:pPr>
      <w:r>
        <w:rPr>
          <w:rFonts w:ascii="黑体" w:eastAsia="黑体" w:cs="黑体"/>
          <w:color w:val="000000"/>
          <w:kern w:val="0"/>
          <w:sz w:val="70"/>
          <w:szCs w:val="70"/>
        </w:rPr>
        <w:br w:type="page"/>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both"/>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widowControl/>
        <w:shd w:val="clear" w:color="auto" w:fill="FFFFFF"/>
        <w:spacing w:line="600" w:lineRule="atLeast"/>
        <w:ind w:firstLine="640"/>
        <w:rPr>
          <w:rFonts w:hint="eastAsia" w:ascii="Malgun Gothic" w:hAnsi="Malgun Gothic" w:eastAsia="Malgun Gothic" w:cs="Malgun Gothic"/>
          <w:b/>
          <w:spacing w:val="-2"/>
          <w:sz w:val="32"/>
          <w:szCs w:val="21"/>
        </w:rPr>
      </w:pPr>
      <w:r>
        <w:rPr>
          <w:rFonts w:hint="eastAsia" w:ascii="Malgun Gothic" w:hAnsi="Malgun Gothic" w:eastAsia="Malgun Gothic" w:cs="Malgun Gothic"/>
          <w:b/>
          <w:spacing w:val="-2"/>
          <w:sz w:val="32"/>
          <w:szCs w:val="32"/>
        </w:rPr>
        <w:t>一、部门概况</w:t>
      </w:r>
    </w:p>
    <w:p>
      <w:pPr>
        <w:spacing w:line="60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1、怀化市人民路小学是全额拨款的事业单位。内设9个职能处室：校长室、教导处、教研室、总务处、办公室、工会、德育处、副校长室、财务室。 </w:t>
      </w:r>
    </w:p>
    <w:p>
      <w:pPr>
        <w:spacing w:line="600" w:lineRule="exact"/>
        <w:ind w:firstLine="800" w:firstLineChars="25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2、主要工作职责：全面贯彻党的教育方针，落实九年义务教育各项政策，保障学生受教育的各项权利，维护教师职工各项权益。</w:t>
      </w:r>
    </w:p>
    <w:p>
      <w:pPr>
        <w:spacing w:line="600" w:lineRule="exact"/>
        <w:ind w:firstLine="800" w:firstLineChars="25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3、编制人员情况:现实有在职人员156人（其中全额拨款125人，自收自支0人），离退休人员0人。</w:t>
      </w:r>
    </w:p>
    <w:p>
      <w:pPr>
        <w:widowControl/>
        <w:shd w:val="clear" w:color="auto" w:fill="FFFFFF"/>
        <w:spacing w:line="600" w:lineRule="atLeast"/>
        <w:ind w:firstLine="640"/>
        <w:rPr>
          <w:rFonts w:ascii="楷体" w:hAnsi="楷体" w:eastAsia="楷体"/>
          <w:b/>
          <w:spacing w:val="-2"/>
          <w:sz w:val="32"/>
          <w:szCs w:val="21"/>
        </w:rPr>
      </w:pPr>
      <w:r>
        <w:rPr>
          <w:rFonts w:hint="eastAsia" w:ascii="Malgun Gothic" w:hAnsi="Malgun Gothic" w:eastAsia="Malgun Gothic" w:cs="Malgun Gothic"/>
          <w:b/>
          <w:spacing w:val="-2"/>
          <w:sz w:val="32"/>
          <w:szCs w:val="32"/>
        </w:rPr>
        <w:t>二、部门整体支出管理及使用情况</w:t>
      </w:r>
    </w:p>
    <w:p>
      <w:pPr>
        <w:widowControl/>
        <w:shd w:val="clear" w:color="auto" w:fill="FFFFFF"/>
        <w:spacing w:line="600" w:lineRule="atLeast"/>
        <w:ind w:firstLine="643"/>
        <w:rPr>
          <w:rFonts w:hint="eastAsia" w:asciiTheme="minorEastAsia" w:hAnsiTheme="minorEastAsia" w:eastAsiaTheme="minorEastAsia" w:cstheme="minorEastAsia"/>
          <w:b/>
          <w:spacing w:val="-2"/>
          <w:sz w:val="32"/>
          <w:szCs w:val="21"/>
        </w:rPr>
      </w:pPr>
      <w:r>
        <w:rPr>
          <w:rFonts w:hint="eastAsia" w:asciiTheme="minorEastAsia" w:hAnsiTheme="minorEastAsia" w:eastAsiaTheme="minorEastAsia" w:cstheme="minorEastAsia"/>
          <w:b/>
          <w:spacing w:val="-2"/>
          <w:sz w:val="32"/>
          <w:szCs w:val="32"/>
        </w:rPr>
        <w:t>（一）基本支出</w:t>
      </w:r>
    </w:p>
    <w:p>
      <w:pPr>
        <w:spacing w:line="600" w:lineRule="exact"/>
        <w:ind w:firstLine="640" w:firstLineChars="200"/>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rPr>
        <w:t>2021年全年预算数为2523.8736万元，其中人员经费支出为2066.554万元，公用经费支出为 457.3196万元，项目支出为379.3021万元，这些经费是为保障单位机构正常运转、完成日常工作任务而发生的各项支出，包括用于基本工资、津贴补贴等人员经费以及办公费、印刷费、水电费、物业管理费等日常公用经费</w:t>
      </w:r>
      <w:r>
        <w:rPr>
          <w:rFonts w:hint="eastAsia" w:asciiTheme="minorEastAsia" w:hAnsiTheme="minorEastAsia" w:cstheme="minorEastAsia"/>
          <w:sz w:val="32"/>
          <w:szCs w:val="32"/>
          <w:lang w:eastAsia="zh-CN"/>
        </w:rPr>
        <w:t>。</w:t>
      </w:r>
    </w:p>
    <w:p>
      <w:pPr>
        <w:widowControl/>
        <w:numPr>
          <w:ilvl w:val="0"/>
          <w:numId w:val="2"/>
        </w:numPr>
        <w:shd w:val="clear" w:color="auto" w:fill="FFFFFF"/>
        <w:spacing w:line="600" w:lineRule="atLeast"/>
        <w:ind w:firstLine="643"/>
        <w:rPr>
          <w:rFonts w:hint="eastAsia" w:asciiTheme="minorEastAsia" w:hAnsiTheme="minorEastAsia" w:eastAsiaTheme="minorEastAsia" w:cstheme="minorEastAsia"/>
          <w:b/>
          <w:spacing w:val="-2"/>
          <w:sz w:val="32"/>
          <w:szCs w:val="32"/>
        </w:rPr>
      </w:pPr>
      <w:r>
        <w:rPr>
          <w:rFonts w:hint="eastAsia" w:asciiTheme="minorEastAsia" w:hAnsiTheme="minorEastAsia" w:eastAsiaTheme="minorEastAsia" w:cstheme="minorEastAsia"/>
          <w:b/>
          <w:spacing w:val="-2"/>
          <w:sz w:val="32"/>
          <w:szCs w:val="32"/>
        </w:rPr>
        <w:t>专项支出</w:t>
      </w:r>
    </w:p>
    <w:p>
      <w:pPr>
        <w:spacing w:line="60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2021年专项支出为211.872万元，其中临聘教师工资为192万元，保安工资为19.872万元。</w:t>
      </w:r>
    </w:p>
    <w:p>
      <w:pPr>
        <w:widowControl/>
        <w:shd w:val="clear" w:color="auto" w:fill="FFFFFF"/>
        <w:spacing w:line="600" w:lineRule="atLeast"/>
        <w:ind w:firstLine="640"/>
        <w:rPr>
          <w:rFonts w:hint="eastAsia" w:ascii="Malgun Gothic" w:hAnsi="Malgun Gothic" w:eastAsia="Malgun Gothic" w:cs="Malgun Gothic"/>
          <w:b/>
          <w:spacing w:val="-2"/>
          <w:sz w:val="32"/>
          <w:szCs w:val="32"/>
        </w:rPr>
      </w:pPr>
      <w:r>
        <w:rPr>
          <w:rFonts w:hint="eastAsia" w:ascii="Malgun Gothic" w:hAnsi="Malgun Gothic" w:eastAsia="Malgun Gothic" w:cs="Malgun Gothic"/>
          <w:b/>
          <w:spacing w:val="-2"/>
          <w:sz w:val="32"/>
          <w:szCs w:val="32"/>
        </w:rPr>
        <w:t>三、部门专项组织实施情况</w:t>
      </w:r>
    </w:p>
    <w:p>
      <w:pPr>
        <w:spacing w:line="600" w:lineRule="exact"/>
        <w:ind w:firstLine="640" w:firstLineChars="200"/>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rPr>
        <w:t>临聘教师工资、保安工资费用支付执行国库集中支出管理模式，学校申请，国库集中支付中心审核支付，对于直接支付批复的资金严格实行相关财务制度和支付流程，实行严格的一支笔审核支付，支出管理零风险</w:t>
      </w:r>
      <w:r>
        <w:rPr>
          <w:rFonts w:hint="eastAsia" w:asciiTheme="minorEastAsia" w:hAnsiTheme="minorEastAsia" w:cstheme="minorEastAsia"/>
          <w:sz w:val="32"/>
          <w:szCs w:val="32"/>
          <w:lang w:eastAsia="zh-CN"/>
        </w:rPr>
        <w:t>。</w:t>
      </w:r>
    </w:p>
    <w:p>
      <w:pPr>
        <w:widowControl/>
        <w:shd w:val="clear" w:color="auto" w:fill="FFFFFF"/>
        <w:spacing w:line="600" w:lineRule="atLeast"/>
        <w:ind w:firstLine="640"/>
        <w:rPr>
          <w:rFonts w:hint="eastAsia" w:ascii="Malgun Gothic" w:hAnsi="Malgun Gothic" w:eastAsia="Malgun Gothic" w:cs="Malgun Gothic"/>
          <w:b/>
          <w:spacing w:val="-2"/>
          <w:sz w:val="32"/>
          <w:szCs w:val="32"/>
        </w:rPr>
      </w:pPr>
      <w:r>
        <w:rPr>
          <w:rFonts w:hint="eastAsia" w:ascii="Malgun Gothic" w:hAnsi="Malgun Gothic" w:eastAsia="Malgun Gothic" w:cs="Malgun Gothic"/>
          <w:b/>
          <w:spacing w:val="-2"/>
          <w:sz w:val="32"/>
          <w:szCs w:val="32"/>
        </w:rPr>
        <w:t>四、资产管理情况</w:t>
      </w:r>
    </w:p>
    <w:p>
      <w:pPr>
        <w:spacing w:line="600" w:lineRule="exact"/>
        <w:ind w:firstLine="640" w:firstLineChars="200"/>
        <w:rPr>
          <w:rFonts w:ascii="新宋体" w:hAnsi="新宋体" w:eastAsia="新宋体" w:cs="新宋体"/>
          <w:sz w:val="28"/>
          <w:szCs w:val="28"/>
        </w:rPr>
      </w:pPr>
      <w:r>
        <w:rPr>
          <w:rFonts w:hint="eastAsia" w:asciiTheme="minorEastAsia" w:hAnsiTheme="minorEastAsia" w:eastAsiaTheme="minorEastAsia" w:cstheme="minorEastAsia"/>
          <w:sz w:val="32"/>
          <w:szCs w:val="32"/>
        </w:rPr>
        <w:t>我校严格按照财务管理制度，认真落实内部控制管理实施细则，理顺资产管理体制，加强资产管理制度建设、落实现行资产管理的流程和工作机制、管理方式等。加强人、财、物的规范管理，做到财物账实相符。合理配备并节约、有效使用资产，提高资产使用效率，保障资产的安全和完整。总务处对于纳入政府采购范围的资产进行统一购置，对本单位资金的采购、分配、清查，以及资产使用、维护过程中的监督任务。</w:t>
      </w:r>
    </w:p>
    <w:p>
      <w:pPr>
        <w:widowControl/>
        <w:shd w:val="clear" w:color="auto" w:fill="FFFFFF"/>
        <w:spacing w:line="600" w:lineRule="atLeast"/>
        <w:ind w:firstLine="640"/>
        <w:rPr>
          <w:rFonts w:ascii="楷体" w:hAnsi="楷体" w:eastAsia="楷体"/>
          <w:b/>
          <w:spacing w:val="-2"/>
          <w:sz w:val="32"/>
          <w:szCs w:val="21"/>
        </w:rPr>
      </w:pPr>
      <w:r>
        <w:rPr>
          <w:rFonts w:hint="eastAsia" w:ascii="Malgun Gothic" w:hAnsi="Malgun Gothic" w:eastAsia="Malgun Gothic" w:cs="Malgun Gothic"/>
          <w:b/>
          <w:spacing w:val="-2"/>
          <w:sz w:val="32"/>
          <w:szCs w:val="32"/>
        </w:rPr>
        <w:t>五、部门整体支出绩效情况</w:t>
      </w:r>
    </w:p>
    <w:p>
      <w:pPr>
        <w:spacing w:line="60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2021年我校所有财政性资金、专项资金都纳入绩效管理的范围。我校各项开支严格执行预算，控制成本，开源节流，每一分钱的使用都有它的经济性、效率性、有效性和可持续性，促进学校教育教学各项活动的开动，提升质量，学生学习生活的环境得到极大的改善，教师的生活环境也得到了相应改善。对各项资金均进行制度化管理，按规划组织实施，保证了各项资金使用的真实、合法、有效，提高了资金的使用率。保证单位的高效运转；确保各项决策部署得到有效落实产生了良好的社会效应，也取得了发展的可持续性、长效性。</w:t>
      </w:r>
    </w:p>
    <w:p>
      <w:pPr>
        <w:widowControl/>
        <w:numPr>
          <w:ilvl w:val="0"/>
          <w:numId w:val="3"/>
        </w:numPr>
        <w:shd w:val="clear" w:color="auto" w:fill="FFFFFF"/>
        <w:spacing w:line="600" w:lineRule="atLeast"/>
        <w:ind w:firstLine="640"/>
        <w:rPr>
          <w:rFonts w:hint="eastAsia" w:ascii="黑体" w:hAnsi="黑体" w:eastAsia="黑体" w:cs="黑体"/>
          <w:b/>
          <w:spacing w:val="-2"/>
          <w:sz w:val="32"/>
          <w:szCs w:val="32"/>
        </w:rPr>
      </w:pPr>
      <w:r>
        <w:rPr>
          <w:rFonts w:hint="eastAsia" w:ascii="黑体" w:hAnsi="黑体" w:eastAsia="黑体" w:cs="黑体"/>
          <w:b/>
          <w:spacing w:val="-2"/>
          <w:sz w:val="32"/>
          <w:szCs w:val="32"/>
        </w:rPr>
        <w:t>存在的主要问题</w:t>
      </w:r>
    </w:p>
    <w:p>
      <w:pPr>
        <w:spacing w:line="60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1、绩效目标设立不够明确、具体，相关指标的设计及评价方法单一。</w:t>
      </w:r>
    </w:p>
    <w:p>
      <w:pPr>
        <w:spacing w:line="60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2、财务专业知识储备不够,自身财务知识有待提高。</w:t>
      </w:r>
    </w:p>
    <w:p>
      <w:pPr>
        <w:spacing w:line="60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可以从预算和预算绩效管理，部门履职效能，资金分配、使用和管理，资产和财务管理、政府采购等方面归纳存在的问题；反映各种预算支出执行偏离绩效目标的情况，并分析其原因。</w:t>
      </w:r>
    </w:p>
    <w:p>
      <w:pPr>
        <w:widowControl/>
        <w:shd w:val="clear" w:color="auto" w:fill="FFFFFF"/>
        <w:spacing w:line="600" w:lineRule="atLeast"/>
        <w:ind w:firstLine="640"/>
        <w:rPr>
          <w:rFonts w:ascii="楷体" w:hAnsi="楷体" w:eastAsia="楷体"/>
          <w:b/>
          <w:spacing w:val="-2"/>
          <w:sz w:val="32"/>
          <w:szCs w:val="21"/>
        </w:rPr>
      </w:pPr>
      <w:r>
        <w:rPr>
          <w:rFonts w:hint="eastAsia" w:ascii="黑体" w:hAnsi="黑体" w:eastAsia="黑体" w:cs="黑体"/>
          <w:b/>
          <w:spacing w:val="-2"/>
          <w:sz w:val="32"/>
          <w:szCs w:val="32"/>
        </w:rPr>
        <w:t>七、改进措施和有关建议</w:t>
      </w:r>
    </w:p>
    <w:p>
      <w:pPr>
        <w:spacing w:line="60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1、不断细化目标管理，为绩效考核提供细化的标准。</w:t>
      </w:r>
    </w:p>
    <w:p>
      <w:pPr>
        <w:spacing w:line="60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2、通过加强预算收支管理，不断建立健全内部管理制度。</w:t>
      </w:r>
    </w:p>
    <w:p>
      <w:pPr>
        <w:spacing w:line="60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3、加强财务人员业务培训。</w:t>
      </w:r>
    </w:p>
    <w:p>
      <w:pPr>
        <w:spacing w:line="600" w:lineRule="exact"/>
        <w:ind w:firstLine="640" w:firstLineChars="200"/>
        <w:rPr>
          <w:rFonts w:hint="eastAsia" w:asciiTheme="minorEastAsia" w:hAnsiTheme="minorEastAsia" w:eastAsiaTheme="minorEastAsia" w:cstheme="minorEastAsia"/>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algun Gothic">
    <w:panose1 w:val="020B0503020000020004"/>
    <w:charset w:val="81"/>
    <w:family w:val="auto"/>
    <w:pitch w:val="default"/>
    <w:sig w:usb0="9000002F" w:usb1="29D77CFB" w:usb2="00000012" w:usb3="00000000" w:csb0="00080001"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BBD221"/>
    <w:multiLevelType w:val="singleLevel"/>
    <w:tmpl w:val="C9BBD221"/>
    <w:lvl w:ilvl="0" w:tentative="0">
      <w:start w:val="2"/>
      <w:numFmt w:val="chineseCounting"/>
      <w:suff w:val="nothing"/>
      <w:lvlText w:val="（%1）"/>
      <w:lvlJc w:val="left"/>
      <w:rPr>
        <w:rFonts w:hint="eastAsia"/>
      </w:r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D91A03F"/>
    <w:multiLevelType w:val="singleLevel"/>
    <w:tmpl w:val="6D91A03F"/>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I2NGRiYmQwOWZkOTg4MzMxMDkzZDc2NzhhOTYzNjMifQ=="/>
  </w:docVars>
  <w:rsids>
    <w:rsidRoot w:val="004506F9"/>
    <w:rsid w:val="0002229B"/>
    <w:rsid w:val="000273BD"/>
    <w:rsid w:val="000415B7"/>
    <w:rsid w:val="00041E3F"/>
    <w:rsid w:val="00055DAA"/>
    <w:rsid w:val="00061F7B"/>
    <w:rsid w:val="000658A3"/>
    <w:rsid w:val="00074155"/>
    <w:rsid w:val="00081AF1"/>
    <w:rsid w:val="000873EF"/>
    <w:rsid w:val="000A3F69"/>
    <w:rsid w:val="000C154B"/>
    <w:rsid w:val="00103957"/>
    <w:rsid w:val="00124A1F"/>
    <w:rsid w:val="00152C6D"/>
    <w:rsid w:val="00162D39"/>
    <w:rsid w:val="001678BD"/>
    <w:rsid w:val="00170E14"/>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F53BB"/>
    <w:rsid w:val="003130C4"/>
    <w:rsid w:val="00316C4B"/>
    <w:rsid w:val="0032192B"/>
    <w:rsid w:val="00327FFA"/>
    <w:rsid w:val="003479BD"/>
    <w:rsid w:val="0037197D"/>
    <w:rsid w:val="00375EA3"/>
    <w:rsid w:val="003768D5"/>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37C4"/>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B33BEA"/>
    <w:rsid w:val="00B42C25"/>
    <w:rsid w:val="00B43F86"/>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F74360"/>
    <w:rsid w:val="00FB462F"/>
    <w:rsid w:val="00FE16FA"/>
    <w:rsid w:val="00FE328A"/>
    <w:rsid w:val="00FE6269"/>
    <w:rsid w:val="00FF5CD6"/>
    <w:rsid w:val="02A8459C"/>
    <w:rsid w:val="03CC7ADB"/>
    <w:rsid w:val="056A0F47"/>
    <w:rsid w:val="05FE23E4"/>
    <w:rsid w:val="065364CF"/>
    <w:rsid w:val="071F6AB6"/>
    <w:rsid w:val="0CE560AB"/>
    <w:rsid w:val="0DF5231E"/>
    <w:rsid w:val="0EE06547"/>
    <w:rsid w:val="121F5BBC"/>
    <w:rsid w:val="12BB3B36"/>
    <w:rsid w:val="1AEB0D31"/>
    <w:rsid w:val="1F857AC5"/>
    <w:rsid w:val="202A22FB"/>
    <w:rsid w:val="20743577"/>
    <w:rsid w:val="22093A37"/>
    <w:rsid w:val="23D04F68"/>
    <w:rsid w:val="259D531E"/>
    <w:rsid w:val="2630659C"/>
    <w:rsid w:val="2DE2251B"/>
    <w:rsid w:val="3508327E"/>
    <w:rsid w:val="38FF3ECD"/>
    <w:rsid w:val="3C834E15"/>
    <w:rsid w:val="3E7C1B1C"/>
    <w:rsid w:val="443C608D"/>
    <w:rsid w:val="4CDB0356"/>
    <w:rsid w:val="51D81C41"/>
    <w:rsid w:val="5D001DE2"/>
    <w:rsid w:val="5D26066C"/>
    <w:rsid w:val="5DDC3F2E"/>
    <w:rsid w:val="65AA2249"/>
    <w:rsid w:val="679B2BC6"/>
    <w:rsid w:val="67DC48DB"/>
    <w:rsid w:val="6870599E"/>
    <w:rsid w:val="6EF2535F"/>
    <w:rsid w:val="6F6A1399"/>
    <w:rsid w:val="705A5DF5"/>
    <w:rsid w:val="71BA2DCB"/>
    <w:rsid w:val="73E676ED"/>
    <w:rsid w:val="75614FED"/>
    <w:rsid w:val="7B1B78A0"/>
    <w:rsid w:val="7E553C7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w:basedOn w:val="1"/>
    <w:qFormat/>
    <w:uiPriority w:val="0"/>
    <w:pPr>
      <w:spacing w:after="120"/>
    </w:pPr>
  </w:style>
  <w:style w:type="paragraph" w:styleId="4">
    <w:name w:val="Balloon Text"/>
    <w:basedOn w:val="1"/>
    <w:link w:val="13"/>
    <w:semiHidden/>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5737</Words>
  <Characters>6186</Characters>
  <Lines>45</Lines>
  <Paragraphs>12</Paragraphs>
  <TotalTime>0</TotalTime>
  <ScaleCrop>false</ScaleCrop>
  <LinksUpToDate>false</LinksUpToDate>
  <CharactersWithSpaces>6205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2022-08-01T10:01:00Z</dcterms:created>
  <dc:creator>李航 null</dc:creator>
  <cp:lastModifiedBy>yanyan小朋友 </cp:lastModifiedBy>
  <cp:lastPrinted>2022-07-27T12:55:00Z</cp:lastPrinted>
  <dcterms:modified xsi:type="dcterms:W3CDTF">2023-09-27T19:00:28Z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714D50A6736040A2A488681AAA44725E</vt:lpwstr>
  </property>
</Properties>
</file>