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rFonts w:hint="eastAsia" w:eastAsia="黑体"/>
          <w:sz w:val="56"/>
          <w:szCs w:val="56"/>
          <w:lang w:val="en-US" w:eastAsia="zh-CN"/>
        </w:rPr>
      </w:pPr>
      <w:r>
        <w:rPr>
          <w:rFonts w:hint="eastAsia"/>
          <w:sz w:val="56"/>
          <w:szCs w:val="56"/>
          <w:lang w:val="en-US" w:eastAsia="zh-CN"/>
        </w:rPr>
        <w:t xml:space="preserve"> </w:t>
      </w: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sz w:val="84"/>
          <w:szCs w:val="84"/>
        </w:rPr>
      </w:pPr>
      <w:r>
        <w:rPr>
          <w:rFonts w:hint="eastAsia"/>
          <w:sz w:val="84"/>
          <w:szCs w:val="84"/>
        </w:rPr>
        <w:t>2021年度</w:t>
      </w:r>
    </w:p>
    <w:p>
      <w:pPr>
        <w:pStyle w:val="12"/>
        <w:jc w:val="center"/>
        <w:rPr>
          <w:rFonts w:hint="eastAsia"/>
          <w:sz w:val="84"/>
          <w:szCs w:val="84"/>
        </w:rPr>
      </w:pPr>
      <w:r>
        <w:rPr>
          <w:rFonts w:hint="eastAsia"/>
          <w:sz w:val="84"/>
          <w:szCs w:val="84"/>
        </w:rPr>
        <w:t>怀化市金时中学</w:t>
      </w:r>
    </w:p>
    <w:p>
      <w:pPr>
        <w:pStyle w:val="12"/>
        <w:jc w:val="center"/>
        <w:rPr>
          <w:sz w:val="84"/>
          <w:szCs w:val="84"/>
        </w:rPr>
      </w:pPr>
      <w:r>
        <w:rPr>
          <w:rFonts w:hint="eastAsia"/>
          <w:sz w:val="84"/>
          <w:szCs w:val="84"/>
        </w:rPr>
        <w:t>部门决算</w:t>
      </w: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spacing w:line="500" w:lineRule="exact"/>
        <w:jc w:val="center"/>
        <w:rPr>
          <w:b/>
          <w:sz w:val="36"/>
          <w:szCs w:val="28"/>
        </w:rPr>
      </w:pPr>
      <w:r>
        <w:rPr>
          <w:rFonts w:hint="eastAsia"/>
          <w:b/>
          <w:sz w:val="36"/>
          <w:szCs w:val="28"/>
        </w:rPr>
        <w:t>目录</w:t>
      </w:r>
    </w:p>
    <w:p>
      <w:pPr>
        <w:pStyle w:val="12"/>
        <w:spacing w:line="500" w:lineRule="exact"/>
        <w:rPr>
          <w:rFonts w:ascii="仿宋_GB2312" w:hAnsi="仿宋_GB2312" w:cs="仿宋_GB2312"/>
          <w:b/>
          <w:sz w:val="28"/>
          <w:szCs w:val="28"/>
        </w:rPr>
      </w:pPr>
      <w:r>
        <w:rPr>
          <w:rFonts w:hint="eastAsia"/>
          <w:b/>
          <w:sz w:val="28"/>
          <w:szCs w:val="28"/>
        </w:rPr>
        <w:t>第一部分怀化市金时中学单位概况</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2"/>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2"/>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2"/>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2"/>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2"/>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4"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2"/>
        <w:jc w:val="center"/>
        <w:rPr>
          <w:sz w:val="84"/>
          <w:szCs w:val="84"/>
        </w:rPr>
      </w:pPr>
      <w:r>
        <w:rPr>
          <w:rFonts w:hint="eastAsia"/>
          <w:sz w:val="84"/>
          <w:szCs w:val="84"/>
        </w:rPr>
        <w:t>第一部分</w:t>
      </w:r>
    </w:p>
    <w:p>
      <w:pPr>
        <w:pStyle w:val="12"/>
        <w:jc w:val="center"/>
        <w:rPr>
          <w:sz w:val="84"/>
          <w:szCs w:val="84"/>
        </w:rPr>
      </w:pPr>
    </w:p>
    <w:p>
      <w:pPr>
        <w:pStyle w:val="12"/>
        <w:jc w:val="center"/>
        <w:rPr>
          <w:sz w:val="84"/>
          <w:szCs w:val="84"/>
        </w:rPr>
      </w:pPr>
      <w:r>
        <w:rPr>
          <w:rFonts w:hint="eastAsia"/>
          <w:sz w:val="84"/>
          <w:szCs w:val="84"/>
        </w:rPr>
        <w:t>怀化市金时中学单位概况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3"/>
        <w:ind w:left="720" w:firstLine="0" w:firstLineChars="0"/>
        <w:jc w:val="left"/>
        <w:rPr>
          <w:rFonts w:ascii="黑体" w:hAnsi="黑体" w:eastAsia="黑体"/>
          <w:sz w:val="32"/>
          <w:szCs w:val="32"/>
        </w:rPr>
      </w:pPr>
    </w:p>
    <w:p>
      <w:pPr>
        <w:pStyle w:val="13"/>
        <w:ind w:left="720" w:firstLine="0" w:firstLineChars="0"/>
        <w:jc w:val="left"/>
        <w:rPr>
          <w:rFonts w:ascii="黑体" w:hAnsi="黑体" w:eastAsia="黑体"/>
          <w:sz w:val="32"/>
          <w:szCs w:val="32"/>
        </w:rPr>
      </w:pPr>
    </w:p>
    <w:p>
      <w:pPr>
        <w:pStyle w:val="13"/>
        <w:ind w:left="720" w:firstLine="0" w:firstLineChars="0"/>
        <w:jc w:val="left"/>
        <w:rPr>
          <w:rFonts w:ascii="黑体" w:hAnsi="黑体" w:eastAsia="黑体"/>
          <w:sz w:val="32"/>
          <w:szCs w:val="32"/>
        </w:rPr>
      </w:pPr>
    </w:p>
    <w:p>
      <w:pPr>
        <w:pStyle w:val="13"/>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cs="仿宋" w:asciiTheme="minorEastAsia" w:hAnsiTheme="minorEastAsia"/>
          <w:sz w:val="30"/>
          <w:szCs w:val="30"/>
        </w:rPr>
      </w:pPr>
      <w:r>
        <w:rPr>
          <w:rFonts w:hint="eastAsia" w:cs="仿宋" w:asciiTheme="minorEastAsia" w:hAnsiTheme="minorEastAsia"/>
          <w:sz w:val="30"/>
          <w:szCs w:val="30"/>
        </w:rPr>
        <w:t>（一）怀化市金时中学是全额拨款的事业单位。</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cs="仿宋" w:asciiTheme="minorEastAsia" w:hAnsiTheme="minorEastAsia"/>
          <w:sz w:val="30"/>
          <w:szCs w:val="30"/>
        </w:rPr>
      </w:pPr>
      <w:r>
        <w:rPr>
          <w:rFonts w:hint="eastAsia" w:cs="仿宋" w:asciiTheme="minorEastAsia" w:hAnsiTheme="minorEastAsia"/>
          <w:sz w:val="30"/>
          <w:szCs w:val="30"/>
        </w:rPr>
        <w:t>（二）主要工作职责：全面贯彻党和国家教育教学方针政策，从事初中义务制教育教学工作。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cs="仿宋" w:asciiTheme="minorEastAsia" w:hAnsiTheme="minorEastAsia"/>
          <w:sz w:val="30"/>
          <w:szCs w:val="30"/>
        </w:rPr>
      </w:pPr>
      <w:r>
        <w:rPr>
          <w:rFonts w:hint="eastAsia" w:cs="仿宋" w:asciiTheme="minorEastAsia" w:hAnsiTheme="minorEastAsia"/>
          <w:sz w:val="30"/>
          <w:szCs w:val="30"/>
        </w:rPr>
        <w:t>（一）内设机构设置。2021年部门预算编报范围包括怀化市金时中学一个一级部门预算单位，内设9个办公室，分别为校长室、书记室、副校长室、办公室、教务处、教研室、总务处、工会、德育处。单位有编制数28，在编28人，领导班子成员7人。</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cs="仿宋" w:asciiTheme="minorEastAsia" w:hAnsiTheme="minorEastAsia"/>
          <w:sz w:val="30"/>
          <w:szCs w:val="30"/>
        </w:rPr>
      </w:pPr>
      <w:r>
        <w:rPr>
          <w:rFonts w:hint="eastAsia" w:cs="仿宋" w:asciiTheme="minorEastAsia" w:hAnsiTheme="minorEastAsia"/>
          <w:sz w:val="30"/>
          <w:szCs w:val="30"/>
        </w:rPr>
        <w:t>（二）决算单位构成。怀化市金时中学2021年部门决算汇总公开单位构成为本单位。</w:t>
      </w:r>
    </w:p>
    <w:p>
      <w:pPr>
        <w:widowControl/>
        <w:spacing w:line="600" w:lineRule="exact"/>
        <w:rPr>
          <w:rFonts w:cs="仿宋" w:asciiTheme="minorEastAsia" w:hAnsiTheme="minorEastAsia"/>
          <w:sz w:val="30"/>
          <w:szCs w:val="30"/>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jc w:val="center"/>
        <w:rPr>
          <w:rFonts w:hint="eastAsia"/>
          <w:sz w:val="84"/>
          <w:szCs w:val="84"/>
        </w:rPr>
      </w:pPr>
    </w:p>
    <w:p>
      <w:pPr>
        <w:pStyle w:val="12"/>
        <w:jc w:val="center"/>
        <w:rPr>
          <w:rFonts w:hint="eastAsia"/>
          <w:sz w:val="84"/>
          <w:szCs w:val="84"/>
        </w:rPr>
      </w:pPr>
      <w:r>
        <w:rPr>
          <w:rFonts w:hint="eastAsia"/>
          <w:sz w:val="84"/>
          <w:szCs w:val="84"/>
        </w:rPr>
        <w:t>第二部分</w:t>
      </w:r>
    </w:p>
    <w:p>
      <w:pPr>
        <w:pStyle w:val="12"/>
        <w:jc w:val="center"/>
        <w:rPr>
          <w:rFonts w:hint="eastAsia"/>
          <w:sz w:val="84"/>
          <w:szCs w:val="84"/>
        </w:rPr>
      </w:pPr>
    </w:p>
    <w:p>
      <w:pPr>
        <w:pStyle w:val="12"/>
        <w:jc w:val="center"/>
        <w:rPr>
          <w:rFonts w:hint="eastAsia"/>
          <w:sz w:val="84"/>
          <w:szCs w:val="84"/>
        </w:rPr>
      </w:pPr>
      <w:r>
        <w:rPr>
          <w:rFonts w:hint="eastAsia"/>
          <w:sz w:val="84"/>
          <w:szCs w:val="84"/>
        </w:rPr>
        <w:t>部门决算表</w:t>
      </w:r>
      <w:r>
        <w:rPr>
          <w:rFonts w:hint="eastAsia"/>
          <w:sz w:val="84"/>
          <w:szCs w:val="84"/>
        </w:rPr>
        <w:br w:type="textWrapping"/>
      </w:r>
      <w:r>
        <w:rPr>
          <w:rFonts w:hint="eastAsia"/>
          <w:sz w:val="84"/>
          <w:szCs w:val="84"/>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pStyle w:val="12"/>
        <w:rPr>
          <w:sz w:val="72"/>
          <w:szCs w:val="72"/>
        </w:rPr>
      </w:pPr>
    </w:p>
    <w:p>
      <w:pPr>
        <w:pStyle w:val="12"/>
        <w:rPr>
          <w:sz w:val="72"/>
          <w:szCs w:val="72"/>
        </w:rPr>
      </w:pPr>
    </w:p>
    <w:p>
      <w:pPr>
        <w:pStyle w:val="12"/>
        <w:rPr>
          <w:sz w:val="72"/>
          <w:szCs w:val="72"/>
        </w:rPr>
      </w:pPr>
    </w:p>
    <w:p>
      <w:pPr>
        <w:pStyle w:val="12"/>
        <w:jc w:val="both"/>
        <w:rPr>
          <w:sz w:val="72"/>
          <w:szCs w:val="72"/>
        </w:rPr>
      </w:pPr>
    </w:p>
    <w:p>
      <w:pPr>
        <w:pStyle w:val="12"/>
        <w:jc w:val="center"/>
        <w:rPr>
          <w:rFonts w:hint="eastAsia"/>
          <w:sz w:val="84"/>
          <w:szCs w:val="84"/>
        </w:rPr>
      </w:pPr>
      <w:r>
        <w:rPr>
          <w:rFonts w:hint="eastAsia"/>
          <w:sz w:val="84"/>
          <w:szCs w:val="84"/>
        </w:rPr>
        <w:t>第三部分</w:t>
      </w:r>
    </w:p>
    <w:p>
      <w:pPr>
        <w:pStyle w:val="12"/>
        <w:jc w:val="center"/>
        <w:rPr>
          <w:rFonts w:hint="eastAsia"/>
          <w:sz w:val="84"/>
          <w:szCs w:val="84"/>
        </w:rPr>
      </w:pPr>
    </w:p>
    <w:p>
      <w:pPr>
        <w:pStyle w:val="12"/>
        <w:jc w:val="center"/>
        <w:rPr>
          <w:rFonts w:hint="eastAsia"/>
          <w:sz w:val="84"/>
          <w:szCs w:val="84"/>
        </w:rPr>
      </w:pPr>
      <w:r>
        <w:rPr>
          <w:rFonts w:hint="eastAsia"/>
          <w:sz w:val="84"/>
          <w:szCs w:val="84"/>
        </w:rPr>
        <w:t>2021年度部门决算情况说明</w:t>
      </w:r>
    </w:p>
    <w:p>
      <w:pPr>
        <w:widowControl/>
        <w:jc w:val="left"/>
        <w:rPr>
          <w:rFonts w:asciiTheme="minorEastAsia" w:hAnsiTheme="minorEastAsia" w:eastAsiaTheme="minorEastAsia"/>
          <w:sz w:val="32"/>
          <w:szCs w:val="32"/>
        </w:rPr>
      </w:pPr>
      <w:r>
        <w:rPr>
          <w:sz w:val="70"/>
          <w:szCs w:val="70"/>
        </w:rPr>
        <w:br w:type="page"/>
      </w:r>
    </w:p>
    <w:p>
      <w:pPr>
        <w:pStyle w:val="12"/>
        <w:rPr>
          <w:rFonts w:hAnsi="黑体"/>
          <w:b/>
          <w:sz w:val="32"/>
          <w:szCs w:val="32"/>
        </w:rPr>
      </w:pPr>
      <w:r>
        <w:rPr>
          <w:rFonts w:hint="eastAsia" w:hAnsi="黑体"/>
          <w:b/>
          <w:sz w:val="32"/>
          <w:szCs w:val="32"/>
        </w:rPr>
        <w:t>一、收入支出决算总体情况说明</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2021年度收入</w:t>
      </w:r>
      <w:r>
        <w:rPr>
          <w:rFonts w:hint="eastAsia" w:asciiTheme="minorEastAsia" w:hAnsiTheme="minorEastAsia" w:eastAsiaTheme="minorEastAsia"/>
          <w:sz w:val="32"/>
          <w:szCs w:val="32"/>
          <w:lang w:val="en-US" w:eastAsia="zh-CN"/>
        </w:rPr>
        <w:t>合计</w:t>
      </w:r>
      <w:r>
        <w:rPr>
          <w:rFonts w:hint="eastAsia" w:asciiTheme="minorEastAsia" w:hAnsiTheme="minorEastAsia" w:eastAsiaTheme="minorEastAsia"/>
          <w:sz w:val="32"/>
          <w:szCs w:val="32"/>
        </w:rPr>
        <w:t>264.91万元，与去年相比减少</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w:t>
      </w:r>
      <w:r>
        <w:rPr>
          <w:rFonts w:hint="eastAsia" w:asciiTheme="minorEastAsia" w:hAnsiTheme="minorEastAsia" w:eastAsiaTheme="minorEastAsia"/>
          <w:sz w:val="32"/>
          <w:szCs w:val="32"/>
          <w:lang w:val="en-US" w:eastAsia="zh-CN"/>
        </w:rPr>
        <w:t>元</w:t>
      </w:r>
      <w:r>
        <w:rPr>
          <w:rFonts w:hint="eastAsia" w:asciiTheme="minorEastAsia" w:hAnsiTheme="minorEastAsia" w:eastAsiaTheme="minorEastAsia"/>
          <w:sz w:val="32"/>
          <w:szCs w:val="32"/>
        </w:rPr>
        <w:t>，减少</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%，主要原因是无同口径对比。</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w:t>
      </w:r>
      <w:r>
        <w:rPr>
          <w:rFonts w:hint="eastAsia" w:asciiTheme="minorEastAsia" w:hAnsiTheme="minorEastAsia" w:eastAsiaTheme="minorEastAsia"/>
          <w:sz w:val="32"/>
          <w:szCs w:val="32"/>
          <w:lang w:val="en-US" w:eastAsia="zh-CN"/>
        </w:rPr>
        <w:t>支出合计</w:t>
      </w:r>
      <w:r>
        <w:rPr>
          <w:rFonts w:hint="eastAsia" w:asciiTheme="minorEastAsia" w:hAnsiTheme="minorEastAsia" w:eastAsiaTheme="minorEastAsia"/>
          <w:sz w:val="32"/>
          <w:szCs w:val="32"/>
        </w:rPr>
        <w:t>264.91万元，与去年相比减少0万元，减少0%，主要原因是无同口径对比。</w:t>
      </w:r>
    </w:p>
    <w:p>
      <w:pPr>
        <w:pStyle w:val="12"/>
        <w:rPr>
          <w:rFonts w:hAnsi="黑体"/>
          <w:b/>
          <w:sz w:val="32"/>
          <w:szCs w:val="32"/>
        </w:rPr>
      </w:pPr>
      <w:r>
        <w:rPr>
          <w:rFonts w:hint="eastAsia" w:hAnsi="黑体"/>
          <w:b/>
          <w:sz w:val="32"/>
          <w:szCs w:val="32"/>
        </w:rPr>
        <w:t>二、收入决算情况说明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2021年度收入合计264.91元，其中：财政拨款收入264.94万元，占100%；上级补助收入0万元，占0%；事业收入0万元，占0%；经营收入0万元，占0%；附属单位上缴收入0万元，占0%；其他收入0万元，占0%。</w:t>
      </w:r>
    </w:p>
    <w:p>
      <w:pPr>
        <w:pStyle w:val="12"/>
        <w:rPr>
          <w:rFonts w:hAnsi="黑体"/>
          <w:b/>
          <w:sz w:val="32"/>
          <w:szCs w:val="32"/>
        </w:rPr>
      </w:pPr>
      <w:r>
        <w:rPr>
          <w:rFonts w:hint="eastAsia" w:hAnsi="黑体"/>
          <w:b/>
          <w:sz w:val="32"/>
          <w:szCs w:val="32"/>
        </w:rPr>
        <w:t>三、支出决算情况说明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2021年度支出合计264.91万元，其中：基本支出98.26万元，占37.09%；项目支出166.65万元，占62.91%；上缴上级支出0万元，占0%；经营支出0万元，占0%；对附属单位补助支出0万元，占0%。</w:t>
      </w:r>
    </w:p>
    <w:p>
      <w:pPr>
        <w:pStyle w:val="12"/>
        <w:rPr>
          <w:rFonts w:hAnsi="黑体"/>
          <w:b/>
          <w:sz w:val="32"/>
          <w:szCs w:val="32"/>
        </w:rPr>
      </w:pPr>
      <w:r>
        <w:rPr>
          <w:rFonts w:hint="eastAsia" w:hAnsi="黑体"/>
          <w:b/>
          <w:sz w:val="32"/>
          <w:szCs w:val="32"/>
        </w:rPr>
        <w:t>四、财政拨款收入支出决算总体情况说明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2021年度财政拨款收入合计264.91万元。由于学校今年新增，无同口径对比。</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2021年度财政拨款支出合计264.91万元。由于学校今年新增，无同口径对比。</w:t>
      </w:r>
    </w:p>
    <w:p>
      <w:pPr>
        <w:pStyle w:val="12"/>
        <w:rPr>
          <w:rFonts w:hAnsi="黑体"/>
          <w:b/>
          <w:sz w:val="32"/>
          <w:szCs w:val="32"/>
        </w:rPr>
      </w:pPr>
      <w:r>
        <w:rPr>
          <w:rFonts w:hint="eastAsia" w:hAnsi="黑体"/>
          <w:b/>
          <w:sz w:val="32"/>
          <w:szCs w:val="32"/>
        </w:rPr>
        <w:t>五、一般公共预算财政拨款支出决算情况说明</w:t>
      </w:r>
    </w:p>
    <w:p>
      <w:pPr>
        <w:pStyle w:val="12"/>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2021年度财政拨款支出264.91万元，占本年支出合计的100%，由于学校今年新增，无同口径对比。</w:t>
      </w:r>
    </w:p>
    <w:p>
      <w:pPr>
        <w:pStyle w:val="12"/>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2021年度财政拨款支出264.91万元，主要用于以下方面：一般公共服务（类）支出0万元，占0%；教育（类）支出264.91万元，占100%。</w:t>
      </w:r>
    </w:p>
    <w:p>
      <w:pPr>
        <w:pStyle w:val="12"/>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2021年度财政拨款支出年初预算数为264.91万元，支出决算数为264.91万元，完成年初预算的100%，其中：</w:t>
      </w:r>
    </w:p>
    <w:p>
      <w:pPr>
        <w:pStyle w:val="12"/>
        <w:ind w:firstLine="800" w:firstLineChars="25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1、教育支出</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类</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普通教育</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val="en-US" w:eastAsia="zh-CN"/>
        </w:rPr>
        <w:t>初中教育</w:t>
      </w:r>
      <w:r>
        <w:rPr>
          <w:rFonts w:hint="eastAsia" w:asciiTheme="minorEastAsia" w:hAnsiTheme="minorEastAsia" w:eastAsiaTheme="minorEastAsia"/>
          <w:color w:val="auto"/>
          <w:sz w:val="32"/>
          <w:szCs w:val="32"/>
        </w:rPr>
        <w:t>（项）。</w:t>
      </w:r>
    </w:p>
    <w:p>
      <w:pPr>
        <w:pStyle w:val="12"/>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年初预算为98.26万元，支出决算为98.26万元，完成年初预算的100%</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支出决算数等于年初预算数</w:t>
      </w:r>
      <w:r>
        <w:rPr>
          <w:rFonts w:hint="eastAsia" w:asciiTheme="minorEastAsia" w:hAnsiTheme="minorEastAsia" w:eastAsiaTheme="minorEastAsia"/>
          <w:color w:val="auto"/>
          <w:sz w:val="32"/>
          <w:szCs w:val="32"/>
        </w:rPr>
        <w:t>。</w:t>
      </w:r>
    </w:p>
    <w:p>
      <w:pPr>
        <w:pStyle w:val="12"/>
        <w:ind w:firstLine="800" w:firstLineChars="25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2、教育支出（类）普通教育（款）其他普通教育支出</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项</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rPr>
        <w:t>。</w:t>
      </w:r>
    </w:p>
    <w:p>
      <w:pPr>
        <w:pStyle w:val="12"/>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年初预算为166.65万元，支出决算为166.65万元，完成年初预算的100%</w:t>
      </w:r>
      <w:r>
        <w:rPr>
          <w:rFonts w:hint="eastAsia" w:asciiTheme="minorEastAsia" w:hAnsiTheme="minorEastAsia" w:eastAsiaTheme="minorEastAsia"/>
          <w:color w:val="auto"/>
          <w:sz w:val="32"/>
          <w:szCs w:val="32"/>
          <w:lang w:eastAsia="zh-CN"/>
        </w:rPr>
        <w:t>，支出决算数等于年初预算数</w:t>
      </w:r>
      <w:r>
        <w:rPr>
          <w:rFonts w:hint="eastAsia" w:asciiTheme="minorEastAsia" w:hAnsiTheme="minorEastAsia" w:eastAsiaTheme="minorEastAsia"/>
          <w:color w:val="auto"/>
          <w:sz w:val="32"/>
          <w:szCs w:val="32"/>
        </w:rPr>
        <w:t>。</w:t>
      </w:r>
    </w:p>
    <w:p>
      <w:pPr>
        <w:pStyle w:val="12"/>
        <w:rPr>
          <w:rFonts w:hAnsi="黑体"/>
          <w:b/>
          <w:sz w:val="32"/>
          <w:szCs w:val="32"/>
        </w:rPr>
      </w:pPr>
      <w:r>
        <w:rPr>
          <w:rFonts w:hint="eastAsia" w:hAnsi="黑体"/>
          <w:b/>
          <w:sz w:val="32"/>
          <w:szCs w:val="32"/>
        </w:rPr>
        <w:t>六、一般公共预算财政拨款基本支出决算情况说明</w:t>
      </w:r>
    </w:p>
    <w:p>
      <w:pPr>
        <w:pStyle w:val="12"/>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98.26万元，其中：人员经费72.73万元，占基本支出的74.02%,主要包括基本工资27.41万元、津贴补贴21.42万元、奖金7.6万元、社会保障缴费7.75万元、生活补助0.16万元、其他工资福利支出8.39万元；公用经费25.53万元，占基本支出的25.98%，主要包括办公费1.22万元、印刷费0.33万元、电费1万元、劳务费0.26万元、委托业务费0.33万元、工会经费咨询费3万元。</w:t>
      </w:r>
    </w:p>
    <w:p>
      <w:pPr>
        <w:pStyle w:val="12"/>
        <w:rPr>
          <w:rFonts w:hAnsi="黑体"/>
          <w:b/>
          <w:sz w:val="32"/>
          <w:szCs w:val="32"/>
        </w:rPr>
      </w:pPr>
      <w:r>
        <w:rPr>
          <w:rFonts w:hint="eastAsia" w:hAnsi="黑体"/>
          <w:b/>
          <w:sz w:val="32"/>
          <w:szCs w:val="32"/>
        </w:rPr>
        <w:t>七、一般公共预算财政拨款“三公”经费支出决算情况说明</w:t>
      </w:r>
    </w:p>
    <w:p>
      <w:pPr>
        <w:pStyle w:val="12"/>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2021年度“三公”经费财政拨款支出预算为0万元，支出决算为0万元，由于预算数为0，无法计算百分比，其中：</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因公出国（境）费支出预算为0万元，支出决算为0万元，由于预算数为0，无法计算百分比</w:t>
      </w:r>
      <w:bookmarkStart w:id="0" w:name="_GoBack"/>
      <w:bookmarkEnd w:id="0"/>
      <w:r>
        <w:rPr>
          <w:rFonts w:hint="eastAsia" w:asciiTheme="minorEastAsia" w:hAnsiTheme="minorEastAsia" w:eastAsiaTheme="minorEastAsia"/>
          <w:sz w:val="32"/>
          <w:szCs w:val="32"/>
        </w:rPr>
        <w:t>。</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公务接待费支出预算为0万元，支出决算为0万元，由于预算数为0，无法计算百分比。</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公务用车购置费支出预算为0万元，支出决算为0万元，由于预算数为0，无法计算百分比，由于学校今年新增，同口径对比。</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公务用车运行维护费支出预算为0万元，支出决算为0万元，由于预算数为0，无法计算百分比。</w:t>
      </w:r>
    </w:p>
    <w:p>
      <w:pPr>
        <w:pStyle w:val="12"/>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w:t>
      </w:r>
    </w:p>
    <w:p>
      <w:pPr>
        <w:pStyle w:val="12"/>
        <w:ind w:firstLine="640" w:firstLineChars="200"/>
        <w:rPr>
          <w:rFonts w:hint="eastAsia" w:asciiTheme="minorEastAsia" w:hAnsiTheme="minorEastAsia" w:eastAsiaTheme="minorEastAsia"/>
          <w:b/>
          <w:sz w:val="32"/>
          <w:szCs w:val="32"/>
          <w:lang w:eastAsia="zh-CN"/>
        </w:rPr>
      </w:pPr>
      <w:r>
        <w:rPr>
          <w:rFonts w:hint="eastAsia" w:asciiTheme="minorEastAsia" w:hAnsiTheme="minorEastAsia" w:eastAsiaTheme="minorEastAsia"/>
          <w:sz w:val="32"/>
          <w:szCs w:val="32"/>
        </w:rPr>
        <w:t>1、因公出国（境）费支出决算为0万元，全年安排因公出国（境）团组0个，累计0人次</w:t>
      </w:r>
      <w:r>
        <w:rPr>
          <w:rFonts w:hint="eastAsia" w:asciiTheme="minorEastAsia" w:hAnsiTheme="minorEastAsia" w:eastAsiaTheme="minorEastAsia"/>
          <w:sz w:val="32"/>
          <w:szCs w:val="32"/>
          <w:lang w:eastAsia="zh-CN"/>
        </w:rPr>
        <w:t>。</w:t>
      </w:r>
    </w:p>
    <w:p>
      <w:pPr>
        <w:pStyle w:val="12"/>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2、公务接待费支出决算为0万元，全年共接待来访团组0个、来宾0人次</w:t>
      </w:r>
      <w:r>
        <w:rPr>
          <w:rFonts w:hint="eastAsia" w:asciiTheme="minorEastAsia" w:hAnsiTheme="minorEastAsia" w:eastAsiaTheme="minorEastAsia"/>
          <w:sz w:val="32"/>
          <w:szCs w:val="32"/>
          <w:lang w:eastAsia="zh-CN"/>
        </w:rPr>
        <w:t>。</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w:t>
      </w:r>
      <w:r>
        <w:rPr>
          <w:rFonts w:hint="eastAsia" w:asciiTheme="minorEastAsia" w:hAnsiTheme="minorEastAsia"/>
          <w:color w:val="000000" w:themeColor="text1"/>
          <w:sz w:val="32"/>
          <w:szCs w:val="32"/>
        </w:rPr>
        <w:t>。</w:t>
      </w:r>
      <w:r>
        <w:rPr>
          <w:rFonts w:hint="eastAsia" w:asciiTheme="minorEastAsia" w:hAnsiTheme="minorEastAsia"/>
          <w:sz w:val="32"/>
          <w:szCs w:val="32"/>
        </w:rPr>
        <w:t>更新公务用车0辆</w:t>
      </w:r>
      <w:r>
        <w:rPr>
          <w:rFonts w:hint="eastAsia" w:asciiTheme="minorEastAsia" w:hAnsiTheme="minorEastAsia"/>
          <w:sz w:val="32"/>
          <w:szCs w:val="32"/>
          <w:lang w:eastAsia="zh-CN"/>
        </w:rPr>
        <w:t>，</w:t>
      </w:r>
      <w:r>
        <w:rPr>
          <w:rFonts w:hint="eastAsia" w:asciiTheme="minorEastAsia" w:hAnsiTheme="minorEastAsia"/>
          <w:sz w:val="32"/>
          <w:szCs w:val="32"/>
        </w:rPr>
        <w:t>公务用车运行维护费0万元，主要是本单位没有公务用车运行维护费支出，截止2021年12月31日，我单位开支财政拨款的公务用车保有量为0辆。</w:t>
      </w:r>
    </w:p>
    <w:p>
      <w:pPr>
        <w:pStyle w:val="12"/>
        <w:rPr>
          <w:rFonts w:hAnsi="黑体"/>
          <w:b/>
          <w:sz w:val="32"/>
          <w:szCs w:val="32"/>
        </w:rPr>
      </w:pPr>
      <w:r>
        <w:rPr>
          <w:rFonts w:hint="eastAsia" w:hAnsi="黑体"/>
          <w:b/>
          <w:sz w:val="32"/>
          <w:szCs w:val="32"/>
        </w:rPr>
        <w:t>八、政府性基金预算收入支出决算情况</w:t>
      </w:r>
    </w:p>
    <w:p>
      <w:pPr>
        <w:pStyle w:val="12"/>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2021年度本单位政府性基金预算财政拨款收入0万元；年初结转和结余0万元；支出0万元，其中基本支出0万元，项目支出0万元；年末结转和结余0万元。</w:t>
      </w:r>
    </w:p>
    <w:p>
      <w:pPr>
        <w:pStyle w:val="12"/>
        <w:rPr>
          <w:rFonts w:hAnsi="黑体"/>
          <w:b/>
          <w:sz w:val="32"/>
          <w:szCs w:val="32"/>
        </w:rPr>
      </w:pPr>
      <w:r>
        <w:rPr>
          <w:rFonts w:hint="eastAsia" w:hAnsi="黑体"/>
          <w:b/>
          <w:sz w:val="32"/>
          <w:szCs w:val="32"/>
        </w:rPr>
        <w:t>九、国有资本经营预算财政拨款支出情况</w:t>
      </w:r>
    </w:p>
    <w:p>
      <w:pPr>
        <w:pStyle w:val="12"/>
        <w:ind w:firstLine="640" w:firstLineChars="20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w:t>
      </w:r>
      <w:r>
        <w:rPr>
          <w:rFonts w:hint="eastAsia" w:asciiTheme="minorEastAsia" w:hAnsiTheme="minorEastAsia" w:eastAsiaTheme="minorEastAsia"/>
          <w:color w:val="auto"/>
          <w:sz w:val="32"/>
          <w:szCs w:val="32"/>
          <w:lang w:val="en-US" w:eastAsia="zh-CN"/>
        </w:rPr>
        <w:t>1</w:t>
      </w:r>
      <w:r>
        <w:rPr>
          <w:rFonts w:hint="eastAsia" w:asciiTheme="minorEastAsia" w:hAnsiTheme="minorEastAsia" w:eastAsiaTheme="minorEastAsia"/>
          <w:color w:val="auto"/>
          <w:sz w:val="32"/>
          <w:szCs w:val="32"/>
        </w:rPr>
        <w:t>年度国有资本经营预算财政拨款收入</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万元；年初结转和结余</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万元，其中基本支出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万元，项目支出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万元；年末结转和结余</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w:t>
      </w:r>
    </w:p>
    <w:p>
      <w:pPr>
        <w:pStyle w:val="12"/>
        <w:rPr>
          <w:rFonts w:hAnsi="黑体"/>
          <w:b/>
          <w:sz w:val="32"/>
          <w:szCs w:val="32"/>
        </w:rPr>
      </w:pPr>
      <w:r>
        <w:rPr>
          <w:rFonts w:hint="eastAsia" w:hAnsi="黑体"/>
          <w:b/>
          <w:sz w:val="32"/>
          <w:szCs w:val="32"/>
        </w:rPr>
        <w:t>十、机关运行经费支出说明</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机关运行经费为保障行政单位（含参照公务员法管理的事业单位）运行用于购买货物和服务的各项资金，本单位为财政补助事业单位，无机关运行经费，本单位公用经费为25.53万元，由于学校今年新增，无同口径对比。</w:t>
      </w:r>
    </w:p>
    <w:p>
      <w:pPr>
        <w:pStyle w:val="12"/>
        <w:rPr>
          <w:rFonts w:hAnsi="黑体"/>
          <w:b/>
          <w:sz w:val="32"/>
          <w:szCs w:val="32"/>
        </w:rPr>
      </w:pPr>
      <w:r>
        <w:rPr>
          <w:rFonts w:hint="eastAsia" w:hAnsi="黑体"/>
          <w:b/>
          <w:sz w:val="32"/>
          <w:szCs w:val="32"/>
        </w:rPr>
        <w:t>十一、一般性支出情况说明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color w:val="000000" w:themeColor="text1"/>
          <w:sz w:val="32"/>
          <w:szCs w:val="32"/>
        </w:rPr>
        <w:t>2021年本部门开支会议费0万元</w:t>
      </w:r>
      <w:r>
        <w:rPr>
          <w:rFonts w:hint="eastAsia" w:asciiTheme="minorEastAsia" w:hAnsiTheme="minorEastAsia" w:eastAsiaTheme="minorEastAsia"/>
          <w:sz w:val="32"/>
          <w:szCs w:val="32"/>
        </w:rPr>
        <w:t>，用于召开0会议，人数0人；开支培训费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万元；举办0次等节庆、晚会、论坛、赛事活动，开支0万元。</w:t>
      </w:r>
    </w:p>
    <w:p>
      <w:pPr>
        <w:pStyle w:val="12"/>
        <w:rPr>
          <w:rFonts w:hAnsi="黑体"/>
          <w:b/>
          <w:sz w:val="32"/>
          <w:szCs w:val="32"/>
        </w:rPr>
      </w:pPr>
      <w:r>
        <w:rPr>
          <w:rFonts w:hint="eastAsia" w:hAnsi="黑体"/>
          <w:b/>
          <w:sz w:val="32"/>
          <w:szCs w:val="32"/>
        </w:rPr>
        <w:t>十二、政府采购支出说明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2"/>
        <w:rPr>
          <w:rFonts w:hAnsi="黑体"/>
          <w:b/>
          <w:sz w:val="32"/>
          <w:szCs w:val="32"/>
        </w:rPr>
      </w:pPr>
      <w:r>
        <w:rPr>
          <w:rFonts w:hint="eastAsia" w:hAnsi="黑体"/>
          <w:b/>
          <w:sz w:val="32"/>
          <w:szCs w:val="32"/>
        </w:rPr>
        <w:t>十三、国有资产占用情况说明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12"/>
        <w:rPr>
          <w:rFonts w:hAnsi="黑体"/>
          <w:b/>
          <w:sz w:val="32"/>
          <w:szCs w:val="32"/>
        </w:rPr>
      </w:pPr>
      <w:r>
        <w:rPr>
          <w:rFonts w:hint="eastAsia" w:hAnsi="黑体"/>
          <w:b/>
          <w:sz w:val="32"/>
          <w:szCs w:val="32"/>
        </w:rPr>
        <w:t>十四、2021年度预算绩效情况说明</w:t>
      </w:r>
    </w:p>
    <w:p>
      <w:pPr>
        <w:pStyle w:val="12"/>
        <w:ind w:firstLine="800" w:firstLineChars="250"/>
        <w:rPr>
          <w:rFonts w:hint="eastAsia" w:eastAsiaTheme="minorEastAsia"/>
          <w:sz w:val="72"/>
          <w:szCs w:val="72"/>
          <w:lang w:eastAsia="zh-CN"/>
        </w:rPr>
      </w:pPr>
      <w:r>
        <w:rPr>
          <w:rFonts w:hint="eastAsia" w:asciiTheme="minorEastAsia" w:hAnsiTheme="minorEastAsia" w:eastAsiaTheme="minorEastAsia"/>
          <w:color w:val="auto"/>
          <w:sz w:val="32"/>
          <w:szCs w:val="32"/>
        </w:rPr>
        <w:t>本部门预算绩效管理开展情况、绩效目标和绩效评价报告附后</w:t>
      </w:r>
      <w:r>
        <w:rPr>
          <w:rFonts w:hint="eastAsia" w:asciiTheme="minorEastAsia" w:hAnsiTheme="minorEastAsia" w:eastAsiaTheme="minorEastAsia"/>
          <w:color w:val="auto"/>
          <w:sz w:val="32"/>
          <w:szCs w:val="32"/>
          <w:lang w:eastAsia="zh-CN"/>
        </w:rPr>
        <w:t>。</w:t>
      </w:r>
    </w:p>
    <w:p>
      <w:pPr>
        <w:pStyle w:val="12"/>
        <w:jc w:val="center"/>
        <w:rPr>
          <w:sz w:val="72"/>
          <w:szCs w:val="72"/>
        </w:rPr>
      </w:pPr>
    </w:p>
    <w:p>
      <w:pPr>
        <w:pStyle w:val="12"/>
        <w:jc w:val="center"/>
        <w:rPr>
          <w:sz w:val="72"/>
          <w:szCs w:val="72"/>
        </w:rPr>
      </w:pPr>
    </w:p>
    <w:p>
      <w:pPr>
        <w:pStyle w:val="12"/>
        <w:jc w:val="center"/>
        <w:rPr>
          <w:sz w:val="72"/>
          <w:szCs w:val="72"/>
        </w:rPr>
      </w:pPr>
    </w:p>
    <w:p>
      <w:pPr>
        <w:pStyle w:val="12"/>
        <w:jc w:val="both"/>
        <w:rPr>
          <w:rFonts w:hint="eastAsia"/>
          <w:sz w:val="84"/>
          <w:szCs w:val="84"/>
        </w:rPr>
      </w:pPr>
    </w:p>
    <w:p>
      <w:pPr>
        <w:pStyle w:val="12"/>
        <w:jc w:val="center"/>
        <w:rPr>
          <w:rFonts w:hint="eastAsia"/>
          <w:sz w:val="84"/>
          <w:szCs w:val="84"/>
        </w:rPr>
      </w:pPr>
    </w:p>
    <w:p>
      <w:pPr>
        <w:pStyle w:val="12"/>
        <w:jc w:val="center"/>
        <w:rPr>
          <w:rFonts w:hint="eastAsia"/>
          <w:sz w:val="84"/>
          <w:szCs w:val="84"/>
        </w:rPr>
      </w:pPr>
    </w:p>
    <w:p>
      <w:pPr>
        <w:pStyle w:val="12"/>
        <w:jc w:val="center"/>
        <w:rPr>
          <w:rFonts w:hint="eastAsia"/>
          <w:sz w:val="84"/>
          <w:szCs w:val="84"/>
        </w:rPr>
      </w:pPr>
    </w:p>
    <w:p>
      <w:pPr>
        <w:pStyle w:val="12"/>
        <w:jc w:val="center"/>
        <w:rPr>
          <w:rFonts w:hint="eastAsia"/>
          <w:sz w:val="84"/>
          <w:szCs w:val="84"/>
        </w:rPr>
      </w:pPr>
      <w:r>
        <w:rPr>
          <w:rFonts w:hint="eastAsia"/>
          <w:sz w:val="84"/>
          <w:szCs w:val="84"/>
        </w:rPr>
        <w:t>第四部分</w:t>
      </w:r>
    </w:p>
    <w:p>
      <w:pPr>
        <w:pStyle w:val="12"/>
        <w:jc w:val="center"/>
        <w:rPr>
          <w:rFonts w:hint="eastAsia"/>
          <w:sz w:val="84"/>
          <w:szCs w:val="84"/>
        </w:rPr>
      </w:pPr>
    </w:p>
    <w:p>
      <w:pPr>
        <w:pStyle w:val="12"/>
        <w:jc w:val="center"/>
        <w:rPr>
          <w:rFonts w:hint="eastAsia"/>
          <w:sz w:val="84"/>
          <w:szCs w:val="84"/>
        </w:rPr>
      </w:pPr>
      <w:r>
        <w:rPr>
          <w:rFonts w:hint="eastAsia"/>
          <w:sz w:val="84"/>
          <w:szCs w:val="84"/>
        </w:rPr>
        <w:t>名词解释</w:t>
      </w:r>
    </w:p>
    <w:p>
      <w:pPr>
        <w:widowControl/>
        <w:jc w:val="left"/>
        <w:rPr>
          <w:rFonts w:cs="黑体" w:asciiTheme="minorEastAsia" w:hAnsiTheme="minorEastAsia"/>
          <w:color w:val="000000"/>
          <w:kern w:val="0"/>
          <w:sz w:val="32"/>
          <w:szCs w:val="32"/>
        </w:rPr>
      </w:pPr>
      <w:r>
        <w:rPr>
          <w:rFonts w:ascii="黑体" w:eastAsia="黑体" w:cs="黑体"/>
          <w:color w:val="000000"/>
          <w:kern w:val="0"/>
          <w:sz w:val="70"/>
          <w:szCs w:val="70"/>
        </w:rPr>
        <w:br w:type="page"/>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both"/>
        <w:rPr>
          <w:rFonts w:hint="eastAsia"/>
          <w:sz w:val="84"/>
          <w:szCs w:val="84"/>
        </w:rPr>
      </w:pPr>
    </w:p>
    <w:p>
      <w:pPr>
        <w:pStyle w:val="12"/>
        <w:jc w:val="center"/>
        <w:rPr>
          <w:rFonts w:hint="eastAsia"/>
          <w:sz w:val="84"/>
          <w:szCs w:val="84"/>
        </w:rPr>
      </w:pPr>
      <w:r>
        <w:rPr>
          <w:rFonts w:hint="eastAsia"/>
          <w:sz w:val="84"/>
          <w:szCs w:val="84"/>
        </w:rPr>
        <w:t>第五部分</w:t>
      </w:r>
    </w:p>
    <w:p>
      <w:pPr>
        <w:pStyle w:val="12"/>
        <w:jc w:val="center"/>
        <w:rPr>
          <w:rFonts w:hint="eastAsia"/>
          <w:sz w:val="84"/>
          <w:szCs w:val="84"/>
        </w:rPr>
      </w:pPr>
    </w:p>
    <w:p>
      <w:pPr>
        <w:pStyle w:val="12"/>
        <w:jc w:val="center"/>
        <w:rPr>
          <w:rFonts w:hint="eastAsia"/>
          <w:sz w:val="84"/>
          <w:szCs w:val="84"/>
        </w:rPr>
      </w:pPr>
      <w:r>
        <w:rPr>
          <w:rFonts w:hint="eastAsia"/>
          <w:sz w:val="84"/>
          <w:szCs w:val="84"/>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800" w:firstLineChars="200"/>
        <w:jc w:val="center"/>
        <w:rPr>
          <w:rFonts w:cs="黑体" w:asciiTheme="minorEastAsia" w:hAnsiTheme="minorEastAsia"/>
          <w:b/>
          <w:color w:val="000000"/>
          <w:kern w:val="0"/>
          <w:sz w:val="40"/>
          <w:szCs w:val="40"/>
        </w:rPr>
      </w:pPr>
      <w:r>
        <w:rPr>
          <w:rFonts w:hint="eastAsia" w:cs="黑体" w:asciiTheme="minorEastAsia" w:hAnsiTheme="minorEastAsia"/>
          <w:b/>
          <w:color w:val="000000"/>
          <w:kern w:val="0"/>
          <w:sz w:val="40"/>
          <w:szCs w:val="40"/>
        </w:rPr>
        <w:t>2021年度部门整体支出绩效评价报告</w:t>
      </w:r>
    </w:p>
    <w:p>
      <w:pPr>
        <w:ind w:firstLine="640" w:firstLineChars="200"/>
        <w:jc w:val="center"/>
        <w:rPr>
          <w:rFonts w:cs="黑体" w:asciiTheme="minorEastAsia" w:hAnsiTheme="minorEastAsia"/>
          <w:b/>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ind w:firstLine="640" w:firstLineChars="200"/>
        <w:rPr>
          <w:rFonts w:hint="eastAsia" w:cs="黑体" w:asciiTheme="minorEastAsia" w:hAnsiTheme="minorEastAsia" w:eastAsiaTheme="minorEastAsia"/>
          <w:color w:val="auto"/>
          <w:kern w:val="0"/>
          <w:sz w:val="32"/>
          <w:szCs w:val="32"/>
          <w:lang w:val="en-US" w:eastAsia="zh-CN" w:bidi="ar-SA"/>
        </w:rPr>
      </w:pPr>
      <w:r>
        <w:rPr>
          <w:rFonts w:hint="eastAsia" w:cs="黑体" w:asciiTheme="minorEastAsia" w:hAnsiTheme="minorEastAsia" w:eastAsiaTheme="minorEastAsia"/>
          <w:color w:val="auto"/>
          <w:kern w:val="0"/>
          <w:sz w:val="32"/>
          <w:szCs w:val="32"/>
          <w:lang w:val="en-US" w:eastAsia="zh-CN" w:bidi="ar-SA"/>
        </w:rPr>
        <w:t>1、怀化市金时中学是全额拨款的事业单位。内设9个办公室，分别为校长室、书记室、副校长室、办公室、教务处、教研室、总务处、工会、德育处。</w:t>
      </w:r>
    </w:p>
    <w:p>
      <w:pPr>
        <w:ind w:firstLine="640" w:firstLineChars="200"/>
        <w:rPr>
          <w:rFonts w:hint="eastAsia" w:cs="黑体" w:asciiTheme="minorEastAsia" w:hAnsiTheme="minorEastAsia" w:eastAsiaTheme="minorEastAsia"/>
          <w:color w:val="auto"/>
          <w:kern w:val="0"/>
          <w:sz w:val="32"/>
          <w:szCs w:val="32"/>
          <w:lang w:val="en-US" w:eastAsia="zh-CN" w:bidi="ar-SA"/>
        </w:rPr>
      </w:pPr>
      <w:r>
        <w:rPr>
          <w:rFonts w:hint="eastAsia" w:cs="黑体" w:asciiTheme="minorEastAsia" w:hAnsiTheme="minorEastAsia" w:eastAsiaTheme="minorEastAsia"/>
          <w:color w:val="auto"/>
          <w:kern w:val="0"/>
          <w:sz w:val="32"/>
          <w:szCs w:val="32"/>
          <w:lang w:val="en-US" w:eastAsia="zh-CN" w:bidi="ar-SA"/>
        </w:rPr>
        <w:t>2、主要工作职责：全面贯彻党和国家教育教学方针政策，从事初中义务教育教学工作。</w:t>
      </w:r>
    </w:p>
    <w:p>
      <w:pPr>
        <w:ind w:firstLine="640" w:firstLineChars="200"/>
        <w:rPr>
          <w:rFonts w:hint="eastAsia" w:cs="黑体" w:asciiTheme="minorEastAsia" w:hAnsiTheme="minorEastAsia" w:eastAsiaTheme="minorEastAsia"/>
          <w:color w:val="auto"/>
          <w:kern w:val="0"/>
          <w:sz w:val="32"/>
          <w:szCs w:val="32"/>
          <w:lang w:val="en-US" w:eastAsia="zh-CN" w:bidi="ar-SA"/>
        </w:rPr>
      </w:pPr>
      <w:r>
        <w:rPr>
          <w:rFonts w:hint="eastAsia" w:cs="黑体" w:asciiTheme="minorEastAsia" w:hAnsiTheme="minorEastAsia" w:eastAsiaTheme="minorEastAsia"/>
          <w:color w:val="auto"/>
          <w:kern w:val="0"/>
          <w:sz w:val="32"/>
          <w:szCs w:val="32"/>
          <w:lang w:val="en-US" w:eastAsia="zh-CN" w:bidi="ar-SA"/>
        </w:rPr>
        <w:t>3、编制人员情况: 单位有编制数28，在编28人，领导班子成员7人。离退休人员0人。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hint="eastAsia" w:cs="黑体" w:asciiTheme="minorEastAsia" w:hAnsiTheme="minorEastAsia" w:eastAsiaTheme="minorEastAsia"/>
          <w:color w:val="auto"/>
          <w:kern w:val="0"/>
          <w:sz w:val="32"/>
          <w:szCs w:val="32"/>
          <w:lang w:val="en-US" w:eastAsia="zh-CN" w:bidi="ar-SA"/>
        </w:rPr>
      </w:pPr>
      <w:r>
        <w:rPr>
          <w:rFonts w:hint="eastAsia" w:cs="黑体" w:asciiTheme="minorEastAsia" w:hAnsiTheme="minorEastAsia" w:eastAsiaTheme="minorEastAsia"/>
          <w:color w:val="auto"/>
          <w:kern w:val="0"/>
          <w:sz w:val="32"/>
          <w:szCs w:val="32"/>
          <w:lang w:val="en-US" w:eastAsia="zh-CN" w:bidi="ar-SA"/>
        </w:rPr>
        <w:t>1、收入说明：2021年总收入为264.91万元。</w:t>
      </w:r>
    </w:p>
    <w:p>
      <w:pPr>
        <w:ind w:firstLine="640" w:firstLineChars="200"/>
        <w:jc w:val="left"/>
        <w:rPr>
          <w:rFonts w:hint="eastAsia" w:cs="黑体" w:asciiTheme="minorEastAsia" w:hAnsiTheme="minorEastAsia" w:eastAsiaTheme="minorEastAsia"/>
          <w:color w:val="auto"/>
          <w:kern w:val="0"/>
          <w:sz w:val="32"/>
          <w:szCs w:val="32"/>
          <w:lang w:val="en-US" w:eastAsia="zh-CN" w:bidi="ar-SA"/>
        </w:rPr>
      </w:pPr>
      <w:r>
        <w:rPr>
          <w:rFonts w:hint="eastAsia" w:cs="黑体" w:asciiTheme="minorEastAsia" w:hAnsiTheme="minorEastAsia" w:eastAsiaTheme="minorEastAsia"/>
          <w:color w:val="auto"/>
          <w:kern w:val="0"/>
          <w:sz w:val="32"/>
          <w:szCs w:val="32"/>
          <w:lang w:val="en-US" w:eastAsia="zh-CN" w:bidi="ar-SA"/>
        </w:rPr>
        <w:t>2、支出说明：2021年总支出为264.91万元，其中：人员经费支出72.73万元，日常公用经费25.53万元，项目支出为166.65万元。</w:t>
      </w:r>
    </w:p>
    <w:p>
      <w:pPr>
        <w:ind w:firstLine="640" w:firstLineChars="200"/>
        <w:jc w:val="left"/>
        <w:rPr>
          <w:rFonts w:hint="eastAsia" w:cs="黑体" w:asciiTheme="minorEastAsia" w:hAnsiTheme="minorEastAsia" w:eastAsiaTheme="minorEastAsia"/>
          <w:color w:val="auto"/>
          <w:kern w:val="0"/>
          <w:sz w:val="32"/>
          <w:szCs w:val="32"/>
          <w:lang w:val="en-US" w:eastAsia="zh-CN" w:bidi="ar-SA"/>
        </w:rPr>
      </w:pPr>
      <w:r>
        <w:rPr>
          <w:rFonts w:hint="eastAsia" w:cs="黑体" w:asciiTheme="minorEastAsia" w:hAnsiTheme="minorEastAsia" w:eastAsiaTheme="minorEastAsia"/>
          <w:color w:val="auto"/>
          <w:kern w:val="0"/>
          <w:sz w:val="32"/>
          <w:szCs w:val="32"/>
          <w:lang w:val="en-US" w:eastAsia="zh-CN" w:bidi="ar-SA"/>
        </w:rPr>
        <w:t>3、“三公”经费说明：2021年度“三公”经费为0万元，根据各项规定，我单位按要求厉行节约，比年初预算比，没有产生“三公”经费，本单位一直没有公车，所以本年度内没有发生公车维护费。</w:t>
      </w:r>
    </w:p>
    <w:p>
      <w:pPr>
        <w:widowControl/>
        <w:shd w:val="clear" w:color="auto" w:fill="FFFFFF"/>
        <w:spacing w:line="600" w:lineRule="atLeast"/>
        <w:rPr>
          <w:rFonts w:ascii="宋体" w:hAnsi="宋体" w:eastAsia="宋体" w:cs="宋体"/>
          <w:b/>
          <w:spacing w:val="-2"/>
          <w:sz w:val="32"/>
          <w:szCs w:val="21"/>
        </w:rPr>
      </w:pPr>
      <w:r>
        <w:rPr>
          <w:rFonts w:hint="eastAsia" w:ascii="宋体" w:hAnsi="宋体" w:eastAsia="宋体" w:cs="宋体"/>
          <w:b/>
          <w:spacing w:val="-2"/>
          <w:sz w:val="32"/>
          <w:szCs w:val="32"/>
        </w:rPr>
        <w:t>三、部门专项组织实施情况</w:t>
      </w:r>
    </w:p>
    <w:p>
      <w:pPr>
        <w:widowControl/>
        <w:shd w:val="clear" w:color="auto" w:fill="FFFFFF"/>
        <w:spacing w:line="600" w:lineRule="atLeast"/>
        <w:ind w:firstLine="640"/>
        <w:rPr>
          <w:rFonts w:hint="eastAsia" w:cs="黑体" w:asciiTheme="minorEastAsia" w:hAnsiTheme="minorEastAsia" w:eastAsiaTheme="minorEastAsia"/>
          <w:color w:val="auto"/>
          <w:kern w:val="0"/>
          <w:sz w:val="32"/>
          <w:szCs w:val="32"/>
          <w:lang w:val="en-US" w:eastAsia="zh-CN" w:bidi="ar-SA"/>
        </w:rPr>
      </w:pPr>
      <w:r>
        <w:rPr>
          <w:rFonts w:hint="eastAsia" w:cs="黑体" w:asciiTheme="minorEastAsia" w:hAnsiTheme="minorEastAsia" w:eastAsiaTheme="minorEastAsia"/>
          <w:color w:val="auto"/>
          <w:kern w:val="0"/>
          <w:sz w:val="32"/>
          <w:szCs w:val="32"/>
          <w:lang w:val="en-US" w:eastAsia="zh-CN" w:bidi="ar-SA"/>
        </w:rPr>
        <w:t>专项管理情况分析。校园安保经费和临聘教师工资能有效及时发放。</w:t>
      </w:r>
    </w:p>
    <w:p>
      <w:pPr>
        <w:widowControl/>
        <w:shd w:val="clear" w:color="auto" w:fill="FFFFFF"/>
        <w:spacing w:line="600" w:lineRule="atLeast"/>
        <w:rPr>
          <w:rFonts w:ascii="宋体" w:hAnsi="宋体" w:eastAsia="宋体" w:cs="宋体"/>
          <w:b/>
          <w:spacing w:val="-2"/>
          <w:sz w:val="32"/>
          <w:szCs w:val="21"/>
        </w:rPr>
      </w:pPr>
      <w:r>
        <w:rPr>
          <w:rFonts w:hint="eastAsia" w:ascii="宋体" w:hAnsi="宋体" w:eastAsia="宋体" w:cs="宋体"/>
          <w:b/>
          <w:spacing w:val="-2"/>
          <w:sz w:val="32"/>
          <w:szCs w:val="32"/>
        </w:rPr>
        <w:t>四、资产管理情况</w:t>
      </w:r>
    </w:p>
    <w:p>
      <w:pPr>
        <w:ind w:firstLine="640" w:firstLineChars="200"/>
        <w:jc w:val="left"/>
        <w:rPr>
          <w:rFonts w:hint="eastAsia" w:cs="黑体" w:asciiTheme="minorEastAsia" w:hAnsiTheme="minorEastAsia" w:eastAsiaTheme="minorEastAsia"/>
          <w:color w:val="auto"/>
          <w:kern w:val="0"/>
          <w:sz w:val="32"/>
          <w:szCs w:val="32"/>
          <w:lang w:val="en-US" w:eastAsia="zh-CN" w:bidi="ar-SA"/>
        </w:rPr>
      </w:pPr>
      <w:r>
        <w:rPr>
          <w:rFonts w:hint="eastAsia" w:cs="黑体" w:asciiTheme="minorEastAsia" w:hAnsiTheme="minorEastAsia" w:eastAsiaTheme="minorEastAsia"/>
          <w:color w:val="auto"/>
          <w:kern w:val="0"/>
          <w:sz w:val="32"/>
          <w:szCs w:val="32"/>
          <w:lang w:val="en-US" w:eastAsia="zh-CN" w:bidi="ar-SA"/>
        </w:rPr>
        <w:t>2021年部门资产的配置较为合理，管理逐步走上正轨，管理制度得到完善，资产处置存在不及时情况。</w:t>
      </w:r>
    </w:p>
    <w:p>
      <w:pPr>
        <w:widowControl/>
        <w:shd w:val="clear" w:color="auto" w:fill="FFFFFF"/>
        <w:spacing w:line="600" w:lineRule="atLeast"/>
        <w:rPr>
          <w:rFonts w:ascii="宋体" w:hAnsi="宋体" w:eastAsia="宋体" w:cs="宋体"/>
          <w:b/>
          <w:spacing w:val="-2"/>
          <w:sz w:val="32"/>
          <w:szCs w:val="32"/>
        </w:rPr>
      </w:pPr>
      <w:r>
        <w:rPr>
          <w:rFonts w:hint="eastAsia" w:ascii="宋体" w:hAnsi="宋体" w:eastAsia="宋体" w:cs="宋体"/>
          <w:b/>
          <w:spacing w:val="-2"/>
          <w:sz w:val="32"/>
          <w:szCs w:val="32"/>
        </w:rPr>
        <w:t>五、部门整体支出绩效情况</w:t>
      </w:r>
    </w:p>
    <w:p>
      <w:pPr>
        <w:ind w:firstLine="640" w:firstLineChars="200"/>
        <w:jc w:val="left"/>
        <w:rPr>
          <w:rFonts w:hint="eastAsia" w:cs="黑体" w:asciiTheme="minorEastAsia" w:hAnsiTheme="minorEastAsia" w:eastAsiaTheme="minorEastAsia"/>
          <w:color w:val="auto"/>
          <w:kern w:val="0"/>
          <w:sz w:val="32"/>
          <w:szCs w:val="32"/>
          <w:lang w:val="en-US" w:eastAsia="zh-CN" w:bidi="ar-SA"/>
        </w:rPr>
      </w:pPr>
      <w:r>
        <w:rPr>
          <w:rFonts w:hint="eastAsia" w:cs="黑体" w:asciiTheme="minorEastAsia" w:hAnsiTheme="minorEastAsia" w:eastAsiaTheme="minorEastAsia"/>
          <w:color w:val="auto"/>
          <w:kern w:val="0"/>
          <w:sz w:val="32"/>
          <w:szCs w:val="32"/>
          <w:lang w:val="en-US" w:eastAsia="zh-CN" w:bidi="ar-SA"/>
        </w:rPr>
        <w:t>2021年在上级部门的正确领导下，保证各项资金使用的真实、合法、有效，充分发挥资金使用效率。年初制定的支出绩效目标总体完成情况良好，学校实现平稳运行，各项教育教学工作正常有序。</w:t>
      </w:r>
    </w:p>
    <w:p>
      <w:pPr>
        <w:widowControl/>
        <w:numPr>
          <w:ilvl w:val="0"/>
          <w:numId w:val="2"/>
        </w:numPr>
        <w:shd w:val="clear" w:color="auto" w:fill="FFFFFF"/>
        <w:spacing w:line="600" w:lineRule="atLeast"/>
        <w:rPr>
          <w:rFonts w:ascii="宋体" w:hAnsi="宋体" w:eastAsia="宋体" w:cs="宋体"/>
          <w:b/>
          <w:spacing w:val="-2"/>
          <w:sz w:val="32"/>
          <w:szCs w:val="32"/>
        </w:rPr>
      </w:pPr>
      <w:r>
        <w:rPr>
          <w:rFonts w:hint="eastAsia" w:ascii="宋体" w:hAnsi="宋体" w:eastAsia="宋体" w:cs="宋体"/>
          <w:b/>
          <w:spacing w:val="-2"/>
          <w:sz w:val="32"/>
          <w:szCs w:val="32"/>
        </w:rPr>
        <w:t>存在的主要问题</w:t>
      </w:r>
    </w:p>
    <w:p>
      <w:pPr>
        <w:pStyle w:val="7"/>
        <w:spacing w:before="0" w:beforeAutospacing="0" w:after="0" w:afterAutospacing="0" w:line="480" w:lineRule="auto"/>
        <w:ind w:firstLine="640" w:firstLineChars="200"/>
        <w:rPr>
          <w:rFonts w:hint="eastAsia" w:cs="黑体" w:asciiTheme="minorEastAsia" w:hAnsiTheme="minorEastAsia" w:eastAsiaTheme="minorEastAsia"/>
          <w:color w:val="auto"/>
          <w:kern w:val="0"/>
          <w:sz w:val="32"/>
          <w:szCs w:val="32"/>
          <w:lang w:val="en-US" w:eastAsia="zh-CN" w:bidi="ar-SA"/>
        </w:rPr>
      </w:pPr>
      <w:r>
        <w:rPr>
          <w:rFonts w:hint="eastAsia" w:cs="黑体" w:asciiTheme="minorEastAsia" w:hAnsiTheme="minorEastAsia" w:eastAsiaTheme="minorEastAsia"/>
          <w:color w:val="auto"/>
          <w:kern w:val="0"/>
          <w:sz w:val="32"/>
          <w:szCs w:val="32"/>
          <w:lang w:val="en-US" w:eastAsia="zh-CN" w:bidi="ar-SA"/>
        </w:rPr>
        <w:t>1、学校的固定资产管理有待加强，下年度将加强人员配备，按要求逐步完善固定资产实物管理。</w:t>
      </w:r>
    </w:p>
    <w:p>
      <w:pPr>
        <w:widowControl/>
        <w:shd w:val="clear" w:color="auto" w:fill="FFFFFF"/>
        <w:spacing w:line="600" w:lineRule="atLeast"/>
        <w:ind w:firstLine="640" w:firstLineChars="200"/>
        <w:rPr>
          <w:rFonts w:hint="eastAsia" w:cs="黑体" w:asciiTheme="minorEastAsia" w:hAnsiTheme="minorEastAsia" w:eastAsiaTheme="minorEastAsia"/>
          <w:color w:val="auto"/>
          <w:kern w:val="0"/>
          <w:sz w:val="32"/>
          <w:szCs w:val="32"/>
          <w:lang w:val="en-US" w:eastAsia="zh-CN" w:bidi="ar-SA"/>
        </w:rPr>
      </w:pPr>
      <w:r>
        <w:rPr>
          <w:rFonts w:hint="eastAsia" w:cs="黑体" w:asciiTheme="minorEastAsia" w:hAnsiTheme="minorEastAsia" w:eastAsiaTheme="minorEastAsia"/>
          <w:color w:val="auto"/>
          <w:kern w:val="0"/>
          <w:sz w:val="32"/>
          <w:szCs w:val="32"/>
          <w:lang w:val="en-US" w:eastAsia="zh-CN" w:bidi="ar-SA"/>
        </w:rPr>
        <w:t>2、更加科学合理编制预算，今后努力学习预算制度，更加合理地编制预算，提高预算管理效率。</w:t>
      </w:r>
    </w:p>
    <w:p>
      <w:pPr>
        <w:widowControl/>
        <w:shd w:val="clear" w:color="auto" w:fill="FFFFFF"/>
        <w:spacing w:line="600" w:lineRule="atLeast"/>
        <w:rPr>
          <w:rFonts w:ascii="宋体" w:hAnsi="宋体" w:eastAsia="宋体" w:cs="宋体"/>
          <w:b/>
          <w:spacing w:val="-2"/>
          <w:sz w:val="32"/>
          <w:szCs w:val="32"/>
        </w:rPr>
      </w:pPr>
      <w:r>
        <w:rPr>
          <w:rFonts w:hint="eastAsia" w:ascii="宋体" w:hAnsi="宋体" w:eastAsia="宋体" w:cs="宋体"/>
          <w:b/>
          <w:spacing w:val="-2"/>
          <w:sz w:val="32"/>
          <w:szCs w:val="32"/>
        </w:rPr>
        <w:t>七、改进措施和有关建议</w:t>
      </w:r>
    </w:p>
    <w:p>
      <w:pPr>
        <w:widowControl/>
        <w:spacing w:line="600" w:lineRule="exact"/>
        <w:ind w:firstLine="640" w:firstLineChars="200"/>
        <w:jc w:val="left"/>
        <w:rPr>
          <w:rFonts w:hint="eastAsia" w:cs="黑体" w:asciiTheme="minorEastAsia" w:hAnsiTheme="minorEastAsia" w:eastAsiaTheme="minorEastAsia"/>
          <w:color w:val="auto"/>
          <w:kern w:val="0"/>
          <w:sz w:val="32"/>
          <w:szCs w:val="32"/>
          <w:lang w:val="en-US" w:eastAsia="zh-CN" w:bidi="ar-SA"/>
        </w:rPr>
      </w:pPr>
      <w:r>
        <w:rPr>
          <w:rFonts w:hint="eastAsia" w:cs="黑体" w:asciiTheme="minorEastAsia" w:hAnsiTheme="minorEastAsia" w:eastAsiaTheme="minorEastAsia"/>
          <w:color w:val="auto"/>
          <w:kern w:val="0"/>
          <w:sz w:val="32"/>
          <w:szCs w:val="32"/>
          <w:lang w:val="en-US" w:eastAsia="zh-CN" w:bidi="ar-SA"/>
        </w:rPr>
        <w:t>1、预算前增加各部门预算汇总上报环节；</w:t>
      </w:r>
    </w:p>
    <w:p>
      <w:pPr>
        <w:widowControl/>
        <w:spacing w:line="600" w:lineRule="exact"/>
        <w:ind w:firstLine="640" w:firstLineChars="200"/>
        <w:jc w:val="left"/>
        <w:rPr>
          <w:rFonts w:hint="eastAsia" w:cs="黑体" w:asciiTheme="minorEastAsia" w:hAnsiTheme="minorEastAsia" w:eastAsiaTheme="minorEastAsia"/>
          <w:color w:val="auto"/>
          <w:kern w:val="0"/>
          <w:sz w:val="32"/>
          <w:szCs w:val="32"/>
          <w:lang w:val="en-US" w:eastAsia="zh-CN" w:bidi="ar-SA"/>
        </w:rPr>
      </w:pPr>
      <w:r>
        <w:rPr>
          <w:rFonts w:hint="eastAsia" w:cs="黑体" w:asciiTheme="minorEastAsia" w:hAnsiTheme="minorEastAsia" w:eastAsiaTheme="minorEastAsia"/>
          <w:color w:val="auto"/>
          <w:kern w:val="0"/>
          <w:sz w:val="32"/>
          <w:szCs w:val="32"/>
          <w:lang w:val="en-US" w:eastAsia="zh-CN" w:bidi="ar-SA"/>
        </w:rPr>
        <w:t>2、加强预算的前瞻性和指导性，提高预算的指导性作用。</w:t>
      </w:r>
    </w:p>
    <w:p>
      <w:pPr>
        <w:pStyle w:val="7"/>
        <w:spacing w:before="0" w:beforeAutospacing="0" w:after="0" w:afterAutospacing="0" w:line="480" w:lineRule="auto"/>
        <w:ind w:firstLine="640" w:firstLineChars="200"/>
        <w:rPr>
          <w:rFonts w:hint="eastAsia" w:cs="黑体" w:asciiTheme="minorEastAsia" w:hAnsiTheme="minorEastAsia" w:eastAsiaTheme="minorEastAsia"/>
          <w:color w:val="auto"/>
          <w:kern w:val="0"/>
          <w:sz w:val="32"/>
          <w:szCs w:val="32"/>
          <w:lang w:val="en-US" w:eastAsia="zh-CN" w:bidi="ar-SA"/>
        </w:rPr>
      </w:pPr>
      <w:r>
        <w:rPr>
          <w:rFonts w:hint="eastAsia" w:cs="黑体" w:asciiTheme="minorEastAsia" w:hAnsiTheme="minorEastAsia" w:eastAsiaTheme="minorEastAsia"/>
          <w:color w:val="auto"/>
          <w:kern w:val="0"/>
          <w:sz w:val="32"/>
          <w:szCs w:val="32"/>
          <w:lang w:val="en-US" w:eastAsia="zh-CN" w:bidi="ar-SA"/>
        </w:rPr>
        <w:t>3、加强资产管理人员配备，专项工作落实落细。</w:t>
      </w:r>
    </w:p>
    <w:p>
      <w:pPr>
        <w:widowControl/>
        <w:spacing w:line="600" w:lineRule="exact"/>
        <w:ind w:firstLine="640" w:firstLineChars="200"/>
        <w:jc w:val="left"/>
        <w:rPr>
          <w:rFonts w:hint="eastAsia" w:cs="黑体" w:asciiTheme="minorEastAsia" w:hAnsiTheme="minorEastAsia" w:eastAsiaTheme="minorEastAsia"/>
          <w:color w:val="auto"/>
          <w:kern w:val="0"/>
          <w:sz w:val="32"/>
          <w:szCs w:val="32"/>
          <w:lang w:val="en-US" w:eastAsia="zh-CN" w:bidi="ar-SA"/>
        </w:rPr>
      </w:pPr>
      <w:r>
        <w:rPr>
          <w:rFonts w:hint="eastAsia" w:cs="黑体" w:asciiTheme="minorEastAsia" w:hAnsiTheme="minorEastAsia" w:eastAsiaTheme="minorEastAsia"/>
          <w:color w:val="auto"/>
          <w:kern w:val="0"/>
          <w:sz w:val="32"/>
          <w:szCs w:val="32"/>
          <w:lang w:val="en-US" w:eastAsia="zh-CN" w:bidi="ar-SA"/>
        </w:rPr>
        <w:t>4、加强相关人员业务培训，学习预算及绩效评价管理水平，提升业务能力。</w:t>
      </w:r>
    </w:p>
    <w:p>
      <w:pPr>
        <w:widowControl/>
        <w:shd w:val="clear" w:color="auto" w:fill="FFFFFF"/>
        <w:spacing w:line="600" w:lineRule="atLeast"/>
        <w:ind w:firstLine="640" w:firstLineChars="200"/>
        <w:rPr>
          <w:rFonts w:cs="仿宋" w:asciiTheme="minorEastAsia" w:hAnsiTheme="minorEastAsia"/>
          <w:sz w:val="32"/>
          <w:szCs w:val="32"/>
        </w:rPr>
      </w:pPr>
    </w:p>
    <w:p>
      <w:pPr>
        <w:ind w:firstLine="600" w:firstLineChars="200"/>
        <w:jc w:val="left"/>
        <w:rPr>
          <w:rFonts w:cs="仿宋" w:asciiTheme="minorEastAsia" w:hAnsiTheme="minorEastAsia"/>
          <w:bCs/>
          <w:sz w:val="30"/>
          <w:szCs w:val="30"/>
        </w:rPr>
      </w:pP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4BBF965"/>
    <w:multiLevelType w:val="singleLevel"/>
    <w:tmpl w:val="44BBF965"/>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I2NGRiYmQwOWZkOTg4MzMxMDkzZDc2NzhhOTYzNjM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7568E"/>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B2216"/>
    <w:rsid w:val="00BB4A40"/>
    <w:rsid w:val="00BD6C3E"/>
    <w:rsid w:val="00BE3674"/>
    <w:rsid w:val="00BF6589"/>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02145218"/>
    <w:rsid w:val="0BD8314B"/>
    <w:rsid w:val="0BDC7F07"/>
    <w:rsid w:val="0F8010F0"/>
    <w:rsid w:val="118332CC"/>
    <w:rsid w:val="17D36CBA"/>
    <w:rsid w:val="194E0A20"/>
    <w:rsid w:val="19FF5E3C"/>
    <w:rsid w:val="1A197394"/>
    <w:rsid w:val="1C457C4C"/>
    <w:rsid w:val="1E3D5D47"/>
    <w:rsid w:val="209A1BA3"/>
    <w:rsid w:val="26591026"/>
    <w:rsid w:val="26C843A0"/>
    <w:rsid w:val="2BC96987"/>
    <w:rsid w:val="31255242"/>
    <w:rsid w:val="32C62D39"/>
    <w:rsid w:val="33092244"/>
    <w:rsid w:val="338D75E6"/>
    <w:rsid w:val="33A70901"/>
    <w:rsid w:val="3639699D"/>
    <w:rsid w:val="3A79380C"/>
    <w:rsid w:val="3AC42054"/>
    <w:rsid w:val="3C0E768C"/>
    <w:rsid w:val="3C3E6F3A"/>
    <w:rsid w:val="3D0B3CB9"/>
    <w:rsid w:val="42ED4847"/>
    <w:rsid w:val="47F27AC3"/>
    <w:rsid w:val="4E8642F1"/>
    <w:rsid w:val="536F35A6"/>
    <w:rsid w:val="53E35322"/>
    <w:rsid w:val="55B41744"/>
    <w:rsid w:val="578319A9"/>
    <w:rsid w:val="5C5F38AF"/>
    <w:rsid w:val="63797537"/>
    <w:rsid w:val="67152A3C"/>
    <w:rsid w:val="68260FF8"/>
    <w:rsid w:val="6E3C6633"/>
    <w:rsid w:val="772A50B3"/>
    <w:rsid w:val="77F30A09"/>
    <w:rsid w:val="7BC80F82"/>
    <w:rsid w:val="7BE85E1C"/>
    <w:rsid w:val="7CB8338F"/>
    <w:rsid w:val="7D965A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240" w:beforeLines="0" w:beforeAutospacing="0" w:after="240" w:afterLines="0" w:afterAutospacing="0" w:line="500" w:lineRule="exact"/>
      <w:ind w:firstLine="0" w:firstLineChars="0"/>
      <w:jc w:val="center"/>
      <w:outlineLvl w:val="0"/>
    </w:pPr>
    <w:rPr>
      <w:rFonts w:eastAsia="黑体" w:asciiTheme="minorAscii" w:hAnsiTheme="minorAscii" w:cstheme="minorBidi"/>
      <w:b/>
      <w:kern w:val="44"/>
      <w:sz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4447</Words>
  <Characters>4776</Characters>
  <Lines>35</Lines>
  <Paragraphs>9</Paragraphs>
  <TotalTime>0</TotalTime>
  <ScaleCrop>false</ScaleCrop>
  <LinksUpToDate>false</LinksUpToDate>
  <CharactersWithSpaces>4796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2022-08-01T10:01:00Z</dcterms:created>
  <dc:creator>李航 null</dc:creator>
  <cp:lastModifiedBy>yanyan小朋友 </cp:lastModifiedBy>
  <cp:lastPrinted>2022-07-27T12:55:00Z</cp:lastPrinted>
  <dcterms:modified xsi:type="dcterms:W3CDTF">2023-09-27T14:11:29Z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A4AE2EE18ACD4C4B907573DBF025871F</vt:lpwstr>
  </property>
</Properties>
</file>