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rFonts w:hint="eastAsia"/>
          <w:sz w:val="84"/>
          <w:szCs w:val="84"/>
        </w:rPr>
      </w:pPr>
    </w:p>
    <w:p>
      <w:pPr>
        <w:pStyle w:val="10"/>
        <w:jc w:val="center"/>
        <w:rPr>
          <w:sz w:val="84"/>
          <w:szCs w:val="84"/>
        </w:rPr>
      </w:pPr>
      <w:r>
        <w:rPr>
          <w:rFonts w:hint="eastAsia"/>
          <w:sz w:val="84"/>
          <w:szCs w:val="84"/>
        </w:rPr>
        <w:t>2021年度怀化市公园路小学部门决算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第一部分怀化市公园路小学单位概况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sz w:val="84"/>
          <w:szCs w:val="84"/>
        </w:rPr>
      </w:pPr>
      <w:r>
        <w:rPr>
          <w:rFonts w:hint="eastAsia"/>
          <w:sz w:val="84"/>
          <w:szCs w:val="84"/>
        </w:rPr>
        <w:t>怀化市公园路小学单位概况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jc w:val="left"/>
        <w:rPr>
          <w:rFonts w:hint="eastAsia" w:asciiTheme="minorEastAsia" w:hAnsiTheme="minorEastAsia" w:eastAsiaTheme="minorEastAsia"/>
          <w:sz w:val="32"/>
          <w:szCs w:val="32"/>
          <w:lang w:eastAsia="zh-CN"/>
        </w:rPr>
      </w:pPr>
      <w:r>
        <w:rPr>
          <w:rFonts w:hint="eastAsia" w:asciiTheme="minorEastAsia" w:hAnsiTheme="minorEastAsia"/>
          <w:sz w:val="32"/>
          <w:szCs w:val="32"/>
        </w:rPr>
        <w:t>（一）</w:t>
      </w:r>
      <w:r>
        <w:rPr>
          <w:rFonts w:hint="eastAsia" w:cs="仿宋" w:asciiTheme="minorEastAsia" w:hAnsiTheme="minorEastAsia"/>
          <w:sz w:val="30"/>
          <w:szCs w:val="30"/>
        </w:rPr>
        <w:t>怀化市公园路小学是全额拨款的事业单位</w:t>
      </w:r>
      <w:r>
        <w:rPr>
          <w:rFonts w:hint="eastAsia" w:cs="仿宋" w:asciiTheme="minorEastAsia" w:hAnsiTheme="minorEastAsia"/>
          <w:sz w:val="30"/>
          <w:szCs w:val="30"/>
          <w:lang w:eastAsia="zh-CN"/>
        </w:rPr>
        <w:t>；</w:t>
      </w:r>
    </w:p>
    <w:p>
      <w:pPr>
        <w:pStyle w:val="11"/>
        <w:spacing w:line="600" w:lineRule="exact"/>
        <w:ind w:left="0" w:leftChars="0" w:firstLine="640" w:firstLineChars="200"/>
        <w:rPr>
          <w:rFonts w:asciiTheme="minorEastAsia" w:hAnsiTheme="minorEastAsia"/>
          <w:kern w:val="0"/>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主要工作职责：全面贯彻党的教育方针，落实九年义务教育各项政策，保障学生受教育的各项权利，维护教师职工各项权益。</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640" w:firstLineChars="200"/>
        <w:rPr>
          <w:rFonts w:asciiTheme="minorEastAsia" w:hAnsiTheme="minorEastAsia"/>
          <w:b/>
          <w:bCs/>
          <w:kern w:val="0"/>
          <w:sz w:val="32"/>
          <w:szCs w:val="32"/>
        </w:rPr>
      </w:pPr>
      <w:r>
        <w:rPr>
          <w:rFonts w:hint="eastAsia" w:asciiTheme="minorEastAsia" w:hAnsiTheme="minorEastAsia"/>
          <w:bCs/>
          <w:kern w:val="0"/>
          <w:sz w:val="32"/>
          <w:szCs w:val="32"/>
        </w:rPr>
        <w:t>（一）内设机构设置。</w:t>
      </w:r>
      <w:r>
        <w:rPr>
          <w:rFonts w:hint="eastAsia" w:ascii="Times New Roman" w:hAnsi="Times New Roman" w:eastAsia="仿宋_GB2312" w:cs="Times New Roman"/>
          <w:bCs/>
          <w:kern w:val="0"/>
          <w:sz w:val="32"/>
          <w:szCs w:val="32"/>
        </w:rPr>
        <w:t xml:space="preserve"> </w:t>
      </w:r>
      <w:r>
        <w:rPr>
          <w:rFonts w:hint="eastAsia" w:cs="仿宋" w:asciiTheme="minorEastAsia" w:hAnsiTheme="minorEastAsia" w:eastAsiaTheme="minorEastAsia"/>
          <w:kern w:val="2"/>
          <w:sz w:val="32"/>
          <w:szCs w:val="32"/>
          <w:lang w:val="en-US" w:eastAsia="zh-CN" w:bidi="ar-SA"/>
        </w:rPr>
        <w:t>怀化市公园路小学内设机构包括：学</w:t>
      </w:r>
      <w:r>
        <w:rPr>
          <w:rFonts w:hint="eastAsia" w:cs="仿宋" w:asciiTheme="minorEastAsia" w:hAnsiTheme="minorEastAsia"/>
          <w:sz w:val="32"/>
          <w:szCs w:val="32"/>
        </w:rPr>
        <w:t>校办公室、校长室、工会、党支部、总务处、教务处、教研室、财务室。</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w:t>
      </w:r>
      <w:r>
        <w:rPr>
          <w:rFonts w:hint="eastAsia" w:cs="仿宋" w:asciiTheme="minorEastAsia" w:hAnsiTheme="minorEastAsia" w:eastAsiaTheme="minorEastAsia"/>
          <w:kern w:val="2"/>
          <w:sz w:val="32"/>
          <w:szCs w:val="32"/>
          <w:lang w:val="en-US" w:eastAsia="zh-CN" w:bidi="ar-SA"/>
        </w:rPr>
        <w:t>怀化市公园路小学</w:t>
      </w:r>
      <w:r>
        <w:rPr>
          <w:rFonts w:hint="eastAsia" w:cs="仿宋" w:asciiTheme="minorEastAsia" w:hAnsiTheme="minorEastAsia"/>
          <w:kern w:val="2"/>
          <w:sz w:val="32"/>
          <w:szCs w:val="32"/>
          <w:lang w:val="en-US" w:eastAsia="zh-CN" w:bidi="ar-SA"/>
        </w:rPr>
        <w:t>2021年部门决算公开单位包括：</w:t>
      </w:r>
      <w:r>
        <w:rPr>
          <w:rFonts w:hint="eastAsia" w:asciiTheme="minorEastAsia" w:hAnsiTheme="minorEastAsia"/>
          <w:bCs/>
          <w:kern w:val="0"/>
          <w:sz w:val="32"/>
          <w:szCs w:val="32"/>
        </w:rPr>
        <w:t>怀化市公园路小学本级</w:t>
      </w:r>
      <w:r>
        <w:rPr>
          <w:rFonts w:hint="eastAsia" w:ascii="Times New Roman" w:hAnsi="Times New Roman" w:eastAsia="仿宋_GB2312" w:cs="Times New Roman"/>
          <w:bCs/>
          <w:kern w:val="0"/>
          <w:sz w:val="32"/>
          <w:szCs w:val="32"/>
        </w:rPr>
        <w:t>。</w:t>
      </w:r>
    </w:p>
    <w:p>
      <w:pPr>
        <w:widowControl/>
        <w:spacing w:line="600" w:lineRule="exact"/>
        <w:rPr>
          <w:rFonts w:ascii="仿宋_GB2312" w:eastAsia="仿宋_GB2312" w:hAnsiTheme="minorEastAsia"/>
          <w:sz w:val="28"/>
          <w:szCs w:val="32"/>
        </w:rPr>
      </w:pP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hint="eastAsia" w:asciiTheme="minorEastAsia" w:hAnsiTheme="minorEastAsia" w:eastAsiaTheme="minorEastAsia"/>
          <w:sz w:val="32"/>
          <w:szCs w:val="32"/>
          <w:lang w:val="en-US" w:eastAsia="zh-CN"/>
        </w:rPr>
        <w:t>654.88万元，年初结转和结余6.06万元，收入总计</w:t>
      </w:r>
      <w:r>
        <w:rPr>
          <w:rFonts w:hint="eastAsia" w:asciiTheme="minorEastAsia" w:hAnsiTheme="minorEastAsia" w:eastAsiaTheme="minorEastAsia"/>
          <w:sz w:val="32"/>
          <w:szCs w:val="32"/>
        </w:rPr>
        <w:t>660.94万元。与上年相比，增加62.08万元，增长9.6%，主要是因为公用经费标准的增加教师工资上涨以及医疗、养老、工伤、失业、生育等保险的缴费基数调整。</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2021年度支出合计660.94万元。与上年相比，增加62.08万元，增长9.6%，主要是因为公用经费标准的增加教师工资上涨以及医疗、养老、工伤、失业、生育等保险的缴费基数调整。</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hint="eastAsia" w:asciiTheme="minorEastAsia" w:hAnsiTheme="minorEastAsia" w:eastAsiaTheme="minorEastAsia"/>
          <w:sz w:val="32"/>
          <w:szCs w:val="32"/>
          <w:lang w:val="en-US" w:eastAsia="zh-CN"/>
        </w:rPr>
        <w:t>654.88万元，年初结转和结余6.06万元，收入总计</w:t>
      </w:r>
      <w:r>
        <w:rPr>
          <w:rFonts w:hint="eastAsia" w:asciiTheme="minorEastAsia" w:hAnsiTheme="minorEastAsia" w:eastAsiaTheme="minorEastAsia"/>
          <w:sz w:val="32"/>
          <w:szCs w:val="32"/>
        </w:rPr>
        <w:t>660.94万元。其中：财政拨款收入6</w:t>
      </w:r>
      <w:r>
        <w:rPr>
          <w:rFonts w:hint="eastAsia" w:asciiTheme="minorEastAsia" w:hAnsiTheme="minorEastAsia" w:eastAsiaTheme="minorEastAsia"/>
          <w:sz w:val="32"/>
          <w:szCs w:val="32"/>
          <w:lang w:val="en-US" w:eastAsia="zh-CN"/>
        </w:rPr>
        <w:t>11.08</w:t>
      </w:r>
      <w:r>
        <w:rPr>
          <w:rFonts w:hint="eastAsia" w:asciiTheme="minorEastAsia" w:hAnsiTheme="minorEastAsia" w:eastAsiaTheme="minorEastAsia"/>
          <w:sz w:val="32"/>
          <w:szCs w:val="32"/>
        </w:rPr>
        <w:t>万元，占93.5%；上级补助收入0万元，占0%；事业收入0万元，占0%；经营收入0万元，占0%；附属单位上缴收入0万元，占0%；其他收入43.08万元，占6.5%。</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2021年度支出合计660.94万元，其中：基本支出574.82万元，占86.9%；项目支出86.12万元，占13.1%；上缴上级支出0万元，占0%；经营支出0万元，占0%；对附属单位补助支出0万元，占0%。</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2021年度财政拨款收入合计617.14万元。与上年相比，增加46.46万元，增长7%，主要是因为公用经费标准的增加教师工资上涨以及医疗、养老、工伤、失业、生育等保险的缴费基数调整。</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2021年度财政拨款支出合计617.14万元。与上年相比，增加46.46万元，增长7%，主要是因为公用经费标准的增加教师工资上涨以及医疗、养老、工伤、失业、生育等保险的缴费基数调整。</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617.14万元，占本年支出合计的93.5%，与上年相比，财政拨款支出增加46.46万元，增长7%，主要是因为公用经费标准的增加教师工资上涨以及医疗、养老、工伤、失业、生育等保险的缴费基数调整。</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2021年度财政拨款支出617.14万元，主要用于以下方面：一般公共服务（类）支出0万元，占0%；教育（类）支出617.14万元，占100%;</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2021年度财政拨款支出年初预算数为617.14万元，支出决算数为617.14万元，完成年初预算的100%，其中：</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1、教育支出（类）普通教育（款）小学教育（项）。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年初预算为531.03万元，支出决算为531.03万元，完成年初预算的100%。</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2、教育支出（类）普通教育（款）小学教育（项）。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年初预算为86.12万元，支出决算为86.12万元，完成年初预算的100%。</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531.03万元，其中：人员经费462.56万元，占基本支出的87.1%,主要包括基本工资、津贴补贴、奖金、伙食补助费机关事业养老保险缴费、职工基本医疗保险缴费、其他社会保障缴费、住房公积金、其他工资福利支出、其他对个人和家庭的补助、助学金、生活补助；公用经费68.47万元，占基本支出的12.9%，主要包括办公费、印刷费、咨询费、手续费、水费、电费、维修费、邮电费、工会经费、劳务费、其他商品和服务支出。</w:t>
      </w:r>
    </w:p>
    <w:p>
      <w:pPr>
        <w:pStyle w:val="10"/>
        <w:rPr>
          <w:rFonts w:hAnsi="黑体"/>
          <w:b/>
          <w:sz w:val="32"/>
          <w:szCs w:val="32"/>
        </w:rPr>
      </w:pPr>
      <w:r>
        <w:rPr>
          <w:rFonts w:hint="eastAsia" w:hAnsi="黑体"/>
          <w:b/>
          <w:sz w:val="32"/>
          <w:szCs w:val="32"/>
        </w:rPr>
        <w:t>七、一般公共预算财政拨款“三公”经费支出决算情况说明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2021年度“三公”经费财政拨款支出预算为0万元，支出决算为0万元，由于预算数为0，无法计算百分比</w:t>
      </w:r>
      <w:r>
        <w:rPr>
          <w:rFonts w:hint="eastAsia" w:asciiTheme="minorEastAsia" w:hAnsiTheme="minorEastAsia" w:eastAsiaTheme="minorEastAsia"/>
          <w:sz w:val="32"/>
          <w:szCs w:val="32"/>
        </w:rPr>
        <w:t>，其中：</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因公出国（境）费支出预算为0万元，支出决算为0万元，由于预算数为0，无法计算百分比</w:t>
      </w:r>
      <w:r>
        <w:rPr>
          <w:rFonts w:hint="eastAsia" w:asciiTheme="minorEastAsia" w:hAnsiTheme="minorEastAsia" w:eastAsiaTheme="minorEastAsia"/>
          <w:sz w:val="32"/>
          <w:szCs w:val="32"/>
        </w:rPr>
        <w:t>，决算数等于预算数的主要原因是本年度无“三公”经费使用无财政拨款预算数，与上年相比一致。</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公务接待费支出预算为0万元，支出决算为0万元，由于预算数为0，无法计算百分比</w:t>
      </w:r>
      <w:r>
        <w:rPr>
          <w:rFonts w:hint="eastAsia" w:asciiTheme="minorEastAsia" w:hAnsiTheme="minorEastAsia" w:eastAsiaTheme="minorEastAsia"/>
          <w:sz w:val="32"/>
          <w:szCs w:val="32"/>
        </w:rPr>
        <w:t>，决算数大于（小于）预算数的主要原因是无“三公”经费使用无财政拨款预算数，与上年相比一致。</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公务用车购置费及运行维护费支出预算为0万元，支出决算为0万元，由于预算数为0，无法计算百分比</w:t>
      </w:r>
      <w:r>
        <w:rPr>
          <w:rFonts w:hint="eastAsia" w:asciiTheme="minorEastAsia" w:hAnsiTheme="minorEastAsia" w:eastAsiaTheme="minorEastAsia"/>
          <w:sz w:val="32"/>
          <w:szCs w:val="32"/>
        </w:rPr>
        <w:t>，无“三公”经费使用无财政拨款预算数本单位无公务用车，与上年相比一致。</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公务用车运行维护费支出预算为0万元，支出决算为0万元，由于预算数为0，无法计算百分比</w:t>
      </w:r>
      <w:r>
        <w:rPr>
          <w:rFonts w:hint="eastAsia" w:asciiTheme="minorEastAsia" w:hAnsiTheme="minorEastAsia" w:eastAsiaTheme="minorEastAsia"/>
          <w:sz w:val="32"/>
          <w:szCs w:val="32"/>
        </w:rPr>
        <w:t>，与上年相比一致。</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 本单位全年未产生因公出国（境）费支出。</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2、公务接待费支出决算为0万元，全年共接待来访团组0个、来宾0人次，本单位全年无公务接待支出。</w:t>
      </w:r>
    </w:p>
    <w:p>
      <w:pPr>
        <w:keepNext w:val="0"/>
        <w:keepLines w:val="0"/>
        <w:widowControl/>
        <w:suppressLineNumbers w:val="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3、公务用车购置费及运行维护费支出决算为0万元，其中：公务用车购置费0万元，本单位未购置公务用车</w:t>
      </w:r>
      <w:r>
        <w:rPr>
          <w:rFonts w:hint="eastAsia" w:asciiTheme="minorEastAsia" w:hAnsiTheme="minorEastAsia"/>
          <w:sz w:val="32"/>
          <w:szCs w:val="32"/>
          <w:lang w:eastAsia="zh-CN"/>
        </w:rPr>
        <w:t>，</w:t>
      </w:r>
      <w:r>
        <w:rPr>
          <w:rFonts w:hint="eastAsia" w:asciiTheme="minorEastAsia" w:hAnsiTheme="minorEastAsia"/>
          <w:sz w:val="32"/>
          <w:szCs w:val="32"/>
        </w:rPr>
        <w:t>更新公务用车0辆 。</w:t>
      </w:r>
      <w:r>
        <w:rPr>
          <w:rFonts w:hint="eastAsia" w:asciiTheme="minorEastAsia" w:hAnsiTheme="minorEastAsia"/>
          <w:sz w:val="32"/>
          <w:szCs w:val="32"/>
        </w:rPr>
        <w:t>公务用车运行维护费0万元，本单位无公务用车，截止2021年12月31日，我单位开支财政拨款的公务用车保有量为0辆。</w:t>
      </w:r>
    </w:p>
    <w:p>
      <w:pPr>
        <w:pStyle w:val="10"/>
        <w:rPr>
          <w:rFonts w:hAnsi="黑体"/>
          <w:b/>
          <w:sz w:val="32"/>
          <w:szCs w:val="32"/>
        </w:rPr>
      </w:pPr>
      <w:r>
        <w:rPr>
          <w:rFonts w:hint="eastAsia" w:hAnsi="黑体"/>
          <w:b/>
          <w:sz w:val="32"/>
          <w:szCs w:val="32"/>
        </w:rPr>
        <w:t>八、政府性基金预算收入支出决算情况</w:t>
      </w:r>
    </w:p>
    <w:p>
      <w:pPr>
        <w:pStyle w:val="1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2021年度本单位政府性基金预算财政拨款收入0万元；年初结转和结余0万元；支出0万元，其中基本支出0万元，项目支出0万元；年末结转和结余0万元。</w:t>
      </w:r>
    </w:p>
    <w:p>
      <w:pPr>
        <w:pStyle w:val="10"/>
        <w:rPr>
          <w:rFonts w:hAnsi="黑体"/>
          <w:b/>
          <w:sz w:val="32"/>
          <w:szCs w:val="32"/>
        </w:rPr>
      </w:pPr>
      <w:r>
        <w:rPr>
          <w:rFonts w:hint="eastAsia" w:hAnsi="黑体"/>
          <w:b/>
          <w:sz w:val="32"/>
          <w:szCs w:val="32"/>
        </w:rPr>
        <w:t>九、国有资本经营预算财政拨款支出情况</w:t>
      </w:r>
    </w:p>
    <w:p>
      <w:pPr>
        <w:pStyle w:val="10"/>
        <w:ind w:firstLine="640" w:firstLineChars="200"/>
        <w:rPr>
          <w:rFonts w:hAnsi="黑体"/>
          <w:b/>
          <w:sz w:val="32"/>
          <w:szCs w:val="32"/>
        </w:rPr>
      </w:pPr>
      <w:r>
        <w:rPr>
          <w:rFonts w:hint="eastAsia" w:asciiTheme="minorEastAsia" w:hAnsiTheme="minorEastAsia" w:eastAsiaTheme="minorEastAsia"/>
          <w:color w:val="auto"/>
          <w:sz w:val="32"/>
          <w:szCs w:val="32"/>
        </w:rPr>
        <w:t>202</w:t>
      </w:r>
      <w:r>
        <w:rPr>
          <w:rFonts w:hint="eastAsia" w:asciiTheme="minorEastAsia" w:hAnsiTheme="minorEastAsia" w:eastAsiaTheme="minorEastAsia"/>
          <w:color w:val="auto"/>
          <w:sz w:val="32"/>
          <w:szCs w:val="32"/>
          <w:lang w:val="en-US" w:eastAsia="zh-CN"/>
        </w:rPr>
        <w:t>1</w:t>
      </w:r>
      <w:r>
        <w:rPr>
          <w:rFonts w:hint="eastAsia" w:asciiTheme="minorEastAsia" w:hAnsiTheme="minorEastAsia" w:eastAsiaTheme="minorEastAsia"/>
          <w:color w:val="auto"/>
          <w:sz w:val="32"/>
          <w:szCs w:val="32"/>
        </w:rPr>
        <w:t>年度国有资本经营预算财政拨款收入</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万元；年初结转和结余</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万元，其中基本支出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万元，项目支出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万元；年末结转和结余</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w:t>
      </w:r>
      <w:r>
        <w:rPr>
          <w:rFonts w:hint="eastAsia" w:hAnsi="黑体"/>
          <w:b/>
          <w:sz w:val="32"/>
          <w:szCs w:val="32"/>
        </w:rPr>
        <w:t>十、机关运行经费支出说明</w:t>
      </w:r>
    </w:p>
    <w:p>
      <w:pPr>
        <w:pStyle w:val="10"/>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机关运行经费为保障行政单位（含参照公务员法管理的事业单位）运行用于购买货物和服务的各项资金，本单位为财政补助事业单位，无机关运行经费，本单位公用经费为68.47万元，同比增加42.13万元，原因是提高了教师的公用经费标准由原来的1100元每人提高到3700每人以及往年账款进行了结账。</w:t>
      </w:r>
    </w:p>
    <w:p>
      <w:pPr>
        <w:pStyle w:val="10"/>
        <w:rPr>
          <w:rFonts w:hAnsi="黑体"/>
          <w:b/>
          <w:sz w:val="32"/>
          <w:szCs w:val="32"/>
        </w:rPr>
      </w:pPr>
      <w:r>
        <w:rPr>
          <w:rFonts w:hint="eastAsia" w:hAnsi="黑体"/>
          <w:b/>
          <w:sz w:val="32"/>
          <w:szCs w:val="32"/>
        </w:rPr>
        <w:t>十一、一般性支出情况说明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2021年本部门开支会议费0万元，用于召开0会议，人数0人，开支培训费0万元，用于开展培训，人数0人，未举办节庆、晚会、论坛、赛事活动，开支0万元。</w:t>
      </w:r>
    </w:p>
    <w:p>
      <w:pPr>
        <w:pStyle w:val="10"/>
        <w:rPr>
          <w:rFonts w:hAnsi="黑体"/>
          <w:b/>
          <w:sz w:val="32"/>
          <w:szCs w:val="32"/>
        </w:rPr>
      </w:pPr>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 万元、政府采购工程支出0 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0"/>
        <w:rPr>
          <w:rFonts w:hAnsi="黑体"/>
          <w:b/>
          <w:sz w:val="32"/>
          <w:szCs w:val="32"/>
        </w:rPr>
      </w:pPr>
      <w:r>
        <w:rPr>
          <w:rFonts w:hint="eastAsia" w:hAnsi="黑体"/>
          <w:b/>
          <w:sz w:val="32"/>
          <w:szCs w:val="32"/>
        </w:rPr>
        <w:t>十三、国有资产占用情况说明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其他用车无；单位价值50万元以上通用设备0台（套）；单位价值100万元以上专用设备0台（套）。</w:t>
      </w:r>
    </w:p>
    <w:p>
      <w:pPr>
        <w:pStyle w:val="10"/>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年度一般公共预算项目支出全面开展绩效自评，其中，一级项目1个，二级项目1个，共涉及资金86.12</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年度等0</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年度等0</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个国有资本经营预算项目支出开展绩效自评，共涉及资金0</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spacing w:line="700" w:lineRule="exact"/>
        <w:ind w:firstLine="640" w:firstLineChars="200"/>
        <w:rPr>
          <w:rFonts w:ascii="Calibri" w:hAnsi="Calibri" w:eastAsia="仿宋_GB2312" w:cs="Times New Roman"/>
          <w:sz w:val="30"/>
          <w:szCs w:val="30"/>
        </w:rPr>
      </w:pPr>
      <w:r>
        <w:rPr>
          <w:rFonts w:hint="eastAsia" w:cs="黑体" w:asciiTheme="minorEastAsia" w:hAnsiTheme="minorEastAsia"/>
          <w:color w:val="000000"/>
          <w:kern w:val="0"/>
          <w:sz w:val="32"/>
          <w:szCs w:val="32"/>
        </w:rPr>
        <w:t>组织对“</w:t>
      </w:r>
      <w:r>
        <w:rPr>
          <w:rFonts w:hint="eastAsia" w:ascii="宋体" w:hAnsi="宋体" w:eastAsia="宋体" w:cs="Times New Roman"/>
          <w:sz w:val="32"/>
          <w:szCs w:val="32"/>
        </w:rPr>
        <w:t>农村学校营养午餐</w:t>
      </w:r>
      <w:r>
        <w:rPr>
          <w:rFonts w:hint="eastAsia" w:cs="黑体" w:asciiTheme="minorEastAsia" w:hAnsiTheme="minorEastAsia"/>
          <w:color w:val="000000"/>
          <w:kern w:val="0"/>
          <w:sz w:val="32"/>
          <w:szCs w:val="32"/>
        </w:rPr>
        <w:t>”“人才津贴”等2个项目开展了部门评价，涉及一般公共预算支出86.12</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万元，政府性基金预算支出0</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万元，国有资本经营预算支出0万元。从评价情况来看，</w:t>
      </w:r>
      <w:r>
        <w:rPr>
          <w:rFonts w:hint="eastAsia" w:ascii="宋体" w:hAnsi="宋体" w:eastAsia="宋体" w:cs="Times New Roman"/>
          <w:sz w:val="32"/>
          <w:szCs w:val="32"/>
        </w:rPr>
        <w:t>绩效评价为95分，自我评价为合格。以后高度重视绩效评价工作，由专人负责；按照评价要求和项目特点，科学制定评价方法和指标；按照“三重一大”的要求做到各部门层层把关，相互监督</w:t>
      </w:r>
      <w:r>
        <w:rPr>
          <w:rFonts w:hint="eastAsia" w:ascii="Calibri" w:hAnsi="Calibri" w:eastAsia="仿宋_GB2312" w:cs="Times New Roman"/>
          <w:sz w:val="30"/>
          <w:szCs w:val="30"/>
        </w:rPr>
        <w:t>。</w:t>
      </w:r>
    </w:p>
    <w:p>
      <w:pPr>
        <w:ind w:firstLine="640" w:firstLineChars="200"/>
        <w:rPr>
          <w:rFonts w:asciiTheme="minorEastAsia" w:hAnsiTheme="minorEastAsia"/>
          <w:sz w:val="32"/>
          <w:szCs w:val="32"/>
        </w:rPr>
      </w:pPr>
      <w:r>
        <w:rPr>
          <w:rFonts w:hint="eastAsia" w:cs="黑体" w:asciiTheme="minorEastAsia" w:hAnsiTheme="minorEastAsia"/>
          <w:color w:val="000000"/>
          <w:kern w:val="0"/>
          <w:sz w:val="32"/>
          <w:szCs w:val="32"/>
        </w:rPr>
        <w:t>组织对“怀化市公园路小学”等1个单位开展整体支出绩效评价，涉及一般公共预算支出86.12万元，政府性基金预算支出0</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万元。从评价情况来看，</w:t>
      </w:r>
      <w:r>
        <w:rPr>
          <w:rFonts w:hint="eastAsia" w:ascii="宋体" w:hAnsi="宋体" w:eastAsia="宋体" w:cs="Times New Roman"/>
          <w:sz w:val="32"/>
          <w:szCs w:val="32"/>
        </w:rPr>
        <w:t>2021年，</w:t>
      </w:r>
      <w:r>
        <w:rPr>
          <w:rFonts w:hint="eastAsia" w:asciiTheme="minorEastAsia" w:hAnsiTheme="minorEastAsia"/>
          <w:sz w:val="32"/>
          <w:szCs w:val="32"/>
        </w:rPr>
        <w:t>怀化市</w:t>
      </w:r>
      <w:r>
        <w:rPr>
          <w:rFonts w:hint="eastAsia" w:ascii="宋体" w:hAnsi="宋体" w:eastAsia="宋体" w:cs="Times New Roman"/>
          <w:sz w:val="32"/>
          <w:szCs w:val="32"/>
        </w:rPr>
        <w:t>公园路小学按照“”四本预算”，确立支出绩效目标，资金到位及时，使用规范的前提下，使用过程公开透明，确保了学校营养午餐的正常开支，学生家长较为满意整体支出绩效较好。</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ascii="宋体" w:hAnsi="宋体" w:eastAsia="宋体" w:cs="Times New Roman"/>
          <w:sz w:val="32"/>
          <w:szCs w:val="32"/>
        </w:rPr>
        <w:t>农村学校营养午餐</w:t>
      </w:r>
      <w:r>
        <w:rPr>
          <w:rFonts w:hint="eastAsia" w:cs="黑体" w:asciiTheme="minorEastAsia" w:hAnsiTheme="minorEastAsia"/>
          <w:color w:val="000000"/>
          <w:kern w:val="0"/>
          <w:sz w:val="32"/>
          <w:szCs w:val="32"/>
        </w:rPr>
        <w:t>项目绩效自评综述：根据年初设定的绩效目标，项目绩效自评得分为94分。项目全年预算数为76.6765</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万元，执行数为76.6765万元，完成预算的100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w:t>
      </w:r>
      <w:r>
        <w:rPr>
          <w:rFonts w:hint="eastAsia" w:ascii="宋体" w:hAnsi="宋体" w:eastAsia="宋体" w:cs="Times New Roman"/>
          <w:sz w:val="32"/>
          <w:szCs w:val="32"/>
        </w:rPr>
        <w:t>严格控制资金使用保证质量与资金落实</w:t>
      </w:r>
      <w:r>
        <w:rPr>
          <w:rFonts w:hint="eastAsia" w:cs="黑体" w:asciiTheme="minorEastAsia" w:hAnsiTheme="minorEastAsia"/>
          <w:color w:val="000000"/>
          <w:kern w:val="0"/>
          <w:sz w:val="32"/>
          <w:szCs w:val="32"/>
        </w:rPr>
        <w:t>；二是</w:t>
      </w:r>
      <w:r>
        <w:rPr>
          <w:rFonts w:hint="eastAsia" w:ascii="宋体" w:hAnsi="宋体" w:eastAsia="宋体" w:cs="Times New Roman"/>
          <w:sz w:val="32"/>
          <w:szCs w:val="32"/>
        </w:rPr>
        <w:t>提高学生饮食质量安全无事故责任</w:t>
      </w:r>
      <w:r>
        <w:rPr>
          <w:rFonts w:hint="eastAsia" w:cs="黑体" w:asciiTheme="minorEastAsia" w:hAnsiTheme="minorEastAsia"/>
          <w:color w:val="000000"/>
          <w:kern w:val="0"/>
          <w:sz w:val="32"/>
          <w:szCs w:val="32"/>
        </w:rPr>
        <w:t>。发现的主要问题及原因：</w:t>
      </w:r>
      <w:r>
        <w:rPr>
          <w:rFonts w:hint="eastAsia" w:ascii="宋体" w:hAnsi="宋体" w:eastAsia="宋体" w:cs="仿宋_GB2312"/>
          <w:sz w:val="32"/>
          <w:szCs w:val="32"/>
        </w:rPr>
        <w:t>对绩效评价工作的认识和专业程度还有待加强</w:t>
      </w:r>
      <w:r>
        <w:rPr>
          <w:rFonts w:hint="eastAsia" w:cs="黑体" w:asciiTheme="minorEastAsia" w:hAnsiTheme="minorEastAsia"/>
          <w:color w:val="000000"/>
          <w:kern w:val="0"/>
          <w:sz w:val="32"/>
          <w:szCs w:val="32"/>
        </w:rPr>
        <w:t>。下一步改进措施：一是</w:t>
      </w:r>
      <w:r>
        <w:rPr>
          <w:rFonts w:hint="eastAsia" w:ascii="宋体" w:hAnsi="宋体" w:eastAsia="宋体" w:cs="仿宋_GB2312"/>
          <w:sz w:val="32"/>
          <w:szCs w:val="32"/>
        </w:rPr>
        <w:t>严格遵循把</w:t>
      </w:r>
      <w:r>
        <w:rPr>
          <w:rFonts w:hint="eastAsia" w:cs="仿宋_GB2312" w:asciiTheme="minorEastAsia" w:hAnsiTheme="minorEastAsia"/>
          <w:sz w:val="32"/>
          <w:szCs w:val="32"/>
        </w:rPr>
        <w:t>控</w:t>
      </w:r>
      <w:r>
        <w:rPr>
          <w:rFonts w:hint="eastAsia" w:ascii="宋体" w:hAnsi="宋体" w:eastAsia="宋体" w:cs="仿宋_GB2312"/>
          <w:sz w:val="32"/>
          <w:szCs w:val="32"/>
        </w:rPr>
        <w:t>财政资金使用</w:t>
      </w:r>
      <w:r>
        <w:rPr>
          <w:rFonts w:hint="eastAsia" w:cs="黑体" w:asciiTheme="minorEastAsia" w:hAnsiTheme="minorEastAsia"/>
          <w:color w:val="000000"/>
          <w:kern w:val="0"/>
          <w:sz w:val="32"/>
          <w:szCs w:val="32"/>
        </w:rPr>
        <w:t>；二是</w:t>
      </w:r>
      <w:r>
        <w:rPr>
          <w:rFonts w:hint="eastAsia" w:ascii="宋体" w:hAnsi="宋体" w:eastAsia="宋体" w:cs="仿宋_GB2312"/>
          <w:sz w:val="32"/>
          <w:szCs w:val="32"/>
        </w:rPr>
        <w:t>严格</w:t>
      </w:r>
      <w:r>
        <w:rPr>
          <w:rFonts w:hint="eastAsia" w:cs="仿宋_GB2312" w:asciiTheme="minorEastAsia" w:hAnsiTheme="minorEastAsia"/>
          <w:sz w:val="32"/>
          <w:szCs w:val="32"/>
        </w:rPr>
        <w:t>落实不断提高专业水平</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spacing w:line="560" w:lineRule="exact"/>
        <w:ind w:firstLine="640" w:firstLineChars="200"/>
        <w:rPr>
          <w:rFonts w:ascii="宋体" w:hAnsi="宋体" w:eastAsia="宋体" w:cs="Times New Roman"/>
          <w:sz w:val="32"/>
          <w:szCs w:val="32"/>
        </w:rPr>
      </w:pPr>
      <w:r>
        <w:rPr>
          <w:rFonts w:hint="eastAsia" w:ascii="宋体" w:hAnsi="宋体" w:eastAsia="宋体" w:cs="Times New Roman"/>
          <w:sz w:val="32"/>
          <w:szCs w:val="32"/>
        </w:rPr>
        <w:t>2021年怀化市公园路小学实际操作申报的项目共2个，分别为：学生营养午餐、人才津贴</w:t>
      </w:r>
      <w:r>
        <w:rPr>
          <w:rFonts w:hint="eastAsia" w:asciiTheme="minorEastAsia" w:hAnsiTheme="minorEastAsia"/>
          <w:sz w:val="32"/>
          <w:szCs w:val="32"/>
        </w:rPr>
        <w:t>并已单独在绩效评价中公开</w:t>
      </w:r>
      <w:r>
        <w:rPr>
          <w:rFonts w:hint="eastAsia" w:ascii="宋体" w:hAnsi="宋体" w:eastAsia="宋体" w:cs="Times New Roman"/>
          <w:sz w:val="32"/>
          <w:szCs w:val="32"/>
        </w:rPr>
        <w:t>。</w:t>
      </w:r>
    </w:p>
    <w:p>
      <w:pPr>
        <w:spacing w:line="700" w:lineRule="exact"/>
        <w:ind w:firstLine="640" w:firstLineChars="200"/>
        <w:rPr>
          <w:rFonts w:ascii="宋体" w:hAnsi="宋体" w:eastAsia="宋体" w:cs="Times New Roman"/>
          <w:sz w:val="32"/>
          <w:szCs w:val="32"/>
        </w:rPr>
      </w:pPr>
      <w:r>
        <w:rPr>
          <w:rFonts w:hint="eastAsia" w:ascii="宋体" w:hAnsi="宋体" w:eastAsia="宋体" w:cs="Times New Roman"/>
          <w:sz w:val="32"/>
          <w:szCs w:val="32"/>
        </w:rPr>
        <w:t>2021年 怀化市公园路小学严格按照上级指示完成了预算与支出，保证了学校的正常工作开展，确保了学生的农村学校营养午餐工作有序的进行。自我评价94分。自我评价为合格。</w:t>
      </w:r>
    </w:p>
    <w:p>
      <w:pPr>
        <w:pStyle w:val="10"/>
        <w:jc w:val="center"/>
        <w:rPr>
          <w:sz w:val="32"/>
          <w:szCs w:val="3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keepNext w:val="0"/>
        <w:keepLines w:val="0"/>
        <w:pageBreakBefore w:val="0"/>
        <w:widowControl/>
        <w:kinsoku/>
        <w:wordWrap/>
        <w:overflowPunct/>
        <w:topLinePunct w:val="0"/>
        <w:bidi w:val="0"/>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bidi w:val="0"/>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bidi w:val="0"/>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bidi w:val="0"/>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bidi w:val="0"/>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bidi w:val="0"/>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bidi w:val="0"/>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bidi w:val="0"/>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bidi w:val="0"/>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bidi w:val="0"/>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bidi w:val="0"/>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bidi w:val="0"/>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bidi w:val="0"/>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0"/>
        <w:keepNext w:val="0"/>
        <w:keepLines w:val="0"/>
        <w:pageBreakBefore w:val="0"/>
        <w:kinsoku/>
        <w:wordWrap/>
        <w:overflowPunct/>
        <w:topLinePunct w:val="0"/>
        <w:bidi w:val="0"/>
        <w:snapToGrid/>
        <w:ind w:firstLine="1440" w:firstLineChars="200"/>
        <w:jc w:val="center"/>
        <w:textAlignment w:val="auto"/>
        <w:rPr>
          <w:sz w:val="72"/>
          <w:szCs w:val="72"/>
        </w:rPr>
      </w:pPr>
    </w:p>
    <w:p>
      <w:pPr>
        <w:pStyle w:val="10"/>
        <w:keepNext w:val="0"/>
        <w:keepLines w:val="0"/>
        <w:pageBreakBefore w:val="0"/>
        <w:kinsoku/>
        <w:wordWrap/>
        <w:overflowPunct/>
        <w:topLinePunct w:val="0"/>
        <w:bidi w:val="0"/>
        <w:snapToGrid/>
        <w:ind w:firstLine="1440" w:firstLineChars="200"/>
        <w:jc w:val="center"/>
        <w:textAlignment w:val="auto"/>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pStyle w:val="10"/>
        <w:rPr>
          <w:rFonts w:hint="eastAsia" w:hAnsi="黑体"/>
          <w:b/>
          <w:sz w:val="32"/>
          <w:szCs w:val="32"/>
        </w:rPr>
      </w:pPr>
      <w:r>
        <w:rPr>
          <w:rFonts w:hint="eastAsia" w:hAnsi="黑体"/>
          <w:b/>
          <w:sz w:val="32"/>
          <w:szCs w:val="32"/>
        </w:rPr>
        <w:t>一、部门、单位基本情况</w:t>
      </w:r>
    </w:p>
    <w:p>
      <w:pPr>
        <w:pStyle w:val="11"/>
        <w:widowControl/>
        <w:spacing w:line="600" w:lineRule="exact"/>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怀化市鹤城区公园路小学成立于1978年，共设立7个办公室：校长室</w:t>
      </w:r>
      <w:r>
        <w:rPr>
          <w:rFonts w:hint="eastAsia" w:ascii="宋体" w:hAnsi="宋体" w:cs="黑体"/>
          <w:color w:val="000000"/>
          <w:kern w:val="0"/>
          <w:sz w:val="32"/>
          <w:szCs w:val="32"/>
          <w:lang w:val="en-US" w:eastAsia="zh-CN" w:bidi="ar-SA"/>
        </w:rPr>
        <w:t>、</w:t>
      </w:r>
      <w:r>
        <w:rPr>
          <w:rFonts w:hint="eastAsia" w:ascii="宋体" w:hAnsi="宋体" w:cs="黑体" w:eastAsiaTheme="minorEastAsia"/>
          <w:color w:val="000000"/>
          <w:kern w:val="0"/>
          <w:sz w:val="32"/>
          <w:szCs w:val="32"/>
          <w:lang w:val="en-US" w:eastAsia="zh-CN" w:bidi="ar-SA"/>
        </w:rPr>
        <w:t>党支部</w:t>
      </w:r>
      <w:r>
        <w:rPr>
          <w:rFonts w:hint="eastAsia" w:ascii="宋体" w:hAnsi="宋体" w:cs="黑体"/>
          <w:color w:val="000000"/>
          <w:kern w:val="0"/>
          <w:sz w:val="32"/>
          <w:szCs w:val="32"/>
          <w:lang w:val="en-US" w:eastAsia="zh-CN" w:bidi="ar-SA"/>
        </w:rPr>
        <w:t>、</w:t>
      </w:r>
      <w:r>
        <w:rPr>
          <w:rFonts w:hint="eastAsia" w:ascii="宋体" w:hAnsi="宋体" w:cs="黑体" w:eastAsiaTheme="minorEastAsia"/>
          <w:color w:val="000000"/>
          <w:kern w:val="0"/>
          <w:sz w:val="32"/>
          <w:szCs w:val="32"/>
          <w:lang w:val="en-US" w:eastAsia="zh-CN" w:bidi="ar-SA"/>
        </w:rPr>
        <w:t>办公室</w:t>
      </w:r>
      <w:r>
        <w:rPr>
          <w:rFonts w:hint="eastAsia" w:ascii="宋体" w:hAnsi="宋体" w:cs="黑体"/>
          <w:color w:val="000000"/>
          <w:kern w:val="0"/>
          <w:sz w:val="32"/>
          <w:szCs w:val="32"/>
          <w:lang w:val="en-US" w:eastAsia="zh-CN" w:bidi="ar-SA"/>
        </w:rPr>
        <w:t>、</w:t>
      </w:r>
      <w:r>
        <w:rPr>
          <w:rFonts w:hint="eastAsia" w:ascii="宋体" w:hAnsi="宋体" w:cs="黑体" w:eastAsiaTheme="minorEastAsia"/>
          <w:color w:val="000000"/>
          <w:kern w:val="0"/>
          <w:sz w:val="32"/>
          <w:szCs w:val="32"/>
          <w:lang w:val="en-US" w:eastAsia="zh-CN" w:bidi="ar-SA"/>
        </w:rPr>
        <w:t>教导处</w:t>
      </w:r>
      <w:r>
        <w:rPr>
          <w:rFonts w:hint="eastAsia" w:ascii="宋体" w:hAnsi="宋体" w:cs="黑体"/>
          <w:color w:val="000000"/>
          <w:kern w:val="0"/>
          <w:sz w:val="32"/>
          <w:szCs w:val="32"/>
          <w:lang w:val="en-US" w:eastAsia="zh-CN" w:bidi="ar-SA"/>
        </w:rPr>
        <w:t>、</w:t>
      </w:r>
      <w:r>
        <w:rPr>
          <w:rFonts w:hint="eastAsia" w:ascii="宋体" w:hAnsi="宋体" w:cs="黑体" w:eastAsiaTheme="minorEastAsia"/>
          <w:color w:val="000000"/>
          <w:kern w:val="0"/>
          <w:sz w:val="32"/>
          <w:szCs w:val="32"/>
          <w:lang w:val="en-US" w:eastAsia="zh-CN" w:bidi="ar-SA"/>
        </w:rPr>
        <w:t>财务室</w:t>
      </w:r>
      <w:r>
        <w:rPr>
          <w:rFonts w:hint="eastAsia" w:ascii="宋体" w:hAnsi="宋体" w:cs="黑体"/>
          <w:color w:val="000000"/>
          <w:kern w:val="0"/>
          <w:sz w:val="32"/>
          <w:szCs w:val="32"/>
          <w:lang w:val="en-US" w:eastAsia="zh-CN" w:bidi="ar-SA"/>
        </w:rPr>
        <w:t>、</w:t>
      </w:r>
      <w:r>
        <w:rPr>
          <w:rFonts w:hint="eastAsia" w:ascii="宋体" w:hAnsi="宋体" w:cs="黑体" w:eastAsiaTheme="minorEastAsia"/>
          <w:color w:val="000000"/>
          <w:kern w:val="0"/>
          <w:sz w:val="32"/>
          <w:szCs w:val="32"/>
          <w:lang w:val="en-US" w:eastAsia="zh-CN" w:bidi="ar-SA"/>
        </w:rPr>
        <w:t>教研室</w:t>
      </w:r>
      <w:r>
        <w:rPr>
          <w:rFonts w:hint="eastAsia" w:ascii="宋体" w:hAnsi="宋体" w:cs="黑体"/>
          <w:color w:val="000000"/>
          <w:kern w:val="0"/>
          <w:sz w:val="32"/>
          <w:szCs w:val="32"/>
          <w:lang w:val="en-US" w:eastAsia="zh-CN" w:bidi="ar-SA"/>
        </w:rPr>
        <w:t>、</w:t>
      </w:r>
      <w:r>
        <w:rPr>
          <w:rFonts w:hint="eastAsia" w:ascii="宋体" w:hAnsi="宋体" w:cs="黑体" w:eastAsiaTheme="minorEastAsia"/>
          <w:color w:val="000000"/>
          <w:kern w:val="0"/>
          <w:sz w:val="32"/>
          <w:szCs w:val="32"/>
          <w:lang w:val="en-US" w:eastAsia="zh-CN" w:bidi="ar-SA"/>
        </w:rPr>
        <w:t>总务室。承担了小学教育事务。</w:t>
      </w:r>
    </w:p>
    <w:p>
      <w:pPr>
        <w:pStyle w:val="11"/>
        <w:widowControl/>
        <w:spacing w:line="600" w:lineRule="exact"/>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部门基本概况：2021年部门预算编报范围包括一个机构。单位有编制数35，在编35人，领导班子成员11人，共有干部职工69人，其中在职35人（自收自支0人）、离退休34人。一个党支部，共有党员12人。</w:t>
      </w:r>
    </w:p>
    <w:p>
      <w:pPr>
        <w:pStyle w:val="10"/>
        <w:rPr>
          <w:rFonts w:hint="eastAsia" w:hAnsi="黑体"/>
          <w:b/>
          <w:sz w:val="32"/>
          <w:szCs w:val="32"/>
        </w:rPr>
      </w:pPr>
      <w:r>
        <w:rPr>
          <w:rFonts w:hint="eastAsia" w:hAnsi="黑体"/>
          <w:b/>
          <w:sz w:val="32"/>
          <w:szCs w:val="32"/>
        </w:rPr>
        <w:t>二、一般公共预算支出情况</w:t>
      </w:r>
    </w:p>
    <w:p>
      <w:pPr>
        <w:pStyle w:val="10"/>
        <w:ind w:firstLine="640" w:firstLineChars="200"/>
        <w:rPr>
          <w:rFonts w:hint="eastAsia" w:asciiTheme="minorEastAsia" w:hAnsiTheme="minorEastAsia" w:eastAsiaTheme="minorEastAsia"/>
          <w:b/>
          <w:sz w:val="32"/>
          <w:szCs w:val="32"/>
        </w:rPr>
      </w:pPr>
      <w:r>
        <w:rPr>
          <w:rFonts w:hint="eastAsia" w:asciiTheme="minorEastAsia" w:hAnsiTheme="minorEastAsia" w:eastAsiaTheme="minorEastAsia"/>
          <w:b/>
          <w:sz w:val="32"/>
          <w:szCs w:val="32"/>
        </w:rPr>
        <w:t>（一）基本支出情况</w:t>
      </w:r>
    </w:p>
    <w:p>
      <w:pPr>
        <w:pStyle w:val="11"/>
        <w:widowControl/>
        <w:spacing w:line="600" w:lineRule="exact"/>
        <w:ind w:left="0" w:leftChars="0"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1.收入预算：2021年总收入660.94万元，其中一般公共预算财政拨款收入617.14万元。</w:t>
      </w:r>
    </w:p>
    <w:p>
      <w:pPr>
        <w:pStyle w:val="11"/>
        <w:widowControl/>
        <w:spacing w:line="600" w:lineRule="exact"/>
        <w:ind w:left="0" w:leftChars="0"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2.支出预算：2021年总支出660.94万元，其中基本支出530.03万元。（其中人员经费462.56万元，公用经费支出68.47万元。）</w:t>
      </w:r>
    </w:p>
    <w:p>
      <w:pPr>
        <w:pStyle w:val="11"/>
        <w:widowControl/>
        <w:spacing w:line="600" w:lineRule="exact"/>
        <w:ind w:left="0" w:leftChars="0"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3.“三公经费”增减情况：本年度三公经费支出额为0万元，其中，因公出国（境）费0元，公务用车购置及运行维护费0元，公务接待费0万元，根据中央八项规定及《党政机关厉行节约反对浪费条例》规定，较上年度减少0万元。</w:t>
      </w:r>
    </w:p>
    <w:p>
      <w:pPr>
        <w:pStyle w:val="11"/>
        <w:widowControl/>
        <w:spacing w:line="600" w:lineRule="exact"/>
        <w:ind w:left="0" w:leftChars="0" w:firstLine="640" w:firstLineChars="200"/>
        <w:rPr>
          <w:rFonts w:ascii="Times New Roman" w:hAnsi="Times New Roman" w:eastAsia="仿宋_GB2312"/>
          <w:sz w:val="32"/>
          <w:szCs w:val="32"/>
        </w:rPr>
      </w:pPr>
      <w:r>
        <w:rPr>
          <w:rFonts w:hint="eastAsia" w:ascii="宋体" w:hAnsi="宋体" w:cs="黑体" w:eastAsiaTheme="minorEastAsia"/>
          <w:color w:val="000000"/>
          <w:kern w:val="0"/>
          <w:sz w:val="32"/>
          <w:szCs w:val="32"/>
          <w:lang w:val="en-US" w:eastAsia="zh-CN" w:bidi="ar-SA"/>
        </w:rPr>
        <w:t>4.政府采购执行情况：2021年度政府采购预算为0万元。</w:t>
      </w:r>
    </w:p>
    <w:p>
      <w:pPr>
        <w:pStyle w:val="10"/>
        <w:ind w:firstLine="640" w:firstLineChars="200"/>
        <w:rPr>
          <w:rFonts w:hint="eastAsia" w:asciiTheme="minorEastAsia" w:hAnsiTheme="minorEastAsia" w:eastAsiaTheme="minorEastAsia"/>
          <w:b/>
          <w:sz w:val="32"/>
          <w:szCs w:val="32"/>
        </w:rPr>
      </w:pPr>
      <w:r>
        <w:rPr>
          <w:rFonts w:hint="eastAsia" w:asciiTheme="minorEastAsia" w:hAnsiTheme="minorEastAsia" w:eastAsiaTheme="minorEastAsia"/>
          <w:b/>
          <w:sz w:val="32"/>
          <w:szCs w:val="32"/>
        </w:rPr>
        <w:t>（二）项目支出情况</w:t>
      </w:r>
    </w:p>
    <w:p>
      <w:pPr>
        <w:pStyle w:val="11"/>
        <w:widowControl/>
        <w:spacing w:line="600" w:lineRule="exact"/>
        <w:ind w:left="0" w:leftChars="0"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1.项目安排情况：怀化市公园路小学2021年度专项资金安排为农村学校营养午餐专项资金，人才津贴：年初预算数为127.98万元。</w:t>
      </w:r>
    </w:p>
    <w:p>
      <w:pPr>
        <w:pStyle w:val="11"/>
        <w:widowControl/>
        <w:spacing w:line="600" w:lineRule="exact"/>
        <w:ind w:left="0" w:leftChars="0"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2.项目支出使用情况：怀化市公园路小学2021年度年初预算专项经费127.98万元，年底决算86.21.万元（其中使用项目为营养午餐，人才津贴）。较年初预算减少41.77万元。</w:t>
      </w:r>
    </w:p>
    <w:p>
      <w:pPr>
        <w:pStyle w:val="10"/>
        <w:rPr>
          <w:rFonts w:hint="eastAsia" w:hAnsi="黑体"/>
          <w:b/>
          <w:sz w:val="32"/>
          <w:szCs w:val="32"/>
        </w:rPr>
      </w:pPr>
      <w:r>
        <w:rPr>
          <w:rFonts w:hint="eastAsia" w:hAnsi="黑体"/>
          <w:b/>
          <w:sz w:val="32"/>
          <w:szCs w:val="32"/>
        </w:rPr>
        <w:t>三、政府性基金预算支出情况</w:t>
      </w:r>
    </w:p>
    <w:p>
      <w:pPr>
        <w:pStyle w:val="11"/>
        <w:widowControl/>
        <w:spacing w:line="600" w:lineRule="exact"/>
        <w:ind w:left="0" w:leftChars="0" w:firstLine="640" w:firstLineChars="200"/>
        <w:rPr>
          <w:rFonts w:hint="eastAsia" w:ascii="宋体" w:hAnsi="宋体" w:cs="黑体" w:eastAsiaTheme="minorEastAsia"/>
          <w:color w:val="000000"/>
          <w:kern w:val="0"/>
          <w:sz w:val="32"/>
          <w:szCs w:val="32"/>
          <w:lang w:val="en-US" w:eastAsia="zh-CN" w:bidi="ar-SA"/>
        </w:rPr>
      </w:pPr>
      <w:r>
        <w:rPr>
          <w:rFonts w:hint="eastAsia" w:asciiTheme="minorEastAsia" w:hAnsiTheme="minorEastAsia" w:eastAsiaTheme="minorEastAsia"/>
          <w:sz w:val="32"/>
          <w:szCs w:val="32"/>
        </w:rPr>
        <w:t>2021年度本单位政府性基金预算财政拨款收入0万元；年初结转和结余0万元；支出0万元，其中基本支出0万元，项目支出0万元；年末结转和结余0万元。</w:t>
      </w:r>
    </w:p>
    <w:p>
      <w:pPr>
        <w:pStyle w:val="10"/>
        <w:rPr>
          <w:rFonts w:hint="eastAsia" w:hAnsi="黑体"/>
          <w:b/>
          <w:sz w:val="32"/>
          <w:szCs w:val="32"/>
        </w:rPr>
      </w:pPr>
      <w:r>
        <w:rPr>
          <w:rFonts w:hint="eastAsia" w:hAnsi="黑体"/>
          <w:b/>
          <w:sz w:val="32"/>
          <w:szCs w:val="32"/>
        </w:rPr>
        <w:t>四、国有资本经营预算支出情况</w:t>
      </w:r>
    </w:p>
    <w:p>
      <w:pPr>
        <w:pStyle w:val="11"/>
        <w:widowControl/>
        <w:spacing w:line="600" w:lineRule="exact"/>
        <w:ind w:left="0" w:leftChars="0" w:firstLine="640" w:firstLineChars="200"/>
        <w:rPr>
          <w:rFonts w:hint="eastAsia" w:ascii="宋体" w:hAnsi="宋体" w:cs="黑体" w:eastAsiaTheme="minorEastAsia"/>
          <w:color w:val="000000"/>
          <w:kern w:val="0"/>
          <w:sz w:val="32"/>
          <w:szCs w:val="32"/>
          <w:lang w:val="en-US" w:eastAsia="zh-CN" w:bidi="ar-SA"/>
        </w:rPr>
      </w:pPr>
      <w:r>
        <w:rPr>
          <w:rFonts w:hint="eastAsia" w:asciiTheme="minorEastAsia" w:hAnsiTheme="minorEastAsia" w:eastAsiaTheme="minorEastAsia"/>
          <w:color w:val="auto"/>
          <w:sz w:val="32"/>
          <w:szCs w:val="32"/>
        </w:rPr>
        <w:t>202</w:t>
      </w:r>
      <w:r>
        <w:rPr>
          <w:rFonts w:hint="eastAsia" w:asciiTheme="minorEastAsia" w:hAnsiTheme="minorEastAsia" w:eastAsiaTheme="minorEastAsia"/>
          <w:color w:val="auto"/>
          <w:sz w:val="32"/>
          <w:szCs w:val="32"/>
          <w:lang w:val="en-US" w:eastAsia="zh-CN"/>
        </w:rPr>
        <w:t>1</w:t>
      </w:r>
      <w:r>
        <w:rPr>
          <w:rFonts w:hint="eastAsia" w:asciiTheme="minorEastAsia" w:hAnsiTheme="minorEastAsia" w:eastAsiaTheme="minorEastAsia"/>
          <w:color w:val="auto"/>
          <w:sz w:val="32"/>
          <w:szCs w:val="32"/>
        </w:rPr>
        <w:t>年度国有资本经营预算财政拨款收入</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万元；年初结转和结余</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万元，其中基本支出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万元，项目支出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万元；年末结转和结余</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w:t>
      </w:r>
    </w:p>
    <w:p>
      <w:pPr>
        <w:pStyle w:val="10"/>
        <w:rPr>
          <w:rFonts w:hint="eastAsia" w:hAnsi="黑体"/>
          <w:b/>
          <w:sz w:val="32"/>
          <w:szCs w:val="32"/>
        </w:rPr>
      </w:pPr>
      <w:r>
        <w:rPr>
          <w:rFonts w:hint="eastAsia" w:hAnsi="黑体"/>
          <w:b/>
          <w:sz w:val="32"/>
          <w:szCs w:val="32"/>
        </w:rPr>
        <w:t>五、社会保险基金预算支出情况</w:t>
      </w:r>
      <w:bookmarkStart w:id="0" w:name="_GoBack"/>
      <w:bookmarkEnd w:id="0"/>
    </w:p>
    <w:p>
      <w:pPr>
        <w:pStyle w:val="11"/>
        <w:widowControl/>
        <w:spacing w:line="600" w:lineRule="exact"/>
        <w:ind w:left="0" w:leftChars="0"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本单位2021年无社会保险基金预算支出。</w:t>
      </w:r>
    </w:p>
    <w:p>
      <w:pPr>
        <w:pStyle w:val="10"/>
        <w:rPr>
          <w:rFonts w:hint="eastAsia" w:hAnsi="黑体"/>
          <w:b/>
          <w:sz w:val="32"/>
          <w:szCs w:val="32"/>
        </w:rPr>
      </w:pPr>
      <w:r>
        <w:rPr>
          <w:rFonts w:hint="eastAsia" w:hAnsi="黑体"/>
          <w:b/>
          <w:sz w:val="32"/>
          <w:szCs w:val="32"/>
        </w:rPr>
        <w:t>六、部门整体支出绩效情况</w:t>
      </w:r>
    </w:p>
    <w:p>
      <w:pPr>
        <w:pStyle w:val="11"/>
        <w:widowControl/>
        <w:spacing w:line="600" w:lineRule="exact"/>
        <w:ind w:left="0" w:leftChars="0"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2021年，公园路小学按照“”四本预算”，确立支出绩效目标，资金到位及时，使用规范的前提下，使用过程公开透明，确保了学校营养午餐的正常开支，学生家长较为满意整体支出绩效较好。</w:t>
      </w:r>
    </w:p>
    <w:p>
      <w:pPr>
        <w:pStyle w:val="10"/>
        <w:rPr>
          <w:rFonts w:hint="eastAsia" w:hAnsi="黑体"/>
          <w:b/>
          <w:sz w:val="32"/>
          <w:szCs w:val="32"/>
        </w:rPr>
      </w:pPr>
      <w:r>
        <w:rPr>
          <w:rFonts w:hint="eastAsia" w:hAnsi="黑体"/>
          <w:b/>
          <w:sz w:val="32"/>
          <w:szCs w:val="32"/>
        </w:rPr>
        <w:t>七、存在的问题及原因分析</w:t>
      </w:r>
    </w:p>
    <w:p>
      <w:pPr>
        <w:pStyle w:val="11"/>
        <w:widowControl/>
        <w:spacing w:line="600" w:lineRule="exact"/>
        <w:ind w:left="0" w:leftChars="0"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存在的问题及原因分析：2021年财务工作在“科学、规范、精细”方面离上级要求还存在一定差距，预算编制的科学性、预算执行进度、信息化建设、绩效管理等方面还还存在着不合理性，使得工作有时没有完全符合上级部门的精神，步伐没有及时跟进。</w:t>
      </w:r>
    </w:p>
    <w:p>
      <w:pPr>
        <w:pStyle w:val="10"/>
        <w:rPr>
          <w:rFonts w:hint="eastAsia" w:hAnsi="黑体"/>
          <w:b/>
          <w:sz w:val="32"/>
          <w:szCs w:val="32"/>
        </w:rPr>
      </w:pPr>
      <w:r>
        <w:rPr>
          <w:rFonts w:hint="eastAsia" w:hAnsi="黑体"/>
          <w:b/>
          <w:sz w:val="32"/>
          <w:szCs w:val="32"/>
        </w:rPr>
        <w:t>八、下一步改进措施</w:t>
      </w:r>
    </w:p>
    <w:p>
      <w:pPr>
        <w:widowControl/>
        <w:spacing w:line="600" w:lineRule="exact"/>
        <w:ind w:left="315" w:leftChars="150" w:firstLine="480" w:firstLineChars="150"/>
        <w:jc w:val="left"/>
        <w:rPr>
          <w:rFonts w:hint="eastAsia" w:ascii="宋体" w:hAnsi="宋体" w:cs="黑体"/>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1. 我校在预算绩效管理方面离上级的要求还有一段差距，整体支出绩效报告也是在初步摸索的过程中编制的，需要不断地规范和完善。下一步，我校将科学合理编制预算，严格执行预算</w:t>
      </w:r>
      <w:r>
        <w:rPr>
          <w:rFonts w:hint="eastAsia" w:ascii="宋体" w:hAnsi="宋体" w:cs="黑体"/>
          <w:color w:val="000000"/>
          <w:kern w:val="0"/>
          <w:sz w:val="32"/>
          <w:szCs w:val="32"/>
          <w:lang w:val="en-US" w:eastAsia="zh-CN" w:bidi="ar-SA"/>
        </w:rPr>
        <w:t>。</w:t>
      </w:r>
    </w:p>
    <w:p>
      <w:pPr>
        <w:widowControl/>
        <w:spacing w:line="600" w:lineRule="exact"/>
        <w:ind w:left="315" w:leftChars="150" w:firstLine="480" w:firstLineChars="150"/>
        <w:jc w:val="left"/>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2、完善绩效评价体系，加强监督检查和考核工作。</w:t>
      </w:r>
    </w:p>
    <w:p>
      <w:pPr>
        <w:pStyle w:val="10"/>
        <w:rPr>
          <w:rFonts w:hint="eastAsia" w:hAnsi="黑体"/>
          <w:b/>
          <w:sz w:val="32"/>
          <w:szCs w:val="32"/>
          <w:lang w:val="en-US" w:eastAsia="zh-CN"/>
        </w:rPr>
      </w:pPr>
      <w:r>
        <w:rPr>
          <w:rFonts w:hint="eastAsia" w:hAnsi="黑体"/>
          <w:b/>
          <w:sz w:val="32"/>
          <w:szCs w:val="32"/>
          <w:lang w:val="en-US" w:eastAsia="zh-CN"/>
        </w:rPr>
        <w:t>九、其他需要说明的情况</w:t>
      </w:r>
    </w:p>
    <w:p>
      <w:pPr>
        <w:widowControl/>
        <w:spacing w:line="600" w:lineRule="exact"/>
        <w:ind w:firstLine="640" w:firstLineChars="200"/>
        <w:jc w:val="left"/>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无其他需要说明的情况。</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I2NGRiYmQwOWZkOTg4MzMxMDkzZDc2NzhhOTYzNjMifQ=="/>
  </w:docVars>
  <w:rsids>
    <w:rsidRoot w:val="004506F9"/>
    <w:rsid w:val="0002229B"/>
    <w:rsid w:val="000273BD"/>
    <w:rsid w:val="000415B7"/>
    <w:rsid w:val="00041E3F"/>
    <w:rsid w:val="00055DAA"/>
    <w:rsid w:val="00061F7B"/>
    <w:rsid w:val="000658A3"/>
    <w:rsid w:val="00074155"/>
    <w:rsid w:val="00081AF1"/>
    <w:rsid w:val="000873EF"/>
    <w:rsid w:val="00090F54"/>
    <w:rsid w:val="000A3F69"/>
    <w:rsid w:val="000D69F6"/>
    <w:rsid w:val="00103957"/>
    <w:rsid w:val="00103E10"/>
    <w:rsid w:val="00124A1F"/>
    <w:rsid w:val="00152C6D"/>
    <w:rsid w:val="00162D39"/>
    <w:rsid w:val="001678BD"/>
    <w:rsid w:val="00182373"/>
    <w:rsid w:val="00182B50"/>
    <w:rsid w:val="001A67DB"/>
    <w:rsid w:val="001A7E7C"/>
    <w:rsid w:val="001C3C29"/>
    <w:rsid w:val="001D51E5"/>
    <w:rsid w:val="001E080D"/>
    <w:rsid w:val="001E53D0"/>
    <w:rsid w:val="001F0C3B"/>
    <w:rsid w:val="00202C14"/>
    <w:rsid w:val="00202C82"/>
    <w:rsid w:val="00214427"/>
    <w:rsid w:val="00220AF1"/>
    <w:rsid w:val="00226CB7"/>
    <w:rsid w:val="00254241"/>
    <w:rsid w:val="00264552"/>
    <w:rsid w:val="00264EF9"/>
    <w:rsid w:val="00265724"/>
    <w:rsid w:val="0027426B"/>
    <w:rsid w:val="002E0A30"/>
    <w:rsid w:val="002F53BB"/>
    <w:rsid w:val="003130C4"/>
    <w:rsid w:val="00316C4B"/>
    <w:rsid w:val="0032192B"/>
    <w:rsid w:val="00327823"/>
    <w:rsid w:val="00327FFA"/>
    <w:rsid w:val="003408EB"/>
    <w:rsid w:val="003479BD"/>
    <w:rsid w:val="00367F9C"/>
    <w:rsid w:val="0037197D"/>
    <w:rsid w:val="00371F95"/>
    <w:rsid w:val="003768D5"/>
    <w:rsid w:val="00384AD4"/>
    <w:rsid w:val="00393C37"/>
    <w:rsid w:val="003C4197"/>
    <w:rsid w:val="003C47E6"/>
    <w:rsid w:val="003C4FC2"/>
    <w:rsid w:val="003E2331"/>
    <w:rsid w:val="003F09E1"/>
    <w:rsid w:val="00416E61"/>
    <w:rsid w:val="0042790C"/>
    <w:rsid w:val="004506F9"/>
    <w:rsid w:val="00452E9A"/>
    <w:rsid w:val="004717A2"/>
    <w:rsid w:val="00473DF3"/>
    <w:rsid w:val="00487911"/>
    <w:rsid w:val="00491741"/>
    <w:rsid w:val="00497300"/>
    <w:rsid w:val="004B0CEE"/>
    <w:rsid w:val="004B69AD"/>
    <w:rsid w:val="004E0DDA"/>
    <w:rsid w:val="004E71CA"/>
    <w:rsid w:val="00500E5F"/>
    <w:rsid w:val="005122EF"/>
    <w:rsid w:val="0051441A"/>
    <w:rsid w:val="00517C33"/>
    <w:rsid w:val="00517D5F"/>
    <w:rsid w:val="00521AF2"/>
    <w:rsid w:val="00523644"/>
    <w:rsid w:val="0054069E"/>
    <w:rsid w:val="00544866"/>
    <w:rsid w:val="005767CC"/>
    <w:rsid w:val="00590D9F"/>
    <w:rsid w:val="00595D26"/>
    <w:rsid w:val="00596343"/>
    <w:rsid w:val="005A74E6"/>
    <w:rsid w:val="005B404E"/>
    <w:rsid w:val="005D4D55"/>
    <w:rsid w:val="005E2BCC"/>
    <w:rsid w:val="005E2CFB"/>
    <w:rsid w:val="005F2103"/>
    <w:rsid w:val="005F3D1C"/>
    <w:rsid w:val="0060317E"/>
    <w:rsid w:val="00611D0C"/>
    <w:rsid w:val="006128CD"/>
    <w:rsid w:val="0062378F"/>
    <w:rsid w:val="00641842"/>
    <w:rsid w:val="00651EEC"/>
    <w:rsid w:val="00683D5A"/>
    <w:rsid w:val="00686673"/>
    <w:rsid w:val="00691E8C"/>
    <w:rsid w:val="006A22C4"/>
    <w:rsid w:val="006A348B"/>
    <w:rsid w:val="006A351B"/>
    <w:rsid w:val="006B0422"/>
    <w:rsid w:val="006B0ECC"/>
    <w:rsid w:val="006C1B53"/>
    <w:rsid w:val="006D7730"/>
    <w:rsid w:val="006D7D5B"/>
    <w:rsid w:val="006E5284"/>
    <w:rsid w:val="006F3EB5"/>
    <w:rsid w:val="006F6E93"/>
    <w:rsid w:val="00702E34"/>
    <w:rsid w:val="00703928"/>
    <w:rsid w:val="00704395"/>
    <w:rsid w:val="00710FE7"/>
    <w:rsid w:val="00717621"/>
    <w:rsid w:val="00720FF1"/>
    <w:rsid w:val="00725530"/>
    <w:rsid w:val="00727A53"/>
    <w:rsid w:val="0076627B"/>
    <w:rsid w:val="00767FBF"/>
    <w:rsid w:val="00787B42"/>
    <w:rsid w:val="007C4539"/>
    <w:rsid w:val="007F3657"/>
    <w:rsid w:val="00812ED5"/>
    <w:rsid w:val="008277D9"/>
    <w:rsid w:val="0084478C"/>
    <w:rsid w:val="0086638C"/>
    <w:rsid w:val="00896B37"/>
    <w:rsid w:val="008A3E8D"/>
    <w:rsid w:val="008A5384"/>
    <w:rsid w:val="009237C4"/>
    <w:rsid w:val="00944C48"/>
    <w:rsid w:val="00950252"/>
    <w:rsid w:val="00967F5D"/>
    <w:rsid w:val="009A0F95"/>
    <w:rsid w:val="009B3ADF"/>
    <w:rsid w:val="009C3B52"/>
    <w:rsid w:val="009D1108"/>
    <w:rsid w:val="009E6817"/>
    <w:rsid w:val="009E6E9A"/>
    <w:rsid w:val="00A01D2B"/>
    <w:rsid w:val="00A21365"/>
    <w:rsid w:val="00A37EC9"/>
    <w:rsid w:val="00A42218"/>
    <w:rsid w:val="00A534D7"/>
    <w:rsid w:val="00A70249"/>
    <w:rsid w:val="00A70B02"/>
    <w:rsid w:val="00A71D9F"/>
    <w:rsid w:val="00A86BA5"/>
    <w:rsid w:val="00A92E9F"/>
    <w:rsid w:val="00AC2F28"/>
    <w:rsid w:val="00AE1B53"/>
    <w:rsid w:val="00AF0473"/>
    <w:rsid w:val="00B15FEC"/>
    <w:rsid w:val="00B33BEA"/>
    <w:rsid w:val="00B42C25"/>
    <w:rsid w:val="00B43F86"/>
    <w:rsid w:val="00B57C9F"/>
    <w:rsid w:val="00B63572"/>
    <w:rsid w:val="00B779F4"/>
    <w:rsid w:val="00B845B3"/>
    <w:rsid w:val="00B85D8B"/>
    <w:rsid w:val="00BB4A40"/>
    <w:rsid w:val="00BD6C3E"/>
    <w:rsid w:val="00BE3674"/>
    <w:rsid w:val="00BE4569"/>
    <w:rsid w:val="00C10681"/>
    <w:rsid w:val="00C3049A"/>
    <w:rsid w:val="00C31B1E"/>
    <w:rsid w:val="00C379B1"/>
    <w:rsid w:val="00C77645"/>
    <w:rsid w:val="00C93E9C"/>
    <w:rsid w:val="00CD0B86"/>
    <w:rsid w:val="00CE04C3"/>
    <w:rsid w:val="00CE76A0"/>
    <w:rsid w:val="00D148C6"/>
    <w:rsid w:val="00D1650A"/>
    <w:rsid w:val="00D17A8A"/>
    <w:rsid w:val="00D204AD"/>
    <w:rsid w:val="00D205B4"/>
    <w:rsid w:val="00D415BA"/>
    <w:rsid w:val="00D63780"/>
    <w:rsid w:val="00D644EE"/>
    <w:rsid w:val="00D75489"/>
    <w:rsid w:val="00DA6F8A"/>
    <w:rsid w:val="00DD06FF"/>
    <w:rsid w:val="00DD3A35"/>
    <w:rsid w:val="00DD5FE9"/>
    <w:rsid w:val="00E00C7A"/>
    <w:rsid w:val="00E209CF"/>
    <w:rsid w:val="00E364B4"/>
    <w:rsid w:val="00E37D6C"/>
    <w:rsid w:val="00E443D2"/>
    <w:rsid w:val="00E47838"/>
    <w:rsid w:val="00E55B68"/>
    <w:rsid w:val="00E67BE6"/>
    <w:rsid w:val="00E841D9"/>
    <w:rsid w:val="00E8683C"/>
    <w:rsid w:val="00EA2B72"/>
    <w:rsid w:val="00EC53EE"/>
    <w:rsid w:val="00F5568F"/>
    <w:rsid w:val="00F74360"/>
    <w:rsid w:val="00FB462F"/>
    <w:rsid w:val="00FE16FA"/>
    <w:rsid w:val="00FE328A"/>
    <w:rsid w:val="00FE6269"/>
    <w:rsid w:val="00FF5CD6"/>
    <w:rsid w:val="03604B36"/>
    <w:rsid w:val="22AA3280"/>
    <w:rsid w:val="33D744E4"/>
    <w:rsid w:val="398F7B29"/>
    <w:rsid w:val="3DFF671E"/>
    <w:rsid w:val="71997D14"/>
    <w:rsid w:val="78796ACE"/>
    <w:rsid w:val="7CCD536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uiPriority w:val="99"/>
    <w:pPr>
      <w:jc w:val="left"/>
    </w:pPr>
  </w:style>
  <w:style w:type="paragraph" w:styleId="3">
    <w:name w:val="Balloon Text"/>
    <w:basedOn w:val="1"/>
    <w:link w:val="12"/>
    <w:semiHidden/>
    <w:unhideWhenUsed/>
    <w:uiPriority w:val="99"/>
    <w:rPr>
      <w:sz w:val="18"/>
      <w:szCs w:val="18"/>
    </w:r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55456-EB80-4E9D-A4FC-896A11750BC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6046</Words>
  <Characters>6510</Characters>
  <Lines>47</Lines>
  <Paragraphs>13</Paragraphs>
  <TotalTime>0</TotalTime>
  <ScaleCrop>false</ScaleCrop>
  <LinksUpToDate>false</LinksUpToDate>
  <CharactersWithSpaces>6546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2022-09-09T04:36:00Z</dcterms:created>
  <dc:creator>李航 null</dc:creator>
  <cp:lastModifiedBy>yanyan小朋友 </cp:lastModifiedBy>
  <cp:lastPrinted>2022-07-27T12:55:00Z</cp:lastPrinted>
  <dcterms:modified xsi:type="dcterms:W3CDTF">2023-09-27T13:28:34Z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6D670350C924452D9D35D85AC8BD357D_12</vt:lpwstr>
  </property>
</Properties>
</file>