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rFonts w:hint="eastAsia"/>
          <w:sz w:val="84"/>
          <w:szCs w:val="84"/>
        </w:rPr>
      </w:pPr>
      <w:r>
        <w:rPr>
          <w:rFonts w:hint="eastAsia"/>
          <w:sz w:val="84"/>
          <w:szCs w:val="84"/>
        </w:rPr>
        <w:t>怀化市集贤学校</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第一部分怀化市集贤学校单位概况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rPr>
          <w:rFonts w:hint="eastAsia" w:ascii="黑体" w:hAnsi="黑体" w:eastAsia="黑体" w:cs="黑体"/>
          <w:b/>
          <w:color w:val="000000"/>
          <w:kern w:val="0"/>
          <w:sz w:val="28"/>
          <w:szCs w:val="28"/>
        </w:rPr>
      </w:pPr>
      <w:r>
        <w:rPr>
          <w:rFonts w:hint="eastAsia" w:ascii="黑体" w:hAnsi="黑体" w:eastAsia="黑体" w:cs="黑体"/>
          <w:b/>
          <w:color w:val="000000"/>
          <w:kern w:val="0"/>
          <w:sz w:val="28"/>
          <w:szCs w:val="28"/>
        </w:rPr>
        <w:br w:type="page"/>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rFonts w:hint="eastAsia"/>
          <w:sz w:val="84"/>
          <w:szCs w:val="84"/>
        </w:rPr>
      </w:pPr>
      <w:r>
        <w:rPr>
          <w:rFonts w:hint="eastAsia"/>
          <w:sz w:val="84"/>
          <w:szCs w:val="84"/>
        </w:rPr>
        <w:t>怀化市集贤学校</w:t>
      </w:r>
    </w:p>
    <w:p>
      <w:pPr>
        <w:pStyle w:val="10"/>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怀化市集贤学校是鹤城区全额拨款事业单位。</w:t>
      </w:r>
    </w:p>
    <w:p>
      <w:pPr>
        <w:ind w:firstLine="800" w:firstLineChars="250"/>
        <w:jc w:val="left"/>
        <w:rPr>
          <w:rFonts w:asciiTheme="minorEastAsia" w:hAnsiTheme="minorEastAsia"/>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（一）内设机构设置。</w:t>
      </w:r>
      <w:r>
        <w:rPr>
          <w:rFonts w:hint="eastAsia" w:cs="仿宋" w:asciiTheme="minorEastAsia" w:hAnsiTheme="minorEastAsia"/>
          <w:sz w:val="32"/>
          <w:szCs w:val="32"/>
        </w:rPr>
        <w:t>怀化市集贤学校内设机构包括：办公室、校长室、副校长室、书记室、教导处、教研室、总务处、工会、德育处。</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（二）决算单位构成。怀化市集贤学校</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21年部门决算汇总公开单位构成包括：怀化市集贤学校单位本级。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2021年度收入合计804.57万元，年初结转和结余29.62万元，收入总计834.19万元。与上年相比，减少44.41万元，减少5.5%，主要是因为2021年学校没食堂，故无伙食费收入。</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834.19万元。与上年相比，增加176.9万元，增长21.2%，主要是因为主要是因为学生与教师人数增加，教师工资上涨，以及相应的医疗保险、养老保险、失业保险、工伤保险、生育保险的缴费基数增加。</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2021年度收入合计804.57万元，其中：财政拨款收入687.98万元，占85.5%；上级补助收入0万元，占0%；事业收入0万元，占0%；经营收入0万元，占0%；附属单位上缴收入0万元，占0%；其他收入116.58万元，占14.5%。</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2021年度支出合计834.19万元，其中：基本支出784.43万元，占94%；项目支出49.76万元，占6%；上缴上级支出0万元，占0%；经营支出0万元，占0%；对附属单位补助支出0万元，占0%，年末结转29.62万元。</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687.98万元，年初结转和结余29.62万元，收入总计717.61万元。与上年相比，增加200.35万元，增长29.1%，主要是因为主要是因为学生与教师人数增加，教师工资上涨，以及相应的医疗保险、养老保险、失业保险、工伤保险、生育保险的缴费基数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717.61万元。与上年相比，增加259.6万元，增长36.2%，主要是因为主要是因为学生与教师人数增加，教师工资上涨，以及相应的医疗保险、养老保险、失业保险、工伤保险、生育保险的缴费基数增加。</w:t>
      </w:r>
    </w:p>
    <w:p>
      <w:pPr>
        <w:pStyle w:val="10"/>
        <w:ind w:firstLine="640" w:firstLineChars="20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717.61万元，占本年支出合计的86.02%，与上年相比，财政拨款支出增加259.6万元，增长36.2%，主要是因为学生与教师人数增加，教师工资上涨，以及相应的医疗保险、养老保险、失业保险、工伤保险、生育保险的缴费基数增加。</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2021年度财政拨款支出717.61万元，主要用于以下方面：一般公共服务支出0万元，占0%；普通教育支出717.61万元，占100%，其中小学教育支出667.85万元，占93%;其他普通教育支出49.76万元。</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652.97</w:t>
      </w:r>
      <w:r>
        <w:rPr>
          <w:rFonts w:hint="eastAsia" w:asciiTheme="minorEastAsia" w:hAnsiTheme="minorEastAsia" w:eastAsiaTheme="minorEastAsia"/>
          <w:sz w:val="32"/>
          <w:szCs w:val="32"/>
        </w:rPr>
        <w:t>万元，支出决算数为717.61万元，完成年初预算的110.89%，其中：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color w:val="000000" w:themeColor="text1"/>
          <w:sz w:val="32"/>
          <w:szCs w:val="32"/>
        </w:rPr>
        <w:t>教育支出（类）普通教育（款）小学教育（项）</w:t>
      </w:r>
      <w:r>
        <w:rPr>
          <w:rFonts w:hint="eastAsia" w:asciiTheme="minorEastAsia" w:hAnsiTheme="minorEastAsia" w:eastAsiaTheme="minorEastAsia"/>
          <w:sz w:val="32"/>
          <w:szCs w:val="32"/>
        </w:rPr>
        <w:t>。</w:t>
      </w:r>
    </w:p>
    <w:p>
      <w:pPr>
        <w:pStyle w:val="10"/>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sz w:val="32"/>
          <w:szCs w:val="32"/>
        </w:rPr>
        <w:t>年初预算为647.092万元，支出决算为717.61万元，完成年初预算的110.89%，决算数大于年初预算数的主要原因是：</w:t>
      </w:r>
      <w:r>
        <w:rPr>
          <w:rFonts w:hint="eastAsia" w:asciiTheme="minorEastAsia" w:hAnsiTheme="minorEastAsia" w:eastAsiaTheme="minorEastAsia"/>
          <w:color w:val="000000" w:themeColor="text1"/>
          <w:sz w:val="32"/>
          <w:szCs w:val="32"/>
        </w:rPr>
        <w:t>教师人数增加，工资总额增加。学生人数增加，公用经费增加。</w:t>
      </w:r>
    </w:p>
    <w:p>
      <w:pPr>
        <w:pStyle w:val="10"/>
        <w:numPr>
          <w:ilvl w:val="0"/>
          <w:numId w:val="2"/>
        </w:numPr>
        <w:ind w:firstLine="640" w:firstLineChars="200"/>
        <w:rPr>
          <w:rFonts w:hint="eastAsia"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lang w:val="en-US" w:eastAsia="zh-CN"/>
        </w:rPr>
        <w:t>教育支出（类）普通教育（款）其他普通教育支出（项）。</w:t>
      </w:r>
    </w:p>
    <w:p>
      <w:pPr>
        <w:pStyle w:val="10"/>
        <w:numPr>
          <w:ilvl w:val="0"/>
          <w:numId w:val="0"/>
        </w:numPr>
        <w:ind w:firstLine="640" w:firstLineChars="200"/>
        <w:rPr>
          <w:rFonts w:hint="eastAsia"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lang w:val="en-US" w:eastAsia="zh-CN"/>
        </w:rPr>
        <w:t>年初预算为</w:t>
      </w:r>
      <w:r>
        <w:rPr>
          <w:rFonts w:hint="eastAsia" w:asciiTheme="minorEastAsia" w:hAnsiTheme="minorEastAsia" w:eastAsiaTheme="minorEastAsia"/>
          <w:b w:val="0"/>
          <w:bCs w:val="0"/>
          <w:color w:val="000000" w:themeColor="text1"/>
          <w:sz w:val="32"/>
          <w:szCs w:val="32"/>
          <w:lang w:val="en-US" w:eastAsia="zh-CN"/>
        </w:rPr>
        <w:t>5.88</w:t>
      </w:r>
      <w:r>
        <w:rPr>
          <w:rFonts w:hint="eastAsia" w:asciiTheme="minorEastAsia" w:hAnsiTheme="minorEastAsia" w:eastAsiaTheme="minorEastAsia"/>
          <w:color w:val="000000" w:themeColor="text1"/>
          <w:sz w:val="32"/>
          <w:szCs w:val="32"/>
          <w:lang w:val="en-US" w:eastAsia="zh-CN"/>
        </w:rPr>
        <w:t>万元，支出决算为49.76万元，完成年初预算的846.26%，决算数大于年初预算数的主要原因是：教师人数增加，工资总额增加。学生人数增加，公用经费增加。</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667.85万元，其中：人员经费564.55万元，占基本支出的84.5%,主要包括基本工资、津贴补贴、奖金、绩效工资、机关事业单位基本养老保险、职工基本医疗保险缴费、其他工资福利支出、对个人和家庭的补助、生活补助、其他对个人和家庭的补助、助学金；公用经费103.29万元，占基本支出的15.5%，主要包括主要包括办公费、印刷费、水费、电费、维修费、租赁费、劳务费、工会经费、其他商品和服务支出、办公设备购置。</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0"/>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公务用车运行维护费支出预算为0万元，支出决算为0万元，由于预算数为0，无法计算百分比，决算数等于预算数的主要原因是未购置公务用车，与上年相比相同。</w:t>
      </w:r>
    </w:p>
    <w:p>
      <w:pPr>
        <w:pStyle w:val="10"/>
        <w:rPr>
          <w:rFonts w:asciiTheme="minorEastAsia" w:hAnsiTheme="minorEastAsia" w:eastAsiaTheme="minorEastAsia"/>
          <w:b/>
          <w:sz w:val="32"/>
          <w:szCs w:val="32"/>
        </w:rPr>
      </w:pPr>
      <w:bookmarkStart w:id="0" w:name="_GoBack"/>
      <w:bookmarkEnd w:id="0"/>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2021年度“三公”经费财政拨款支出决算中，公务接待费支出决算0万元，占0%,因公出国（境）费支出0万元，占0%,公务用车购置费及运行维护费支出决算0万元，占0%。其中：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1、因公出国（境）费支出决算为0万元，全年安排因公出国（境）团组0个，累计0人次，本单位无因公出国。</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r>
        <w:rPr>
          <w:rFonts w:hint="eastAsia" w:asciiTheme="minorEastAsia" w:hAnsiTheme="minorEastAsia" w:eastAsiaTheme="minorEastAsia"/>
          <w:color w:val="000000" w:themeColor="text1"/>
          <w:sz w:val="32"/>
          <w:szCs w:val="32"/>
        </w:rPr>
        <w:t>本单位例行节约，零招待费</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3、公务用车购置费及运行维护费支出决算为0万元，其中：公务用车购置费0万元。公务用车运行维护费0万元，更新公务用车0辆</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2021年度政府性基金预算财政拨款收入0万元；年初结转和结余0万元；支出0万元，其中基本支出0万元，项目支出0万元；年末结转和结余0万元。本单位无政府性基金收支。</w:t>
      </w:r>
    </w:p>
    <w:p>
      <w:pPr>
        <w:pStyle w:val="10"/>
        <w:rPr>
          <w:rFonts w:hAnsi="黑体"/>
          <w:b/>
          <w:sz w:val="32"/>
          <w:szCs w:val="32"/>
        </w:rPr>
      </w:pPr>
      <w:r>
        <w:rPr>
          <w:rFonts w:hint="eastAsia" w:hAnsi="黑体"/>
          <w:b/>
          <w:sz w:val="32"/>
          <w:szCs w:val="32"/>
        </w:rPr>
        <w:t>九、国有资本经营预算财政拨款支出情况</w:t>
      </w:r>
    </w:p>
    <w:p>
      <w:pPr>
        <w:ind w:firstLine="640" w:firstLineChars="200"/>
        <w:rPr>
          <w:rFonts w:asciiTheme="minorEastAsia" w:hAnsiTheme="minorEastAsia"/>
          <w:i/>
          <w:color w:val="FF0000"/>
          <w:sz w:val="32"/>
          <w:szCs w:val="32"/>
        </w:rPr>
      </w:pPr>
      <w:r>
        <w:rPr>
          <w:rFonts w:hint="eastAsia" w:asciiTheme="minorEastAsia" w:hAnsiTheme="minorEastAsia"/>
          <w:sz w:val="32"/>
          <w:szCs w:val="32"/>
        </w:rPr>
        <w:t>2021年度国有资本经营预算财政拨款收入0万元；支出0万元，其中基本支出0万元，项目支出0万元。</w:t>
      </w:r>
      <w:r>
        <w:rPr>
          <w:rFonts w:hint="eastAsia" w:cs="黑体" w:asciiTheme="minorEastAsia" w:hAnsiTheme="minorEastAsia"/>
          <w:color w:val="000000"/>
          <w:kern w:val="0"/>
          <w:sz w:val="32"/>
          <w:szCs w:val="32"/>
        </w:rPr>
        <w:t>本单位无国有资本经营预算财政拨款支出。</w:t>
      </w:r>
    </w:p>
    <w:p>
      <w:pPr>
        <w:pStyle w:val="10"/>
        <w:rPr>
          <w:rFonts w:hAnsi="黑体"/>
          <w:b/>
          <w:sz w:val="32"/>
          <w:szCs w:val="32"/>
        </w:rPr>
      </w:pPr>
      <w:r>
        <w:rPr>
          <w:rFonts w:hint="eastAsia" w:hAnsi="黑体"/>
          <w:b/>
          <w:sz w:val="32"/>
          <w:szCs w:val="32"/>
        </w:rPr>
        <w:t>十、机关运行经费支出说明</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本部门2021年度机关运行经费支出0万元，</w:t>
      </w:r>
      <w:r>
        <w:rPr>
          <w:rFonts w:hint="eastAsia" w:cs="黑体" w:asciiTheme="minorEastAsia" w:hAnsiTheme="minorEastAsia"/>
          <w:color w:val="000000"/>
          <w:kern w:val="0"/>
          <w:sz w:val="32"/>
          <w:szCs w:val="32"/>
        </w:rPr>
        <w:t>由于本单位为事业单位，没有机关运行经费。</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2021年本部门开支办公费12.44万元；培训费2.54万元，用于外出教育教学专门培训</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印刷费5.14万元；水费8.64万元；电费18.57万元；邮电费：1.92万元；维修（护）费4.67万元；物业管理费1.27万；租赁费0.71万元；会议费0.12万元；劳务费7.35万元；工会经费29.3万元，其他商品和服务支出8.34万元，用于维持教育教学工作运行。</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其他用车无；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本部门预算绩效管理开展情况、绩效目标和绩效评价报告等附后。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年度一般公共预算项目支出全面开展绩效自评，其中，一级项目1个，二级项目0个，共涉及资金79.97万元，占一般公共预算项目支出总额的100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widowControl w:val="0"/>
        <w:autoSpaceDE w:val="0"/>
        <w:autoSpaceDN w:val="0"/>
        <w:adjustRightInd w:val="0"/>
        <w:ind w:firstLine="640" w:firstLineChars="200"/>
        <w:rPr>
          <w:rFonts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2021年怀化市集贤学校严格按照上级指示完成预算与支出，保证了学校工作的正常开展：确保各项决策部署得到有效落实并且产生良好的社会效应，也取得了发展的可持续性和长效性。</w:t>
      </w:r>
    </w:p>
    <w:p>
      <w:pPr>
        <w:pStyle w:val="10"/>
        <w:ind w:firstLine="640" w:firstLineChars="200"/>
        <w:rPr>
          <w:rFonts w:hint="eastAsia" w:asciiTheme="minorEastAsia" w:hAnsiTheme="minorEastAsia" w:eastAsiaTheme="minorEastAsia"/>
          <w:sz w:val="32"/>
          <w:szCs w:val="32"/>
        </w:rPr>
      </w:pPr>
    </w:p>
    <w:p>
      <w:pPr>
        <w:pStyle w:val="10"/>
        <w:rPr>
          <w:rFonts w:hAnsi="黑体"/>
          <w:b/>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center"/>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1、怀化市集贤学校是全额拨款的事业单位。怀化市集贤学校内设机构包括： 办公室、校长室、副校长室、书记室、教导处、教研室、总务处、工会、德育处。</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2、主要工作职责：全面贯彻党的教育方针，落实九年义务教育各项政策，保障学生受教育的各项权利，维护教师职工各项权益。</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3、编制人员情况:现实有在职人员48人（其中全额拨款67人，自收自支0人），离退休人员0人(其中财政拨款0人，自收自支0人），遗属人员0人。</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基本支出：2021年年初预算数为862.12万元，是指为保障单位机构正常运转、完成日常工作任务而发生的各项支出，包括用于基本工资、津贴补贴等人员经费以及办公费、印刷费、水电费、物业管理费等日常公用经费。</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sz w:val="32"/>
          <w:szCs w:val="32"/>
        </w:rPr>
      </w:pPr>
      <w:r>
        <w:rPr>
          <w:rFonts w:hint="eastAsia" w:ascii="宋体" w:hAnsi="宋体" w:cs="黑体"/>
          <w:color w:val="000000"/>
          <w:kern w:val="0"/>
          <w:sz w:val="32"/>
          <w:szCs w:val="32"/>
        </w:rPr>
        <w:t>项目支出：2021年年初调整预算数为79.9</w:t>
      </w:r>
      <w:r>
        <w:rPr>
          <w:rFonts w:hint="eastAsia" w:ascii="宋体" w:hAnsi="宋体" w:cs="黑体"/>
          <w:color w:val="000000"/>
          <w:kern w:val="0"/>
          <w:sz w:val="32"/>
          <w:szCs w:val="32"/>
          <w:lang w:val="en-US" w:eastAsia="zh-CN"/>
        </w:rPr>
        <w:t>7</w:t>
      </w:r>
      <w:r>
        <w:rPr>
          <w:rFonts w:hint="eastAsia" w:ascii="宋体" w:hAnsi="宋体" w:cs="黑体"/>
          <w:color w:val="000000"/>
          <w:kern w:val="0"/>
          <w:sz w:val="32"/>
          <w:szCs w:val="32"/>
        </w:rPr>
        <w:t>万元，是指单位为完成特定行政工作任务或事业发展目标而发生的支出，包括有产业发展引导类0万元、专项业务费用类0万元、基本建设类0万元、对个人和家庭补助类79.9</w:t>
      </w:r>
      <w:r>
        <w:rPr>
          <w:rFonts w:hint="eastAsia" w:ascii="宋体" w:hAnsi="宋体" w:cs="黑体"/>
          <w:color w:val="000000"/>
          <w:kern w:val="0"/>
          <w:sz w:val="32"/>
          <w:szCs w:val="32"/>
          <w:lang w:val="en-US" w:eastAsia="zh-CN"/>
        </w:rPr>
        <w:t>7</w:t>
      </w:r>
      <w:r>
        <w:rPr>
          <w:rFonts w:hint="eastAsia" w:ascii="宋体" w:hAnsi="宋体" w:cs="黑体"/>
          <w:color w:val="000000"/>
          <w:kern w:val="0"/>
          <w:sz w:val="32"/>
          <w:szCs w:val="32"/>
        </w:rPr>
        <w:t>万元。</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widowControl/>
        <w:spacing w:line="500" w:lineRule="auto"/>
        <w:ind w:firstLine="640" w:firstLineChars="200"/>
        <w:jc w:val="left"/>
        <w:rPr>
          <w:rFonts w:eastAsia="仿宋_GB2312"/>
          <w:sz w:val="32"/>
          <w:szCs w:val="32"/>
        </w:rPr>
      </w:pPr>
      <w:r>
        <w:rPr>
          <w:rFonts w:hint="eastAsia" w:ascii="宋体" w:hAnsi="宋体" w:cs="黑体"/>
          <w:color w:val="000000"/>
          <w:kern w:val="0"/>
          <w:sz w:val="32"/>
          <w:szCs w:val="32"/>
        </w:rPr>
        <w:t>2021年政府性基金支出为0万元，2021年无政府性基金支出。</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widowControl/>
        <w:spacing w:line="500" w:lineRule="auto"/>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1.截至2020年12月31日，本部门无车辆，无50万元以上的专用设备。</w:t>
      </w:r>
    </w:p>
    <w:p>
      <w:pPr>
        <w:widowControl/>
        <w:spacing w:line="500" w:lineRule="auto"/>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2.截至2021年，本部门无新增车辆，无新增50万元以上的通用设备和专用设备。</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500" w:lineRule="auto"/>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2021年社会保险基金预算支出为0万元，2021年无社会保险基金支出。</w:t>
      </w:r>
    </w:p>
    <w:p>
      <w:pPr>
        <w:widowControl/>
        <w:spacing w:line="500" w:lineRule="auto"/>
        <w:ind w:firstLine="640" w:firstLineChars="200"/>
        <w:jc w:val="left"/>
        <w:rPr>
          <w:rFonts w:ascii="Times New Roman" w:hAnsi="Times New Roman" w:eastAsia="黑体"/>
          <w:sz w:val="32"/>
          <w:szCs w:val="32"/>
        </w:rPr>
      </w:pPr>
      <w:r>
        <w:rPr>
          <w:rFonts w:eastAsia="黑体"/>
          <w:sz w:val="32"/>
          <w:szCs w:val="32"/>
        </w:rPr>
        <w:t>六、</w:t>
      </w:r>
      <w:r>
        <w:rPr>
          <w:rFonts w:ascii="Times New Roman" w:hAnsi="Times New Roman" w:eastAsia="黑体"/>
          <w:sz w:val="32"/>
          <w:szCs w:val="32"/>
        </w:rPr>
        <w:t>存在的问题及原因分析</w:t>
      </w:r>
    </w:p>
    <w:p>
      <w:pPr>
        <w:widowControl/>
        <w:spacing w:line="500" w:lineRule="auto"/>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本年度绩效目标未存在偏离，但在执行过程中还存在下列问题：</w:t>
      </w:r>
    </w:p>
    <w:p>
      <w:pPr>
        <w:widowControl/>
        <w:spacing w:line="500" w:lineRule="auto"/>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1、学校财务人员身兼数职，专业知识水平低，对绩效目标部分概念模糊。</w:t>
      </w:r>
    </w:p>
    <w:p>
      <w:pPr>
        <w:widowControl/>
        <w:spacing w:line="500" w:lineRule="auto"/>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2、绩效目标的设定需要各个部门分解汇总，全员参与，相互协调，学校对绩效评价还未建立全员参与的意识，部分绩效目标无法量化。</w:t>
      </w:r>
    </w:p>
    <w:p>
      <w:pPr>
        <w:widowControl/>
        <w:spacing w:line="600" w:lineRule="exact"/>
        <w:ind w:firstLine="640" w:firstLineChars="200"/>
        <w:jc w:val="left"/>
        <w:rPr>
          <w:rFonts w:eastAsia="黑体"/>
          <w:sz w:val="32"/>
          <w:szCs w:val="32"/>
        </w:rPr>
      </w:pPr>
      <w:r>
        <w:rPr>
          <w:rFonts w:hint="eastAsia" w:eastAsia="黑体"/>
          <w:sz w:val="32"/>
          <w:szCs w:val="32"/>
        </w:rPr>
        <w:t>七</w:t>
      </w:r>
      <w:r>
        <w:rPr>
          <w:rFonts w:eastAsia="黑体"/>
          <w:sz w:val="32"/>
          <w:szCs w:val="32"/>
        </w:rPr>
        <w:t>、下一步改进措施</w:t>
      </w:r>
    </w:p>
    <w:p>
      <w:pPr>
        <w:widowControl/>
        <w:spacing w:line="500" w:lineRule="auto"/>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1、注重提高财务人员自身业务能力水平，加强思想和业务培训。</w:t>
      </w:r>
    </w:p>
    <w:p>
      <w:pPr>
        <w:widowControl/>
        <w:spacing w:line="500" w:lineRule="auto"/>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2、进一步提高绩效目标评价意识和方法，细化财务管理。</w:t>
      </w:r>
    </w:p>
    <w:p>
      <w:pPr>
        <w:widowControl/>
        <w:spacing w:line="600" w:lineRule="exact"/>
        <w:ind w:firstLine="645"/>
        <w:jc w:val="left"/>
        <w:rPr>
          <w:rFonts w:eastAsia="黑体"/>
          <w:sz w:val="32"/>
          <w:szCs w:val="32"/>
        </w:rPr>
      </w:pPr>
      <w:r>
        <w:rPr>
          <w:rFonts w:hint="eastAsia" w:eastAsia="黑体"/>
          <w:sz w:val="32"/>
          <w:szCs w:val="32"/>
        </w:rPr>
        <w:t>八</w:t>
      </w:r>
      <w:r>
        <w:rPr>
          <w:rFonts w:eastAsia="黑体"/>
          <w:sz w:val="32"/>
          <w:szCs w:val="32"/>
        </w:rPr>
        <w:t>、其他需要说明的情况</w:t>
      </w:r>
    </w:p>
    <w:p>
      <w:pPr>
        <w:widowControl/>
        <w:spacing w:line="500" w:lineRule="auto"/>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无</w:t>
      </w:r>
    </w:p>
    <w:p>
      <w:pPr>
        <w:widowControl/>
        <w:spacing w:line="500" w:lineRule="auto"/>
        <w:ind w:firstLine="640" w:firstLineChars="200"/>
        <w:jc w:val="left"/>
        <w:rPr>
          <w:rFonts w:hint="eastAsia" w:ascii="宋体" w:hAnsi="宋体" w:cs="黑体"/>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CE199B"/>
    <w:multiLevelType w:val="singleLevel"/>
    <w:tmpl w:val="F9CE199B"/>
    <w:lvl w:ilvl="0" w:tentative="0">
      <w:start w:val="2"/>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299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E6748"/>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6D48"/>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1A24905"/>
    <w:rsid w:val="0248245E"/>
    <w:rsid w:val="073A1ACF"/>
    <w:rsid w:val="0AF82EE0"/>
    <w:rsid w:val="10F577A1"/>
    <w:rsid w:val="15BB46D9"/>
    <w:rsid w:val="169B6298"/>
    <w:rsid w:val="184B3802"/>
    <w:rsid w:val="19505FFB"/>
    <w:rsid w:val="1DD3625E"/>
    <w:rsid w:val="28511B61"/>
    <w:rsid w:val="2D907036"/>
    <w:rsid w:val="31B64987"/>
    <w:rsid w:val="377D0861"/>
    <w:rsid w:val="38663CB3"/>
    <w:rsid w:val="39C20E86"/>
    <w:rsid w:val="3A567BA2"/>
    <w:rsid w:val="3C6C779A"/>
    <w:rsid w:val="3D620AD7"/>
    <w:rsid w:val="3F1C4537"/>
    <w:rsid w:val="40BA4F0C"/>
    <w:rsid w:val="41AF0B6D"/>
    <w:rsid w:val="429F402B"/>
    <w:rsid w:val="49083CCB"/>
    <w:rsid w:val="4E3F6927"/>
    <w:rsid w:val="524C62AC"/>
    <w:rsid w:val="531A7FF0"/>
    <w:rsid w:val="53AE2D36"/>
    <w:rsid w:val="54810705"/>
    <w:rsid w:val="5B26204D"/>
    <w:rsid w:val="5BB71157"/>
    <w:rsid w:val="5D942587"/>
    <w:rsid w:val="5EF33755"/>
    <w:rsid w:val="5F5A55FF"/>
    <w:rsid w:val="5F7D6C67"/>
    <w:rsid w:val="5FD24529"/>
    <w:rsid w:val="615E5583"/>
    <w:rsid w:val="63D142B4"/>
    <w:rsid w:val="67621412"/>
    <w:rsid w:val="67E9098E"/>
    <w:rsid w:val="6A1B4537"/>
    <w:rsid w:val="73463C9D"/>
    <w:rsid w:val="75DD32F2"/>
    <w:rsid w:val="775B051B"/>
    <w:rsid w:val="7B9D117B"/>
    <w:rsid w:val="7CB749C7"/>
    <w:rsid w:val="7D1F26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5393</Words>
  <Characters>5840</Characters>
  <Lines>39</Lines>
  <Paragraphs>11</Paragraphs>
  <TotalTime>0</TotalTime>
  <ScaleCrop>false</ScaleCrop>
  <LinksUpToDate>false</LinksUpToDate>
  <CharactersWithSpaces>5858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2023-09-27T18:48:09Z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5D5AF3B9095E47F990043AA8955DEE34</vt:lpwstr>
  </property>
</Properties>
</file>