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怀化市鹤城区黄岩学校部门决算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spacing w:line="540" w:lineRule="exact"/>
        <w:jc w:val="center"/>
        <w:rPr>
          <w:sz w:val="56"/>
          <w:szCs w:val="56"/>
        </w:rPr>
      </w:pPr>
    </w:p>
    <w:p>
      <w:pPr>
        <w:pStyle w:val="11"/>
        <w:spacing w:line="520" w:lineRule="exact"/>
        <w:jc w:val="center"/>
        <w:rPr>
          <w:sz w:val="56"/>
          <w:szCs w:val="56"/>
        </w:rPr>
      </w:pPr>
      <w:r>
        <w:rPr>
          <w:rFonts w:hint="eastAsia"/>
          <w:sz w:val="56"/>
          <w:szCs w:val="56"/>
        </w:rPr>
        <w:t>目录</w:t>
      </w:r>
    </w:p>
    <w:p>
      <w:pPr>
        <w:pStyle w:val="11"/>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怀化市</w:t>
      </w:r>
      <w:r>
        <w:rPr>
          <w:rFonts w:hint="eastAsia"/>
          <w:b/>
          <w:sz w:val="28"/>
          <w:szCs w:val="28"/>
        </w:rPr>
        <w:t>鹤城区黄岩学校</w:t>
      </w:r>
      <w:r>
        <w:rPr>
          <w:rFonts w:hint="eastAsia"/>
          <w:b/>
          <w:sz w:val="28"/>
          <w:szCs w:val="28"/>
          <w:lang w:val="en-US" w:eastAsia="zh-CN"/>
        </w:rPr>
        <w:t>单位</w:t>
      </w:r>
      <w:r>
        <w:rPr>
          <w:rFonts w:hint="eastAsia"/>
          <w:b/>
          <w:sz w:val="28"/>
          <w:szCs w:val="28"/>
        </w:rPr>
        <w:t>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hint="default" w:ascii="黑体" w:hAnsi="黑体" w:eastAsia="黑体" w:cs="仿宋_GB2312"/>
          <w:b/>
          <w:color w:val="000000"/>
          <w:kern w:val="0"/>
          <w:sz w:val="28"/>
          <w:szCs w:val="28"/>
          <w:lang w:val="en-US" w:eastAsia="zh-CN"/>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lang w:val="en-US" w:eastAsia="zh-CN"/>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怀化市鹤城区黄岩学校</w:t>
      </w: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firstLine="643" w:firstLineChars="200"/>
        <w:rPr>
          <w:rFonts w:hint="eastAsia"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lang w:val="en-US" w:eastAsia="zh-CN"/>
          <w14:textFill>
            <w14:solidFill>
              <w14:schemeClr w14:val="tx1"/>
            </w14:solidFill>
          </w14:textFill>
        </w:rPr>
        <w:t>一、</w:t>
      </w:r>
      <w:r>
        <w:rPr>
          <w:rFonts w:hint="eastAsia" w:asciiTheme="minorEastAsia" w:hAnsiTheme="minorEastAsia" w:eastAsiaTheme="minorEastAsia"/>
          <w:b/>
          <w:color w:val="000000" w:themeColor="text1"/>
          <w:sz w:val="32"/>
          <w:szCs w:val="32"/>
          <w14:textFill>
            <w14:solidFill>
              <w14:schemeClr w14:val="tx1"/>
            </w14:solidFill>
          </w14:textFill>
        </w:rPr>
        <w:t>部门职责</w:t>
      </w:r>
    </w:p>
    <w:p>
      <w:pPr>
        <w:pStyle w:val="11"/>
        <w:ind w:firstLine="640" w:firstLineChars="20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（一）怀化市鹤城区黄岩学校是全额拨款的事业单位</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1"/>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（二）主要工作职责：全面贯彻党和国家教育教学方针政策，从事小学教育教学工作。</w:t>
      </w:r>
    </w:p>
    <w:p>
      <w:pPr>
        <w:pStyle w:val="11"/>
        <w:ind w:firstLine="643" w:firstLineChars="200"/>
        <w:rPr>
          <w:rFonts w:hint="eastAsia"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二、机构设置及决算单位构成</w:t>
      </w:r>
    </w:p>
    <w:p>
      <w:pPr>
        <w:pStyle w:val="11"/>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（一）内设机构设置。怀化市鹤城区黄岩学校内设机构包括：9个功能室：校长室、教导处、教研室、总务处、办公室、工会、大队部、副校长室、财务室。</w:t>
      </w:r>
    </w:p>
    <w:p>
      <w:pPr>
        <w:pStyle w:val="11"/>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（二）决算单位构成。怀化市鹤城区黄岩学校2021年部门决算汇总公开单位构成为本单位。</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r>
        <w:rPr>
          <w:rFonts w:hint="eastAsia"/>
          <w:sz w:val="72"/>
          <w:szCs w:val="72"/>
        </w:rPr>
        <w:t>第二部分</w:t>
      </w:r>
    </w:p>
    <w:p>
      <w:pPr>
        <w:pStyle w:val="11"/>
        <w:jc w:val="center"/>
        <w:rPr>
          <w:rFonts w:hint="eastAsia" w:eastAsia="黑体"/>
          <w:sz w:val="72"/>
          <w:szCs w:val="72"/>
          <w:lang w:val="en-US" w:eastAsia="zh-CN"/>
        </w:rPr>
      </w:pPr>
      <w:r>
        <w:rPr>
          <w:rFonts w:hint="eastAsia"/>
          <w:sz w:val="72"/>
          <w:szCs w:val="72"/>
          <w:lang w:val="en-US" w:eastAsia="zh-CN"/>
        </w:rPr>
        <w:t xml:space="preserve"> </w:t>
      </w:r>
    </w:p>
    <w:p>
      <w:pPr>
        <w:pStyle w:val="11"/>
        <w:jc w:val="center"/>
        <w:rPr>
          <w:rFonts w:hint="eastAsia"/>
          <w:sz w:val="72"/>
          <w:szCs w:val="72"/>
        </w:rPr>
      </w:pPr>
      <w:r>
        <w:rPr>
          <w:rFonts w:hint="eastAsia"/>
          <w:sz w:val="72"/>
          <w:szCs w:val="72"/>
        </w:rPr>
        <w:t>部门决算表</w:t>
      </w:r>
    </w:p>
    <w:p>
      <w:pPr>
        <w:pStyle w:val="11"/>
        <w:jc w:val="center"/>
        <w:rPr>
          <w:rFonts w:hint="eastAsia"/>
          <w:sz w:val="72"/>
          <w:szCs w:val="72"/>
        </w:rPr>
      </w:pPr>
      <w:r>
        <w:rPr>
          <w:rFonts w:hint="eastAsia"/>
          <w:sz w:val="72"/>
          <w:szCs w:val="72"/>
        </w:rPr>
        <w:t>（表格见附表）</w:t>
      </w:r>
    </w:p>
    <w:p>
      <w:pPr>
        <w:jc w:val="center"/>
        <w:rPr>
          <w:sz w:val="72"/>
          <w:szCs w:val="72"/>
        </w:rPr>
      </w:pPr>
    </w:p>
    <w:p>
      <w:pPr>
        <w:pStyle w:val="11"/>
        <w:rPr>
          <w:sz w:val="72"/>
          <w:szCs w:val="7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rFonts w:hint="eastAsia"/>
          <w:sz w:val="70"/>
          <w:szCs w:val="70"/>
        </w:rPr>
      </w:pPr>
      <w:r>
        <w:rPr>
          <w:sz w:val="70"/>
          <w:szCs w:val="70"/>
        </w:rPr>
        <w:t>20</w:t>
      </w:r>
      <w:r>
        <w:rPr>
          <w:rFonts w:hint="eastAsia"/>
          <w:sz w:val="70"/>
          <w:szCs w:val="70"/>
        </w:rPr>
        <w:t>21年度部门决算</w:t>
      </w:r>
    </w:p>
    <w:p>
      <w:pPr>
        <w:pStyle w:val="11"/>
        <w:jc w:val="center"/>
        <w:rPr>
          <w:sz w:val="70"/>
          <w:szCs w:val="70"/>
        </w:rPr>
      </w:pPr>
      <w:r>
        <w:rPr>
          <w:rFonts w:hint="eastAsia"/>
          <w:sz w:val="70"/>
          <w:szCs w:val="70"/>
        </w:rPr>
        <w:t>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keepNext w:val="0"/>
        <w:keepLines w:val="0"/>
        <w:pageBreakBefore w:val="0"/>
        <w:kinsoku/>
        <w:wordWrap/>
        <w:overflowPunct/>
        <w:topLinePunct w:val="0"/>
        <w:bidi w:val="0"/>
        <w:snapToGrid/>
        <w:spacing w:line="240" w:lineRule="auto"/>
        <w:textAlignment w:val="auto"/>
        <w:rPr>
          <w:rFonts w:hAnsi="黑体"/>
          <w:b/>
          <w:sz w:val="32"/>
          <w:szCs w:val="32"/>
        </w:rPr>
      </w:pPr>
      <w:r>
        <w:rPr>
          <w:rFonts w:hint="eastAsia" w:hAnsi="黑体"/>
          <w:b/>
          <w:sz w:val="32"/>
          <w:szCs w:val="32"/>
        </w:rPr>
        <w:t>一、收入支出决算总体情况说明</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2021年度收入合计310.81万元，与2020年相比，减少47.16万元。支出合计310.81万元，</w:t>
      </w:r>
      <w:r>
        <w:rPr>
          <w:rFonts w:hint="eastAsia" w:asciiTheme="minorEastAsia" w:hAnsiTheme="minorEastAsia" w:eastAsiaTheme="minorEastAsia"/>
          <w:color w:val="000000" w:themeColor="text1"/>
          <w:sz w:val="32"/>
          <w:szCs w:val="32"/>
          <w14:textFill>
            <w14:solidFill>
              <w14:schemeClr w14:val="tx1"/>
            </w14:solidFill>
          </w14:textFill>
        </w:rPr>
        <w:t>与2020年相比，</w:t>
      </w:r>
      <w:r>
        <w:rPr>
          <w:rFonts w:hint="eastAsia" w:asciiTheme="minorEastAsia" w:hAnsiTheme="minorEastAsia" w:eastAsiaTheme="minorEastAsia"/>
          <w:sz w:val="32"/>
          <w:szCs w:val="32"/>
        </w:rPr>
        <w:t>减少47.16万元。原因：教职工及学生人数减少。</w:t>
      </w:r>
    </w:p>
    <w:p>
      <w:pPr>
        <w:pStyle w:val="11"/>
        <w:keepNext w:val="0"/>
        <w:keepLines w:val="0"/>
        <w:pageBreakBefore w:val="0"/>
        <w:kinsoku/>
        <w:wordWrap/>
        <w:overflowPunct/>
        <w:topLinePunct w:val="0"/>
        <w:bidi w:val="0"/>
        <w:snapToGrid/>
        <w:spacing w:line="240" w:lineRule="auto"/>
        <w:textAlignment w:val="auto"/>
        <w:rPr>
          <w:rFonts w:hAnsi="黑体"/>
          <w:b/>
          <w:sz w:val="32"/>
          <w:szCs w:val="32"/>
        </w:rPr>
      </w:pPr>
      <w:r>
        <w:rPr>
          <w:rFonts w:hint="eastAsia" w:hAnsi="黑体"/>
          <w:b/>
          <w:sz w:val="32"/>
          <w:szCs w:val="32"/>
        </w:rPr>
        <w:t>二、收入决算情况说明</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本年收入合计310.81万元，其中：财政拨款收入</w:t>
      </w:r>
      <w:r>
        <w:rPr>
          <w:rFonts w:hint="eastAsia" w:asciiTheme="minorEastAsia" w:hAnsiTheme="minorEastAsia" w:eastAsiaTheme="minorEastAsia"/>
          <w:sz w:val="32"/>
          <w:szCs w:val="32"/>
          <w:lang w:val="en-US" w:eastAsia="zh-CN"/>
        </w:rPr>
        <w:t>310.81</w:t>
      </w:r>
      <w:r>
        <w:rPr>
          <w:rFonts w:hint="eastAsia" w:asciiTheme="minorEastAsia" w:hAnsiTheme="minorEastAsia" w:eastAsiaTheme="minorEastAsia"/>
          <w:sz w:val="32"/>
          <w:szCs w:val="32"/>
        </w:rPr>
        <w:t>万元，占91.9%；上级补助收入0万元，占0%；事业收入0万元，占0%；经营收入0万元，占0%；附属单位上缴收入0万元，占0%；其他收入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万元，占8.1%。</w:t>
      </w:r>
    </w:p>
    <w:p>
      <w:pPr>
        <w:pStyle w:val="11"/>
        <w:keepNext w:val="0"/>
        <w:keepLines w:val="0"/>
        <w:pageBreakBefore w:val="0"/>
        <w:kinsoku/>
        <w:wordWrap/>
        <w:overflowPunct/>
        <w:topLinePunct w:val="0"/>
        <w:bidi w:val="0"/>
        <w:snapToGrid/>
        <w:spacing w:line="240" w:lineRule="auto"/>
        <w:textAlignment w:val="auto"/>
        <w:rPr>
          <w:rFonts w:hAnsi="黑体"/>
          <w:b/>
          <w:sz w:val="32"/>
          <w:szCs w:val="32"/>
        </w:rPr>
      </w:pPr>
      <w:r>
        <w:rPr>
          <w:rFonts w:hint="eastAsia" w:hAnsi="黑体"/>
          <w:b/>
          <w:sz w:val="32"/>
          <w:szCs w:val="32"/>
        </w:rPr>
        <w:t>三、支出决算情况说明</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本年支出合计310.81万元，其中：基本支出285.87万元，占91.9%；项目支出24.94万元，占8.1%；上缴上级支出0万元，占0%；经营支出0万元，占0%；对附属单位补助支出0万元，占0%。</w:t>
      </w:r>
    </w:p>
    <w:p>
      <w:pPr>
        <w:pStyle w:val="11"/>
        <w:keepNext w:val="0"/>
        <w:keepLines w:val="0"/>
        <w:pageBreakBefore w:val="0"/>
        <w:kinsoku/>
        <w:wordWrap/>
        <w:overflowPunct/>
        <w:topLinePunct w:val="0"/>
        <w:bidi w:val="0"/>
        <w:snapToGrid/>
        <w:spacing w:line="240" w:lineRule="auto"/>
        <w:textAlignment w:val="auto"/>
        <w:rPr>
          <w:rFonts w:hAnsi="黑体"/>
          <w:b/>
          <w:sz w:val="32"/>
          <w:szCs w:val="32"/>
        </w:rPr>
      </w:pPr>
      <w:r>
        <w:rPr>
          <w:rFonts w:hint="eastAsia" w:hAnsi="黑体"/>
          <w:b/>
          <w:sz w:val="32"/>
          <w:szCs w:val="32"/>
        </w:rPr>
        <w:t>四、财政拨款收入支出决算总体情况说明</w:t>
      </w:r>
    </w:p>
    <w:p>
      <w:pPr>
        <w:pStyle w:val="11"/>
        <w:keepNext w:val="0"/>
        <w:keepLines w:val="0"/>
        <w:pageBreakBefore w:val="0"/>
        <w:kinsoku/>
        <w:wordWrap/>
        <w:overflowPunct/>
        <w:topLinePunct w:val="0"/>
        <w:bidi w:val="0"/>
        <w:snapToGrid/>
        <w:spacing w:line="240" w:lineRule="auto"/>
        <w:ind w:firstLine="640" w:firstLineChars="200"/>
        <w:textAlignment w:val="auto"/>
      </w:pPr>
      <w:r>
        <w:rPr>
          <w:rFonts w:hint="eastAsia" w:asciiTheme="minorEastAsia" w:hAnsiTheme="minorEastAsia" w:eastAsiaTheme="minorEastAsia"/>
          <w:sz w:val="32"/>
          <w:szCs w:val="32"/>
        </w:rPr>
        <w:t>2021年度财政拨款收入合计310.81万元，与2020年相比，减少39.72万元。原因：教职工及学生人数减少。</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w:t>
      </w:r>
      <w:r>
        <w:rPr>
          <w:rFonts w:hint="eastAsia" w:asciiTheme="minorEastAsia" w:hAnsiTheme="minorEastAsia" w:eastAsiaTheme="minorEastAsia"/>
          <w:sz w:val="32"/>
          <w:szCs w:val="32"/>
          <w:lang w:val="en-US" w:eastAsia="zh-CN"/>
        </w:rPr>
        <w:t>年度</w:t>
      </w:r>
      <w:r>
        <w:rPr>
          <w:rFonts w:hint="eastAsia" w:asciiTheme="minorEastAsia" w:hAnsiTheme="minorEastAsia" w:eastAsiaTheme="minorEastAsia"/>
          <w:sz w:val="32"/>
          <w:szCs w:val="32"/>
        </w:rPr>
        <w:t>财政拨款支出合计310.81万元，</w:t>
      </w:r>
      <w:r>
        <w:rPr>
          <w:rFonts w:hint="eastAsia" w:asciiTheme="minorEastAsia" w:hAnsiTheme="minorEastAsia" w:eastAsiaTheme="minorEastAsia"/>
          <w:color w:val="000000" w:themeColor="text1"/>
          <w:sz w:val="32"/>
          <w:szCs w:val="32"/>
          <w14:textFill>
            <w14:solidFill>
              <w14:schemeClr w14:val="tx1"/>
            </w14:solidFill>
          </w14:textFill>
        </w:rPr>
        <w:t>与2020年相比，</w:t>
      </w:r>
      <w:r>
        <w:rPr>
          <w:rFonts w:hint="eastAsia" w:asciiTheme="minorEastAsia" w:hAnsiTheme="minorEastAsia" w:eastAsiaTheme="minorEastAsia"/>
          <w:sz w:val="32"/>
          <w:szCs w:val="32"/>
        </w:rPr>
        <w:t>减少39.72万元。原因：教职工及学生人数减少。</w:t>
      </w:r>
    </w:p>
    <w:p>
      <w:pPr>
        <w:pStyle w:val="11"/>
        <w:keepNext w:val="0"/>
        <w:keepLines w:val="0"/>
        <w:pageBreakBefore w:val="0"/>
        <w:kinsoku/>
        <w:wordWrap/>
        <w:overflowPunct/>
        <w:topLinePunct w:val="0"/>
        <w:bidi w:val="0"/>
        <w:snapToGrid/>
        <w:spacing w:line="240" w:lineRule="auto"/>
        <w:textAlignment w:val="auto"/>
        <w:rPr>
          <w:rFonts w:hAnsi="黑体"/>
          <w:b/>
          <w:sz w:val="32"/>
          <w:szCs w:val="32"/>
        </w:rPr>
      </w:pPr>
      <w:r>
        <w:rPr>
          <w:rFonts w:hint="eastAsia" w:hAnsi="黑体"/>
          <w:b/>
          <w:sz w:val="32"/>
          <w:szCs w:val="32"/>
        </w:rPr>
        <w:t>五、一般公共预算财政拨款支出决算情况说明</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2021年度财政拨款支出310.81万元，占本年支出合计的100%，与2020年相比，减少39.72万元。原因：教职及学生人数减少。</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keepNext w:val="0"/>
        <w:keepLines w:val="0"/>
        <w:pageBreakBefore w:val="0"/>
        <w:kinsoku/>
        <w:wordWrap/>
        <w:overflowPunct/>
        <w:topLinePunct w:val="0"/>
        <w:bidi w:val="0"/>
        <w:snapToGrid/>
        <w:spacing w:line="240" w:lineRule="auto"/>
        <w:ind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2021年度财政拨款支出310.81万元，主要用于以下方面：</w:t>
      </w:r>
      <w:r>
        <w:rPr>
          <w:rFonts w:hint="eastAsia" w:asciiTheme="minorEastAsia" w:hAnsiTheme="minorEastAsia" w:eastAsiaTheme="minorEastAsia"/>
          <w:sz w:val="32"/>
          <w:szCs w:val="32"/>
          <w:lang w:val="en-US" w:eastAsia="zh-CN"/>
        </w:rPr>
        <w:t>教育支出310.81万元，占比100%</w:t>
      </w:r>
      <w:r>
        <w:rPr>
          <w:rFonts w:hint="eastAsia" w:asciiTheme="minorEastAsia" w:hAnsiTheme="minorEastAsia" w:eastAsiaTheme="minorEastAsia"/>
          <w:sz w:val="32"/>
          <w:szCs w:val="32"/>
        </w:rPr>
        <w:t>.</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（三）财政拨款支出决算具体情况</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2021年度财政拨款支出年初预算数为331.39万元，支出决算数为310.81万元，完成年初预算的93.78%，其中：</w:t>
      </w:r>
    </w:p>
    <w:p>
      <w:pPr>
        <w:pStyle w:val="11"/>
        <w:keepNext w:val="0"/>
        <w:keepLines w:val="0"/>
        <w:pageBreakBefore w:val="0"/>
        <w:kinsoku/>
        <w:wordWrap/>
        <w:overflowPunct/>
        <w:topLinePunct w:val="0"/>
        <w:bidi w:val="0"/>
        <w:snapToGrid/>
        <w:spacing w:line="240" w:lineRule="auto"/>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教育支出（类）普通教育（款）小学教育（项）。</w:t>
      </w:r>
    </w:p>
    <w:p>
      <w:pPr>
        <w:pStyle w:val="11"/>
        <w:keepNext w:val="0"/>
        <w:keepLines w:val="0"/>
        <w:pageBreakBefore w:val="0"/>
        <w:kinsoku/>
        <w:wordWrap/>
        <w:overflowPunct/>
        <w:topLinePunct w:val="0"/>
        <w:bidi w:val="0"/>
        <w:snapToGrid/>
        <w:spacing w:line="240" w:lineRule="auto"/>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年初预算为283.42万元，支出决算为285.87万元，完成年初预算的100.86%。主要原因是：人员的减少。</w:t>
      </w:r>
    </w:p>
    <w:p>
      <w:pPr>
        <w:pStyle w:val="11"/>
        <w:keepNext w:val="0"/>
        <w:keepLines w:val="0"/>
        <w:pageBreakBefore w:val="0"/>
        <w:kinsoku/>
        <w:wordWrap/>
        <w:overflowPunct/>
        <w:topLinePunct w:val="0"/>
        <w:bidi w:val="0"/>
        <w:snapToGrid/>
        <w:spacing w:line="240" w:lineRule="auto"/>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2、</w:t>
      </w:r>
      <w:r>
        <w:rPr>
          <w:rFonts w:hint="eastAsia" w:asciiTheme="minorEastAsia" w:hAnsiTheme="minorEastAsia" w:eastAsiaTheme="minorEastAsia"/>
          <w:color w:val="000000" w:themeColor="text1"/>
          <w:sz w:val="32"/>
          <w:szCs w:val="32"/>
          <w14:textFill>
            <w14:solidFill>
              <w14:schemeClr w14:val="tx1"/>
            </w14:solidFill>
          </w14:textFill>
        </w:rPr>
        <w:t>教育支出（类）普通教育（款）其他普通教育支出（项）。</w:t>
      </w:r>
    </w:p>
    <w:p>
      <w:pPr>
        <w:pStyle w:val="11"/>
        <w:keepNext w:val="0"/>
        <w:keepLines w:val="0"/>
        <w:pageBreakBefore w:val="0"/>
        <w:kinsoku/>
        <w:wordWrap/>
        <w:overflowPunct/>
        <w:topLinePunct w:val="0"/>
        <w:bidi w:val="0"/>
        <w:snapToGrid/>
        <w:spacing w:line="240" w:lineRule="auto"/>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年初预算为3.09万元，支出决算为0万元，完成年初预算的0%。主要原因是：人员的减少。</w:t>
      </w:r>
    </w:p>
    <w:p>
      <w:pPr>
        <w:pStyle w:val="11"/>
        <w:keepNext w:val="0"/>
        <w:keepLines w:val="0"/>
        <w:pageBreakBefore w:val="0"/>
        <w:kinsoku/>
        <w:wordWrap/>
        <w:overflowPunct/>
        <w:topLinePunct w:val="0"/>
        <w:bidi w:val="0"/>
        <w:snapToGrid/>
        <w:spacing w:line="240" w:lineRule="auto"/>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3、</w:t>
      </w:r>
      <w:r>
        <w:rPr>
          <w:rFonts w:hint="eastAsia" w:asciiTheme="minorEastAsia" w:hAnsiTheme="minorEastAsia" w:eastAsiaTheme="minorEastAsia"/>
          <w:color w:val="000000" w:themeColor="text1"/>
          <w:sz w:val="32"/>
          <w:szCs w:val="32"/>
          <w14:textFill>
            <w14:solidFill>
              <w14:schemeClr w14:val="tx1"/>
            </w14:solidFill>
          </w14:textFill>
        </w:rPr>
        <w:t>教育支出（类）其他教育支出（款）其他教育支出（项）。</w:t>
      </w:r>
    </w:p>
    <w:p>
      <w:pPr>
        <w:pStyle w:val="11"/>
        <w:keepNext w:val="0"/>
        <w:keepLines w:val="0"/>
        <w:pageBreakBefore w:val="0"/>
        <w:kinsoku/>
        <w:wordWrap/>
        <w:overflowPunct/>
        <w:topLinePunct w:val="0"/>
        <w:bidi w:val="0"/>
        <w:snapToGrid/>
        <w:spacing w:line="240" w:lineRule="auto"/>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年初预算为34.55万元，支出决算为24.94万元，完成年初预算的72.18%。主要原因是：人员的减少。</w:t>
      </w:r>
    </w:p>
    <w:p>
      <w:pPr>
        <w:pStyle w:val="11"/>
        <w:keepNext w:val="0"/>
        <w:keepLines w:val="0"/>
        <w:pageBreakBefore w:val="0"/>
        <w:kinsoku/>
        <w:wordWrap/>
        <w:overflowPunct/>
        <w:topLinePunct w:val="0"/>
        <w:bidi w:val="0"/>
        <w:snapToGrid/>
        <w:spacing w:line="240" w:lineRule="auto"/>
        <w:textAlignment w:val="auto"/>
        <w:rPr>
          <w:rFonts w:hAnsi="黑体"/>
          <w:b/>
          <w:sz w:val="32"/>
          <w:szCs w:val="32"/>
        </w:rPr>
      </w:pPr>
      <w:r>
        <w:rPr>
          <w:rFonts w:hint="eastAsia" w:hAnsi="黑体"/>
          <w:b/>
          <w:sz w:val="32"/>
          <w:szCs w:val="32"/>
        </w:rPr>
        <w:t>六、一般公共预算财政拨款基本支出决算情况说明</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310.81万元，其中：人员经费255.67万元，占基本支出的89.43%,主要包括基本工资、津贴补贴、奖金、绩效工资、机关事业单位基本养老保险费、职工基本医疗保险缴费、其他社会保障缴费、住房公积金、其他工资福利支出、离休费、抚恤金、生活补助、医疗费补助、奖励金、其他对个人和家庭的补助；公用经费30.19万元，占基本支出的10.56%，主要包括办公费、印刷费、手续费、水费、电费、邮电费、差旅费、工会经费、福利费、其他商品和服务支出；资本性支出0万元，占基本支出的0%，主要包括办公设备购置，专用设备购置，基础设施建设等。</w:t>
      </w:r>
    </w:p>
    <w:p>
      <w:pPr>
        <w:pStyle w:val="11"/>
        <w:keepNext w:val="0"/>
        <w:keepLines w:val="0"/>
        <w:pageBreakBefore w:val="0"/>
        <w:kinsoku/>
        <w:wordWrap/>
        <w:overflowPunct/>
        <w:topLinePunct w:val="0"/>
        <w:bidi w:val="0"/>
        <w:snapToGrid/>
        <w:spacing w:line="240" w:lineRule="auto"/>
        <w:textAlignment w:val="auto"/>
        <w:rPr>
          <w:rFonts w:hAnsi="黑体"/>
          <w:b/>
          <w:sz w:val="32"/>
          <w:szCs w:val="32"/>
        </w:rPr>
      </w:pPr>
      <w:r>
        <w:rPr>
          <w:rFonts w:hint="eastAsia" w:hAnsi="黑体"/>
          <w:b/>
          <w:sz w:val="32"/>
          <w:szCs w:val="32"/>
        </w:rPr>
        <w:t>七、一般公共预算财政拨款三公经费支出决算情况说明</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1"/>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公务用车运行维护费支出预算为0万元，支出决算为0万元，由于预算数为0，无法计算百分比，决算数等于预算数的主要原因是未购置公务用车，与上年相比相同。</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b/>
          <w:color w:val="000000" w:themeColor="text1"/>
          <w:sz w:val="32"/>
          <w:szCs w:val="32"/>
          <w14:textFill>
            <w14:solidFill>
              <w14:schemeClr w14:val="tx1"/>
            </w14:solidFill>
          </w14:textFill>
        </w:rPr>
      </w:pPr>
      <w:bookmarkStart w:id="0" w:name="_GoBack"/>
      <w:bookmarkEnd w:id="0"/>
      <w:r>
        <w:rPr>
          <w:rFonts w:hint="eastAsia" w:asciiTheme="minorEastAsia" w:hAnsiTheme="minorEastAsia" w:eastAsiaTheme="minorEastAsia"/>
          <w:b/>
          <w:color w:val="000000" w:themeColor="text1"/>
          <w:sz w:val="32"/>
          <w:szCs w:val="32"/>
          <w14:textFill>
            <w14:solidFill>
              <w14:schemeClr w14:val="tx1"/>
            </w14:solidFill>
          </w14:textFill>
        </w:rPr>
        <w:t>（二）“三公”经费财政拨款支出决算具体情况说明</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2021年度“三公”经费财政拨款支出决算中，公务接待费支出决算0万元，占0%,因公出国（境）费支出决算0万元，占0%,公务用车购置费及运行维护费支出决算0万元，占0%。其中：</w:t>
      </w:r>
    </w:p>
    <w:p>
      <w:pPr>
        <w:pStyle w:val="11"/>
        <w:keepNext w:val="0"/>
        <w:keepLines w:val="0"/>
        <w:pageBreakBefore w:val="0"/>
        <w:kinsoku/>
        <w:wordWrap/>
        <w:overflowPunct/>
        <w:topLinePunct w:val="0"/>
        <w:bidi w:val="0"/>
        <w:snapToGrid/>
        <w:spacing w:line="240" w:lineRule="auto"/>
        <w:ind w:firstLine="640" w:firstLineChars="200"/>
        <w:textAlignment w:val="auto"/>
        <w:rPr>
          <w:rFonts w:hint="eastAsia" w:asciiTheme="minorEastAsia" w:hAnsiTheme="minorEastAsia" w:eastAsiaTheme="minorEastAsia"/>
          <w:b/>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1、因公出国（境）费支出决算为0万元，全年安排因公出国（境）团组0个，累计0人次</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2、公务接待费支出决算为0万元，全年共接待来访团组0个、来宾0人次，没有接待支出发生。</w:t>
      </w:r>
    </w:p>
    <w:p>
      <w:pPr>
        <w:keepNext w:val="0"/>
        <w:keepLines w:val="0"/>
        <w:pageBreakBefore w:val="0"/>
        <w:kinsoku/>
        <w:wordWrap/>
        <w:overflowPunct/>
        <w:topLinePunct w:val="0"/>
        <w:bidi w:val="0"/>
        <w:snapToGrid/>
        <w:spacing w:line="240" w:lineRule="auto"/>
        <w:ind w:firstLine="640" w:firstLineChars="200"/>
        <w:textAlignment w:val="auto"/>
        <w:rPr>
          <w:rFonts w:cs="黑体" w:asciiTheme="minorEastAsia" w:hAnsiTheme="minorEastAsia"/>
          <w:color w:val="000000" w:themeColor="text1"/>
          <w:kern w:val="0"/>
          <w:sz w:val="32"/>
          <w:szCs w:val="32"/>
          <w14:textFill>
            <w14:solidFill>
              <w14:schemeClr w14:val="tx1"/>
            </w14:solidFill>
          </w14:textFill>
        </w:rPr>
      </w:pPr>
      <w:r>
        <w:rPr>
          <w:rFonts w:hint="eastAsia" w:asciiTheme="minorEastAsia" w:hAnsiTheme="minorEastAsia"/>
          <w:color w:val="000000" w:themeColor="text1"/>
          <w:sz w:val="32"/>
          <w:szCs w:val="32"/>
          <w14:textFill>
            <w14:solidFill>
              <w14:schemeClr w14:val="tx1"/>
            </w14:solidFill>
          </w14:textFill>
        </w:rPr>
        <w:t>3、公务用车购置费及运行维护费支出决算为0万元，其中：公务用车购置费0万元，更新公务用车0辆。公务用车运行维护费0万元，没有公务用车购置费及运行维护费支出，截止2021年12月31日，我单位开支财政拨款的公务用车保有量为0辆。</w:t>
      </w:r>
    </w:p>
    <w:p>
      <w:pPr>
        <w:pStyle w:val="11"/>
        <w:keepNext w:val="0"/>
        <w:keepLines w:val="0"/>
        <w:pageBreakBefore w:val="0"/>
        <w:kinsoku/>
        <w:wordWrap/>
        <w:overflowPunct/>
        <w:topLinePunct w:val="0"/>
        <w:bidi w:val="0"/>
        <w:snapToGrid/>
        <w:spacing w:line="240" w:lineRule="auto"/>
        <w:textAlignment w:val="auto"/>
        <w:rPr>
          <w:rFonts w:hAnsi="黑体"/>
          <w:b/>
          <w:sz w:val="32"/>
          <w:szCs w:val="32"/>
        </w:rPr>
      </w:pPr>
      <w:r>
        <w:rPr>
          <w:rFonts w:hint="eastAsia" w:hAnsi="黑体"/>
          <w:b/>
          <w:sz w:val="32"/>
          <w:szCs w:val="32"/>
        </w:rPr>
        <w:t>八、政府性基金预算收入支出决算情况</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 xml:space="preserve"> 本单位无政府性基金。</w:t>
      </w:r>
    </w:p>
    <w:p>
      <w:pPr>
        <w:pStyle w:val="11"/>
        <w:keepNext w:val="0"/>
        <w:keepLines w:val="0"/>
        <w:pageBreakBefore w:val="0"/>
        <w:kinsoku/>
        <w:wordWrap/>
        <w:overflowPunct/>
        <w:topLinePunct w:val="0"/>
        <w:bidi w:val="0"/>
        <w:snapToGrid/>
        <w:spacing w:line="240" w:lineRule="auto"/>
        <w:textAlignment w:val="auto"/>
        <w:rPr>
          <w:rFonts w:ascii="宋体" w:hAnsi="宋体" w:eastAsia="宋体" w:cs="宋体"/>
          <w:b/>
          <w:sz w:val="32"/>
          <w:szCs w:val="32"/>
        </w:rPr>
      </w:pPr>
      <w:r>
        <w:rPr>
          <w:rFonts w:hint="eastAsia" w:ascii="宋体" w:hAnsi="宋体" w:eastAsia="宋体" w:cs="宋体"/>
          <w:b/>
          <w:sz w:val="32"/>
          <w:szCs w:val="32"/>
        </w:rPr>
        <w:t>九、国有资本经营预算财政拨款支出情况</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2021年度国有资本经营预算财政拨款收入0万元；支出0万元，其中基本支出0万元，项目支出0万元。具体情况如下：本单位无国有资本经营。本单位无国有资本经营。</w:t>
      </w:r>
    </w:p>
    <w:p>
      <w:pPr>
        <w:pStyle w:val="11"/>
        <w:keepNext w:val="0"/>
        <w:keepLines w:val="0"/>
        <w:pageBreakBefore w:val="0"/>
        <w:kinsoku/>
        <w:wordWrap/>
        <w:overflowPunct/>
        <w:topLinePunct w:val="0"/>
        <w:bidi w:val="0"/>
        <w:snapToGrid/>
        <w:spacing w:line="240" w:lineRule="auto"/>
        <w:textAlignment w:val="auto"/>
        <w:rPr>
          <w:rFonts w:hint="eastAsia" w:ascii="宋体" w:hAnsi="宋体" w:eastAsia="宋体" w:cs="宋体"/>
          <w:b/>
          <w:sz w:val="32"/>
          <w:szCs w:val="32"/>
        </w:rPr>
      </w:pPr>
      <w:r>
        <w:rPr>
          <w:rFonts w:hint="eastAsia" w:ascii="宋体" w:hAnsi="宋体" w:eastAsia="宋体" w:cs="宋体"/>
          <w:b/>
          <w:sz w:val="32"/>
          <w:szCs w:val="32"/>
          <w:lang w:val="en-US" w:eastAsia="zh-CN"/>
        </w:rPr>
        <w:t>十一、</w:t>
      </w:r>
      <w:r>
        <w:rPr>
          <w:rFonts w:hint="eastAsia" w:ascii="宋体" w:hAnsi="宋体" w:eastAsia="宋体" w:cs="宋体"/>
          <w:b/>
          <w:sz w:val="32"/>
          <w:szCs w:val="32"/>
        </w:rPr>
        <w:t>机关运行经费支出说明</w:t>
      </w:r>
    </w:p>
    <w:p>
      <w:pPr>
        <w:pStyle w:val="11"/>
        <w:keepNext w:val="0"/>
        <w:keepLines w:val="0"/>
        <w:pageBreakBefore w:val="0"/>
        <w:kinsoku/>
        <w:wordWrap/>
        <w:overflowPunct/>
        <w:topLinePunct w:val="0"/>
        <w:bidi w:val="0"/>
        <w:snapToGrid/>
        <w:spacing w:line="240" w:lineRule="auto"/>
        <w:ind w:firstLine="640" w:firstLineChars="200"/>
        <w:textAlignment w:val="auto"/>
        <w:rPr>
          <w:rFonts w:asciiTheme="minorEastAsia" w:hAnsiTheme="minorEastAsia" w:eastAsiaTheme="minorEastAsia" w:cstheme="minorEastAsia"/>
          <w:color w:val="000000" w:themeColor="text1"/>
          <w:sz w:val="32"/>
          <w:szCs w:val="32"/>
          <w14:textFill>
            <w14:solidFill>
              <w14:schemeClr w14:val="tx1"/>
            </w14:solidFill>
          </w14:textFill>
        </w:rPr>
      </w:pPr>
      <w:r>
        <w:rPr>
          <w:rFonts w:hint="eastAsia" w:asciiTheme="minorEastAsia" w:hAnsiTheme="minorEastAsia" w:eastAsiaTheme="minorEastAsia" w:cstheme="minorEastAsia"/>
          <w:color w:val="000000" w:themeColor="text1"/>
          <w:sz w:val="32"/>
          <w:szCs w:val="32"/>
          <w14:textFill>
            <w14:solidFill>
              <w14:schemeClr w14:val="tx1"/>
            </w14:solidFill>
          </w14:textFill>
        </w:rPr>
        <w:t>本部门2021年度机关运行经费支出0万元，由于本单位为事业单位，没有机关运行经费。</w:t>
      </w:r>
    </w:p>
    <w:p>
      <w:pPr>
        <w:pStyle w:val="11"/>
        <w:keepNext w:val="0"/>
        <w:keepLines w:val="0"/>
        <w:pageBreakBefore w:val="0"/>
        <w:kinsoku/>
        <w:wordWrap/>
        <w:overflowPunct/>
        <w:topLinePunct w:val="0"/>
        <w:bidi w:val="0"/>
        <w:snapToGrid/>
        <w:spacing w:line="240" w:lineRule="auto"/>
        <w:textAlignment w:val="auto"/>
        <w:rPr>
          <w:rFonts w:ascii="宋体" w:hAnsi="宋体" w:eastAsia="宋体" w:cs="宋体"/>
          <w:b/>
          <w:sz w:val="32"/>
          <w:szCs w:val="32"/>
        </w:rPr>
      </w:pPr>
      <w:r>
        <w:rPr>
          <w:rFonts w:hint="eastAsia" w:ascii="宋体" w:hAnsi="宋体" w:eastAsia="宋体" w:cs="宋体"/>
          <w:b/>
          <w:sz w:val="32"/>
          <w:szCs w:val="32"/>
        </w:rPr>
        <w:t>十一、一般性支出情况说明</w:t>
      </w:r>
    </w:p>
    <w:p>
      <w:pPr>
        <w:keepNext w:val="0"/>
        <w:keepLines w:val="0"/>
        <w:pageBreakBefore w:val="0"/>
        <w:kinsoku/>
        <w:wordWrap/>
        <w:overflowPunct/>
        <w:topLinePunct w:val="0"/>
        <w:bidi w:val="0"/>
        <w:snapToGrid/>
        <w:spacing w:line="240" w:lineRule="auto"/>
        <w:ind w:firstLine="640" w:firstLineChars="200"/>
        <w:textAlignment w:val="auto"/>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2021年本部门开支会议费0万元，人数0人；开支培训费0万元，人数0人；未举办节庆、晚会、论坛、赛事活动，开支0万元。</w:t>
      </w:r>
    </w:p>
    <w:p>
      <w:pPr>
        <w:keepNext w:val="0"/>
        <w:keepLines w:val="0"/>
        <w:pageBreakBefore w:val="0"/>
        <w:kinsoku/>
        <w:wordWrap/>
        <w:overflowPunct/>
        <w:topLinePunct w:val="0"/>
        <w:bidi w:val="0"/>
        <w:snapToGrid/>
        <w:spacing w:line="240" w:lineRule="auto"/>
        <w:textAlignment w:val="auto"/>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十二、政府采购支出情况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keepNext w:val="0"/>
        <w:keepLines w:val="0"/>
        <w:pageBreakBefore w:val="0"/>
        <w:kinsoku/>
        <w:wordWrap/>
        <w:overflowPunct/>
        <w:topLinePunct w:val="0"/>
        <w:bidi w:val="0"/>
        <w:snapToGrid/>
        <w:spacing w:line="240" w:lineRule="auto"/>
        <w:textAlignment w:val="auto"/>
        <w:rPr>
          <w:rFonts w:cs="黑体" w:asciiTheme="minorEastAsia" w:hAnsiTheme="minorEastAsia"/>
          <w:b/>
          <w:color w:val="000000" w:themeColor="text1"/>
          <w:kern w:val="0"/>
          <w:sz w:val="32"/>
          <w:szCs w:val="32"/>
          <w14:textFill>
            <w14:solidFill>
              <w14:schemeClr w14:val="tx1"/>
            </w14:solidFill>
          </w14:textFill>
        </w:rPr>
      </w:pPr>
      <w:r>
        <w:rPr>
          <w:rFonts w:hint="eastAsia" w:cs="黑体" w:asciiTheme="minorEastAsia" w:hAnsiTheme="minorEastAsia"/>
          <w:b/>
          <w:color w:val="000000" w:themeColor="text1"/>
          <w:kern w:val="0"/>
          <w:sz w:val="32"/>
          <w:szCs w:val="32"/>
          <w14:textFill>
            <w14:solidFill>
              <w14:schemeClr w14:val="tx1"/>
            </w14:solidFill>
          </w14:textFill>
        </w:rPr>
        <w:t>十三、国有资产占用情况</w:t>
      </w:r>
    </w:p>
    <w:p>
      <w:pPr>
        <w:keepNext w:val="0"/>
        <w:keepLines w:val="0"/>
        <w:pageBreakBefore w:val="0"/>
        <w:kinsoku/>
        <w:wordWrap/>
        <w:overflowPunct/>
        <w:topLinePunct w:val="0"/>
        <w:bidi w:val="0"/>
        <w:snapToGrid/>
        <w:spacing w:line="240" w:lineRule="auto"/>
        <w:ind w:firstLine="640" w:firstLineChars="200"/>
        <w:textAlignment w:val="auto"/>
        <w:rPr>
          <w:rFonts w:cs="黑体" w:asciiTheme="minorEastAsia" w:hAnsiTheme="minorEastAsia"/>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截至2021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pStyle w:val="11"/>
        <w:keepNext w:val="0"/>
        <w:keepLines w:val="0"/>
        <w:pageBreakBefore w:val="0"/>
        <w:kinsoku/>
        <w:wordWrap/>
        <w:overflowPunct/>
        <w:topLinePunct w:val="0"/>
        <w:bidi w:val="0"/>
        <w:snapToGrid/>
        <w:spacing w:line="240" w:lineRule="auto"/>
        <w:textAlignment w:val="auto"/>
        <w:rPr>
          <w:rFonts w:ascii="宋体" w:hAnsi="宋体" w:eastAsia="宋体" w:cs="宋体"/>
          <w:b/>
          <w:sz w:val="32"/>
          <w:szCs w:val="32"/>
        </w:rPr>
      </w:pPr>
      <w:r>
        <w:rPr>
          <w:rFonts w:hint="eastAsia" w:ascii="宋体" w:hAnsi="宋体" w:eastAsia="宋体" w:cs="宋体"/>
          <w:b/>
          <w:sz w:val="32"/>
          <w:szCs w:val="32"/>
        </w:rPr>
        <w:t>十四、关于2021年度预算绩效情况的说明</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年度一般公共预算项目支出全面开展绩效自评，其中，一级项目1个，二级项目0个，共涉及资金19.56万元，占一般公共预算项目支出总额的100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keepNext w:val="0"/>
        <w:keepLines w:val="0"/>
        <w:pageBreakBefore w:val="0"/>
        <w:kinsoku/>
        <w:wordWrap/>
        <w:overflowPunct/>
        <w:topLinePunct w:val="0"/>
        <w:bidi w:val="0"/>
        <w:snapToGrid/>
        <w:spacing w:line="240" w:lineRule="auto"/>
        <w:ind w:firstLine="640" w:firstLineChars="200"/>
        <w:textAlignment w:val="auto"/>
        <w:rPr>
          <w:rFonts w:ascii="Calibri" w:hAnsi="Calibri" w:eastAsia="仿宋_GB2312" w:cs="Times New Roman"/>
          <w:sz w:val="30"/>
          <w:szCs w:val="30"/>
        </w:rPr>
      </w:pPr>
      <w:r>
        <w:rPr>
          <w:rFonts w:hint="eastAsia" w:cs="黑体" w:asciiTheme="minorEastAsia" w:hAnsiTheme="minorEastAsia"/>
          <w:color w:val="000000"/>
          <w:kern w:val="0"/>
          <w:sz w:val="32"/>
          <w:szCs w:val="32"/>
        </w:rPr>
        <w:t>组织对“农村学校营养午餐”1个项目开展了部门评价，涉及一般公共预算支出19.56万元，政府性基金预算支出0万元，国有资本经营预算支出0万元。从评价情况来看，</w:t>
      </w:r>
      <w:r>
        <w:rPr>
          <w:rFonts w:hint="eastAsia" w:ascii="宋体" w:hAnsi="宋体" w:eastAsia="宋体" w:cs="Times New Roman"/>
          <w:sz w:val="32"/>
          <w:szCs w:val="32"/>
        </w:rPr>
        <w:t>绩效评价为100分。以后高度重视绩效评价工作，由专人负责；按照评价要求和项目特点，科学制定评价方法和指标；按照“三重一大”的要求做到各部门层层把关，相互监督</w:t>
      </w:r>
      <w:r>
        <w:rPr>
          <w:rFonts w:hint="eastAsia" w:ascii="Calibri" w:hAnsi="Calibri" w:eastAsia="仿宋_GB2312" w:cs="Times New Roman"/>
          <w:sz w:val="30"/>
          <w:szCs w:val="30"/>
        </w:rPr>
        <w:t>。</w:t>
      </w:r>
    </w:p>
    <w:p>
      <w:pPr>
        <w:keepNext w:val="0"/>
        <w:keepLines w:val="0"/>
        <w:pageBreakBefore w:val="0"/>
        <w:kinsoku/>
        <w:wordWrap/>
        <w:overflowPunct/>
        <w:topLinePunct w:val="0"/>
        <w:bidi w:val="0"/>
        <w:snapToGrid/>
        <w:spacing w:line="240" w:lineRule="auto"/>
        <w:ind w:firstLine="640" w:firstLineChars="200"/>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鹤城区黄岩学校”1个单位开展整体支出绩效评价，涉及一般公共预算支出19.56万元，政府性基金预算支出0万元。从评价情况来看，2021年，怀化市鹤城区黄岩学校按照“四本预算”，确立支出绩效目标，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pStyle w:val="14"/>
        <w:keepNext w:val="0"/>
        <w:keepLines w:val="0"/>
        <w:pageBreakBefore w:val="0"/>
        <w:kinsoku/>
        <w:wordWrap/>
        <w:overflowPunct/>
        <w:topLinePunct w:val="0"/>
        <w:bidi w:val="0"/>
        <w:snapToGrid/>
        <w:spacing w:line="240" w:lineRule="auto"/>
        <w:ind w:firstLine="640" w:firstLineChars="200"/>
        <w:textAlignment w:val="auto"/>
        <w:rPr>
          <w:rFonts w:cs="黑体" w:asciiTheme="minorEastAsia" w:hAnsiTheme="minorEastAsia"/>
          <w:color w:val="000000"/>
          <w:sz w:val="32"/>
          <w:szCs w:val="32"/>
        </w:rPr>
      </w:pPr>
      <w:r>
        <w:rPr>
          <w:rFonts w:hint="eastAsia" w:ascii="宋体" w:hAnsi="宋体"/>
          <w:sz w:val="32"/>
          <w:szCs w:val="32"/>
        </w:rPr>
        <w:t>人才津贴</w:t>
      </w:r>
      <w:r>
        <w:rPr>
          <w:rFonts w:hint="eastAsia" w:cs="黑体" w:asciiTheme="minorEastAsia" w:hAnsiTheme="minorEastAsia"/>
          <w:color w:val="000000"/>
          <w:kern w:val="0"/>
          <w:sz w:val="32"/>
          <w:szCs w:val="32"/>
        </w:rPr>
        <w:t>项目绩效自评综述：根据年初设定的绩效目标，项目绩效自评得分为95分。项目全年预算数为6.84万元，执行数为6.84万元，完成预算的100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。项目绩效目标完成情况：通过项目的实施，确保师生学生在学校安心的学习生活，创造良好的经济效益，深受广大居民欢迎，创造了良好的社会经济效益。发现的主要问题及原因：发现的主要问题及原因：</w:t>
      </w:r>
      <w:r>
        <w:rPr>
          <w:rFonts w:hint="eastAsia" w:ascii="宋体" w:hAnsi="宋体" w:cs="仿宋_GB2312"/>
          <w:sz w:val="32"/>
          <w:szCs w:val="32"/>
        </w:rPr>
        <w:t>对绩效评价工作的认识和专业程度还有待加强</w:t>
      </w:r>
      <w:r>
        <w:rPr>
          <w:rFonts w:hint="eastAsia" w:cs="黑体" w:asciiTheme="minorEastAsia" w:hAnsiTheme="minorEastAsia"/>
          <w:color w:val="000000"/>
          <w:kern w:val="0"/>
          <w:sz w:val="32"/>
          <w:szCs w:val="32"/>
        </w:rPr>
        <w:t>。下一步改进措施：一是</w:t>
      </w:r>
      <w:r>
        <w:rPr>
          <w:rFonts w:hint="eastAsia" w:ascii="宋体" w:hAnsi="宋体" w:cs="仿宋_GB2312"/>
          <w:sz w:val="32"/>
          <w:szCs w:val="32"/>
        </w:rPr>
        <w:t>严格遵循把</w:t>
      </w:r>
      <w:r>
        <w:rPr>
          <w:rFonts w:hint="eastAsia" w:cs="仿宋_GB2312" w:asciiTheme="minorEastAsia" w:hAnsiTheme="minorEastAsia"/>
          <w:sz w:val="32"/>
          <w:szCs w:val="32"/>
        </w:rPr>
        <w:t>控</w:t>
      </w:r>
      <w:r>
        <w:rPr>
          <w:rFonts w:hint="eastAsia" w:ascii="宋体" w:hAnsi="宋体" w:cs="仿宋_GB2312"/>
          <w:sz w:val="32"/>
          <w:szCs w:val="32"/>
        </w:rPr>
        <w:t>财政资金使用</w:t>
      </w:r>
      <w:r>
        <w:rPr>
          <w:rFonts w:hint="eastAsia" w:cs="黑体" w:asciiTheme="minorEastAsia" w:hAnsiTheme="minorEastAsia"/>
          <w:color w:val="000000"/>
          <w:kern w:val="0"/>
          <w:sz w:val="32"/>
          <w:szCs w:val="32"/>
        </w:rPr>
        <w:t>；二是</w:t>
      </w:r>
      <w:r>
        <w:rPr>
          <w:rFonts w:hint="eastAsia" w:ascii="宋体" w:hAnsi="宋体" w:cs="仿宋_GB2312"/>
          <w:sz w:val="32"/>
          <w:szCs w:val="32"/>
        </w:rPr>
        <w:t>严格</w:t>
      </w:r>
      <w:r>
        <w:rPr>
          <w:rFonts w:hint="eastAsia" w:cs="仿宋_GB2312" w:asciiTheme="minorEastAsia" w:hAnsiTheme="minorEastAsia"/>
          <w:sz w:val="32"/>
          <w:szCs w:val="32"/>
        </w:rPr>
        <w:t>落实不断提高专业水平</w:t>
      </w:r>
      <w:r>
        <w:rPr>
          <w:rFonts w:hint="eastAsia" w:cs="黑体" w:asciiTheme="minorEastAsia" w:hAnsiTheme="minorEastAsia"/>
          <w:color w:val="000000"/>
          <w:kern w:val="0"/>
          <w:sz w:val="32"/>
          <w:szCs w:val="32"/>
        </w:rPr>
        <w:t>。</w:t>
      </w:r>
    </w:p>
    <w:p>
      <w:pPr>
        <w:keepNext w:val="0"/>
        <w:keepLines w:val="0"/>
        <w:pageBreakBefore w:val="0"/>
        <w:kinsoku/>
        <w:wordWrap/>
        <w:overflowPunct/>
        <w:topLinePunct w:val="0"/>
        <w:autoSpaceDE w:val="0"/>
        <w:autoSpaceDN w:val="0"/>
        <w:bidi w:val="0"/>
        <w:adjustRightInd w:val="0"/>
        <w:snapToGrid/>
        <w:spacing w:line="240" w:lineRule="auto"/>
        <w:ind w:firstLine="640" w:firstLineChars="200"/>
        <w:jc w:val="left"/>
        <w:textAlignment w:val="auto"/>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eastAsia="宋体" w:cs="Times New Roman"/>
          <w:sz w:val="32"/>
          <w:szCs w:val="32"/>
        </w:rPr>
      </w:pPr>
      <w:r>
        <w:rPr>
          <w:rFonts w:hint="eastAsia" w:ascii="宋体" w:hAnsi="宋体" w:eastAsia="宋体" w:cs="Times New Roman"/>
          <w:sz w:val="32"/>
          <w:szCs w:val="32"/>
        </w:rPr>
        <w:t>2021年怀化市鹤城区黄岩学校实际操作申报的项目共2个，分别为：学生营养午餐、人才津贴</w:t>
      </w:r>
      <w:r>
        <w:rPr>
          <w:rFonts w:hint="eastAsia" w:asciiTheme="minorEastAsia" w:hAnsiTheme="minorEastAsia"/>
          <w:sz w:val="32"/>
          <w:szCs w:val="32"/>
        </w:rPr>
        <w:t>并已单独在绩效评价中公开</w:t>
      </w:r>
      <w:r>
        <w:rPr>
          <w:rFonts w:hint="eastAsia" w:ascii="宋体" w:hAnsi="宋体" w:eastAsia="宋体" w:cs="Times New Roman"/>
          <w:sz w:val="32"/>
          <w:szCs w:val="32"/>
        </w:rPr>
        <w:t>。</w:t>
      </w:r>
    </w:p>
    <w:p>
      <w:pPr>
        <w:keepNext w:val="0"/>
        <w:keepLines w:val="0"/>
        <w:pageBreakBefore w:val="0"/>
        <w:kinsoku/>
        <w:wordWrap/>
        <w:overflowPunct/>
        <w:topLinePunct w:val="0"/>
        <w:bidi w:val="0"/>
        <w:snapToGrid/>
        <w:spacing w:line="240" w:lineRule="auto"/>
        <w:ind w:firstLine="640" w:firstLineChars="200"/>
        <w:textAlignment w:val="auto"/>
        <w:rPr>
          <w:rFonts w:hint="eastAsia" w:ascii="宋体" w:hAnsi="宋体" w:eastAsia="宋体" w:cs="Times New Roman"/>
          <w:sz w:val="32"/>
          <w:szCs w:val="32"/>
        </w:rPr>
      </w:pPr>
      <w:r>
        <w:rPr>
          <w:rFonts w:hint="eastAsia" w:ascii="宋体" w:hAnsi="宋体" w:eastAsia="宋体" w:cs="Times New Roman"/>
          <w:sz w:val="32"/>
          <w:szCs w:val="32"/>
        </w:rPr>
        <w:t>2021年怀化市鹤城区黄岩学校严格按照上级指示完成了预算与支出，保证了学校的正常工作开展；确保各项决策部署得到有效落实产生了良好的社会效应，也取得了发展的可持续性、长效性。</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eastAsia="宋体" w:cs="Times New Roman"/>
          <w:sz w:val="32"/>
          <w:szCs w:val="32"/>
        </w:rPr>
      </w:pPr>
    </w:p>
    <w:p>
      <w:pPr>
        <w:pStyle w:val="11"/>
        <w:keepNext w:val="0"/>
        <w:keepLines w:val="0"/>
        <w:pageBreakBefore w:val="0"/>
        <w:kinsoku/>
        <w:wordWrap/>
        <w:overflowPunct/>
        <w:topLinePunct w:val="0"/>
        <w:bidi w:val="0"/>
        <w:snapToGrid/>
        <w:spacing w:line="240" w:lineRule="auto"/>
        <w:ind w:firstLine="640" w:firstLineChars="200"/>
        <w:jc w:val="center"/>
        <w:textAlignment w:val="auto"/>
        <w:rPr>
          <w:sz w:val="32"/>
          <w:szCs w:val="32"/>
        </w:rPr>
      </w:pPr>
    </w:p>
    <w:p>
      <w:pPr>
        <w:keepNext w:val="0"/>
        <w:keepLines w:val="0"/>
        <w:pageBreakBefore w:val="0"/>
        <w:widowControl/>
        <w:kinsoku/>
        <w:wordWrap/>
        <w:overflowPunct/>
        <w:topLinePunct w:val="0"/>
        <w:bidi w:val="0"/>
        <w:snapToGrid/>
        <w:spacing w:line="240" w:lineRule="auto"/>
        <w:ind w:firstLine="640" w:firstLineChars="200"/>
        <w:jc w:val="left"/>
        <w:textAlignment w:val="auto"/>
        <w:rPr>
          <w:rFonts w:cs="黑体" w:asciiTheme="minorEastAsia" w:hAnsiTheme="minorEastAsia"/>
          <w:color w:val="000000" w:themeColor="text1"/>
          <w:kern w:val="0"/>
          <w:sz w:val="32"/>
          <w:szCs w:val="32"/>
          <w14:textFill>
            <w14:solidFill>
              <w14:schemeClr w14:val="tx1"/>
            </w14:solidFill>
          </w14:textFill>
        </w:rPr>
      </w:pPr>
      <w:r>
        <w:rPr>
          <w:rFonts w:cs="黑体" w:asciiTheme="minorEastAsia" w:hAnsiTheme="minorEastAsia"/>
          <w:color w:val="000000" w:themeColor="text1"/>
          <w:kern w:val="0"/>
          <w:sz w:val="32"/>
          <w:szCs w:val="32"/>
          <w14:textFill>
            <w14:solidFill>
              <w14:schemeClr w14:val="tx1"/>
            </w14:solidFill>
          </w14:textFill>
        </w:rPr>
        <w:br w:type="page"/>
      </w:r>
    </w:p>
    <w:p>
      <w:pPr>
        <w:keepNext w:val="0"/>
        <w:keepLines w:val="0"/>
        <w:pageBreakBefore w:val="0"/>
        <w:kinsoku/>
        <w:wordWrap/>
        <w:overflowPunct/>
        <w:topLinePunct w:val="0"/>
        <w:bidi w:val="0"/>
        <w:snapToGrid/>
        <w:spacing w:line="240" w:lineRule="auto"/>
        <w:ind w:firstLine="640" w:firstLineChars="200"/>
        <w:textAlignment w:val="auto"/>
        <w:rPr>
          <w:rFonts w:cs="黑体" w:asciiTheme="minorEastAsia" w:hAnsiTheme="minorEastAsia"/>
          <w:color w:val="000000"/>
          <w:kern w:val="0"/>
          <w:sz w:val="32"/>
          <w:szCs w:val="32"/>
        </w:rPr>
      </w:pPr>
    </w:p>
    <w:p>
      <w:pPr>
        <w:pStyle w:val="11"/>
        <w:keepNext w:val="0"/>
        <w:keepLines w:val="0"/>
        <w:pageBreakBefore w:val="0"/>
        <w:kinsoku/>
        <w:wordWrap/>
        <w:overflowPunct/>
        <w:topLinePunct w:val="0"/>
        <w:bidi w:val="0"/>
        <w:snapToGrid/>
        <w:spacing w:line="240" w:lineRule="auto"/>
        <w:ind w:firstLine="1440" w:firstLineChars="200"/>
        <w:jc w:val="center"/>
        <w:textAlignment w:val="auto"/>
        <w:rPr>
          <w:sz w:val="72"/>
          <w:szCs w:val="72"/>
        </w:rPr>
      </w:pPr>
    </w:p>
    <w:p>
      <w:pPr>
        <w:pStyle w:val="11"/>
        <w:keepNext w:val="0"/>
        <w:keepLines w:val="0"/>
        <w:pageBreakBefore w:val="0"/>
        <w:kinsoku/>
        <w:wordWrap/>
        <w:overflowPunct/>
        <w:topLinePunct w:val="0"/>
        <w:bidi w:val="0"/>
        <w:snapToGrid/>
        <w:spacing w:line="240" w:lineRule="auto"/>
        <w:ind w:firstLine="1440" w:firstLineChars="200"/>
        <w:jc w:val="center"/>
        <w:textAlignment w:val="auto"/>
        <w:rPr>
          <w:sz w:val="72"/>
          <w:szCs w:val="72"/>
        </w:rPr>
      </w:pPr>
    </w:p>
    <w:p>
      <w:pPr>
        <w:pStyle w:val="11"/>
        <w:keepNext w:val="0"/>
        <w:keepLines w:val="0"/>
        <w:pageBreakBefore w:val="0"/>
        <w:kinsoku/>
        <w:wordWrap/>
        <w:overflowPunct/>
        <w:topLinePunct w:val="0"/>
        <w:bidi w:val="0"/>
        <w:snapToGrid/>
        <w:spacing w:line="240" w:lineRule="auto"/>
        <w:ind w:firstLine="1440" w:firstLineChars="200"/>
        <w:jc w:val="center"/>
        <w:textAlignment w:val="auto"/>
        <w:rPr>
          <w:sz w:val="72"/>
          <w:szCs w:val="72"/>
        </w:rPr>
      </w:pPr>
    </w:p>
    <w:p>
      <w:pPr>
        <w:pStyle w:val="11"/>
        <w:keepNext w:val="0"/>
        <w:keepLines w:val="0"/>
        <w:pageBreakBefore w:val="0"/>
        <w:kinsoku/>
        <w:wordWrap/>
        <w:overflowPunct/>
        <w:topLinePunct w:val="0"/>
        <w:bidi w:val="0"/>
        <w:snapToGrid/>
        <w:spacing w:line="240" w:lineRule="auto"/>
        <w:ind w:firstLine="1440" w:firstLineChars="200"/>
        <w:jc w:val="center"/>
        <w:textAlignment w:val="auto"/>
        <w:rPr>
          <w:sz w:val="72"/>
          <w:szCs w:val="72"/>
        </w:rPr>
      </w:pPr>
    </w:p>
    <w:p>
      <w:pPr>
        <w:pStyle w:val="11"/>
        <w:keepNext w:val="0"/>
        <w:keepLines w:val="0"/>
        <w:pageBreakBefore w:val="0"/>
        <w:kinsoku/>
        <w:wordWrap/>
        <w:overflowPunct/>
        <w:topLinePunct w:val="0"/>
        <w:bidi w:val="0"/>
        <w:snapToGrid/>
        <w:spacing w:line="240" w:lineRule="auto"/>
        <w:ind w:firstLine="1440" w:firstLineChars="200"/>
        <w:jc w:val="center"/>
        <w:textAlignment w:val="auto"/>
        <w:rPr>
          <w:sz w:val="72"/>
          <w:szCs w:val="72"/>
        </w:rPr>
      </w:pPr>
    </w:p>
    <w:p>
      <w:pPr>
        <w:pStyle w:val="11"/>
        <w:keepNext w:val="0"/>
        <w:keepLines w:val="0"/>
        <w:pageBreakBefore w:val="0"/>
        <w:kinsoku/>
        <w:wordWrap/>
        <w:overflowPunct/>
        <w:topLinePunct w:val="0"/>
        <w:bidi w:val="0"/>
        <w:snapToGrid/>
        <w:spacing w:line="240" w:lineRule="auto"/>
        <w:ind w:firstLine="1440" w:firstLineChars="200"/>
        <w:jc w:val="center"/>
        <w:textAlignment w:val="auto"/>
        <w:rPr>
          <w:sz w:val="72"/>
          <w:szCs w:val="72"/>
        </w:rPr>
      </w:pPr>
    </w:p>
    <w:p>
      <w:pPr>
        <w:pStyle w:val="11"/>
        <w:keepNext w:val="0"/>
        <w:keepLines w:val="0"/>
        <w:pageBreakBefore w:val="0"/>
        <w:kinsoku/>
        <w:wordWrap/>
        <w:overflowPunct/>
        <w:topLinePunct w:val="0"/>
        <w:bidi w:val="0"/>
        <w:snapToGrid/>
        <w:spacing w:line="240" w:lineRule="auto"/>
        <w:jc w:val="center"/>
        <w:textAlignment w:val="auto"/>
        <w:rPr>
          <w:sz w:val="72"/>
          <w:szCs w:val="72"/>
        </w:rPr>
      </w:pPr>
      <w:r>
        <w:rPr>
          <w:rFonts w:hint="eastAsia"/>
          <w:sz w:val="72"/>
          <w:szCs w:val="72"/>
        </w:rPr>
        <w:t>第四部分</w:t>
      </w:r>
    </w:p>
    <w:p>
      <w:pPr>
        <w:keepNext w:val="0"/>
        <w:keepLines w:val="0"/>
        <w:pageBreakBefore w:val="0"/>
        <w:kinsoku/>
        <w:wordWrap/>
        <w:overflowPunct/>
        <w:topLinePunct w:val="0"/>
        <w:bidi w:val="0"/>
        <w:snapToGrid/>
        <w:spacing w:line="240" w:lineRule="auto"/>
        <w:ind w:firstLine="1400" w:firstLineChars="200"/>
        <w:jc w:val="center"/>
        <w:textAlignment w:val="auto"/>
        <w:rPr>
          <w:rFonts w:ascii="黑体" w:eastAsia="黑体" w:cs="黑体"/>
          <w:color w:val="000000"/>
          <w:kern w:val="0"/>
          <w:sz w:val="70"/>
          <w:szCs w:val="70"/>
        </w:rPr>
      </w:pPr>
    </w:p>
    <w:p>
      <w:pPr>
        <w:keepNext w:val="0"/>
        <w:keepLines w:val="0"/>
        <w:pageBreakBefore w:val="0"/>
        <w:kinsoku/>
        <w:wordWrap/>
        <w:overflowPunct/>
        <w:topLinePunct w:val="0"/>
        <w:bidi w:val="0"/>
        <w:snapToGrid/>
        <w:spacing w:line="240" w:lineRule="auto"/>
        <w:jc w:val="center"/>
        <w:textAlignment w:val="auto"/>
        <w:rPr>
          <w:rFonts w:ascii="黑体" w:eastAsia="黑体" w:cs="黑体"/>
          <w:color w:val="000000"/>
          <w:kern w:val="0"/>
          <w:sz w:val="70"/>
          <w:szCs w:val="70"/>
        </w:rPr>
      </w:pPr>
      <w:r>
        <w:rPr>
          <w:rFonts w:hint="eastAsia" w:ascii="黑体" w:eastAsia="黑体" w:cs="黑体"/>
          <w:color w:val="000000"/>
          <w:kern w:val="0"/>
          <w:sz w:val="70"/>
          <w:szCs w:val="70"/>
        </w:rPr>
        <w:t>名词解释</w:t>
      </w:r>
    </w:p>
    <w:p>
      <w:pPr>
        <w:keepNext w:val="0"/>
        <w:keepLines w:val="0"/>
        <w:pageBreakBefore w:val="0"/>
        <w:widowControl/>
        <w:kinsoku/>
        <w:wordWrap/>
        <w:overflowPunct/>
        <w:topLinePunct w:val="0"/>
        <w:bidi w:val="0"/>
        <w:snapToGrid/>
        <w:spacing w:line="240" w:lineRule="auto"/>
        <w:ind w:firstLine="1400" w:firstLineChars="200"/>
        <w:jc w:val="left"/>
        <w:textAlignment w:val="auto"/>
        <w:rPr>
          <w:rFonts w:ascii="黑体" w:eastAsia="黑体" w:cs="黑体"/>
          <w:color w:val="000000"/>
          <w:kern w:val="0"/>
          <w:sz w:val="70"/>
          <w:szCs w:val="70"/>
        </w:rPr>
      </w:pPr>
      <w:r>
        <w:rPr>
          <w:rFonts w:ascii="黑体" w:eastAsia="黑体" w:cs="黑体"/>
          <w:color w:val="000000"/>
          <w:kern w:val="0"/>
          <w:sz w:val="70"/>
          <w:szCs w:val="70"/>
        </w:rPr>
        <w:br w:type="page"/>
      </w:r>
    </w:p>
    <w:p>
      <w:pPr>
        <w:keepNext w:val="0"/>
        <w:keepLines w:val="0"/>
        <w:pageBreakBefore w:val="0"/>
        <w:kinsoku/>
        <w:wordWrap/>
        <w:overflowPunct/>
        <w:topLinePunct w:val="0"/>
        <w:bidi w:val="0"/>
        <w:snapToGrid/>
        <w:spacing w:line="240" w:lineRule="auto"/>
        <w:ind w:firstLine="640" w:firstLineChars="200"/>
        <w:jc w:val="left"/>
        <w:textAlignment w:val="auto"/>
        <w:rPr>
          <w:rFonts w:cs="黑体" w:asciiTheme="minorEastAsia" w:hAnsiTheme="minorEastAsia"/>
          <w:color w:val="000000"/>
          <w:kern w:val="0"/>
          <w:sz w:val="32"/>
          <w:szCs w:val="32"/>
        </w:rPr>
      </w:pPr>
    </w:p>
    <w:p>
      <w:pPr>
        <w:keepNext w:val="0"/>
        <w:keepLines w:val="0"/>
        <w:pageBreakBefore w:val="0"/>
        <w:widowControl/>
        <w:kinsoku/>
        <w:wordWrap/>
        <w:overflowPunct/>
        <w:topLinePunct w:val="0"/>
        <w:bidi w:val="0"/>
        <w:snapToGrid/>
        <w:spacing w:line="240" w:lineRule="auto"/>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bidi w:val="0"/>
        <w:snapToGrid/>
        <w:spacing w:line="240" w:lineRule="auto"/>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bidi w:val="0"/>
        <w:snapToGrid/>
        <w:spacing w:line="240" w:lineRule="auto"/>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jc w:val="center"/>
        <w:rPr>
          <w:rFonts w:cs="黑体" w:asciiTheme="minorEastAsia" w:hAnsiTheme="minorEastAsia"/>
          <w:b/>
          <w:color w:val="000000"/>
          <w:kern w:val="0"/>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cs="宋体" w:asciiTheme="minorEastAsia" w:hAnsiTheme="minorEastAsia"/>
          <w:b/>
          <w:sz w:val="32"/>
          <w:szCs w:val="32"/>
        </w:rPr>
      </w:pPr>
      <w:r>
        <w:rPr>
          <w:rFonts w:hint="eastAsia" w:cs="宋体" w:asciiTheme="minorEastAsia" w:hAnsiTheme="minorEastAsia"/>
          <w:b/>
          <w:sz w:val="32"/>
          <w:szCs w:val="32"/>
        </w:rPr>
        <w:t>一、部门职能职责：</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1、</w:t>
      </w:r>
      <w:r>
        <w:rPr>
          <w:rFonts w:hint="eastAsia" w:cs="仿宋" w:asciiTheme="minorEastAsia" w:hAnsiTheme="minorEastAsia"/>
          <w:sz w:val="30"/>
          <w:szCs w:val="30"/>
        </w:rPr>
        <w:t>怀化市鹤城区黄岩学校是全额拨款的事业单位。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cs="仿宋" w:asciiTheme="minorEastAsia" w:hAnsiTheme="minorEastAsia"/>
          <w:sz w:val="30"/>
          <w:szCs w:val="30"/>
        </w:rPr>
      </w:pPr>
      <w:r>
        <w:rPr>
          <w:rFonts w:hint="eastAsia" w:asciiTheme="minorEastAsia" w:hAnsiTheme="minorEastAsia"/>
          <w:sz w:val="32"/>
          <w:szCs w:val="32"/>
        </w:rPr>
        <w:t>2、</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从事小学教育教学工作。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cs="宋体" w:asciiTheme="minorEastAsia" w:hAnsiTheme="minorEastAsia"/>
          <w:sz w:val="32"/>
          <w:szCs w:val="32"/>
        </w:rPr>
      </w:pPr>
      <w:r>
        <w:rPr>
          <w:rFonts w:hint="eastAsia" w:cs="宋体" w:asciiTheme="minorEastAsia" w:hAnsiTheme="minorEastAsia"/>
          <w:sz w:val="32"/>
          <w:szCs w:val="32"/>
        </w:rPr>
        <w:t>3、编制人员情况:现实有在职人员19人（其中全额拨款19人）</w:t>
      </w:r>
    </w:p>
    <w:p>
      <w:pPr>
        <w:keepNext w:val="0"/>
        <w:keepLines w:val="0"/>
        <w:pageBreakBefore w:val="0"/>
        <w:widowControl w:val="0"/>
        <w:kinsoku/>
        <w:wordWrap/>
        <w:overflowPunct/>
        <w:topLinePunct w:val="0"/>
        <w:autoSpaceDE/>
        <w:autoSpaceDN/>
        <w:bidi w:val="0"/>
        <w:adjustRightInd/>
        <w:snapToGrid/>
        <w:textAlignment w:val="auto"/>
        <w:rPr>
          <w:rFonts w:cs="宋体" w:asciiTheme="minorEastAsia" w:hAnsiTheme="minorEastAsia"/>
          <w:b/>
          <w:sz w:val="32"/>
          <w:szCs w:val="32"/>
        </w:rPr>
      </w:pPr>
      <w:r>
        <w:rPr>
          <w:rFonts w:hint="eastAsia" w:cs="宋体" w:asciiTheme="minorEastAsia" w:hAnsiTheme="minorEastAsia"/>
          <w:b/>
          <w:sz w:val="32"/>
          <w:szCs w:val="32"/>
        </w:rPr>
        <w:t>二、部门收支情况</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cs="宋体" w:asciiTheme="minorEastAsia" w:hAnsiTheme="minorEastAsia"/>
          <w:sz w:val="32"/>
          <w:szCs w:val="32"/>
        </w:rPr>
      </w:pPr>
      <w:r>
        <w:rPr>
          <w:rFonts w:hint="eastAsia" w:cs="宋体" w:asciiTheme="minorEastAsia" w:hAnsiTheme="minorEastAsia"/>
          <w:sz w:val="32"/>
          <w:szCs w:val="32"/>
        </w:rPr>
        <w:t>1、收入说明：2021年总收入为</w:t>
      </w:r>
      <w:r>
        <w:rPr>
          <w:rFonts w:hint="eastAsia" w:asciiTheme="minorEastAsia" w:hAnsiTheme="minorEastAsia"/>
          <w:sz w:val="32"/>
          <w:szCs w:val="32"/>
        </w:rPr>
        <w:t>310.81</w:t>
      </w:r>
      <w:r>
        <w:rPr>
          <w:rFonts w:hint="eastAsia" w:cs="宋体" w:asciiTheme="minorEastAsia" w:hAnsiTheme="minorEastAsia"/>
          <w:sz w:val="32"/>
          <w:szCs w:val="32"/>
        </w:rPr>
        <w:t>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cs="宋体" w:asciiTheme="minorEastAsia" w:hAnsiTheme="minorEastAsia"/>
          <w:sz w:val="32"/>
          <w:szCs w:val="32"/>
        </w:rPr>
      </w:pPr>
      <w:r>
        <w:rPr>
          <w:rFonts w:hint="eastAsia" w:cs="宋体" w:asciiTheme="minorEastAsia" w:hAnsiTheme="minorEastAsia"/>
          <w:sz w:val="32"/>
          <w:szCs w:val="32"/>
        </w:rPr>
        <w:t>2、支出说明：2021年总支出为310.81万元，其中：人员经费支出255.67万元，日常公用经费30.19万元，项目支出为24.94万元。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3、“三公”经费说明：2021年度“三公”经费为0万元，根据各项规定，我单位按要求厉行节约，比年初预算比，没有产生“三公”经费，由于本单位无公车，所以本年度内没有发生公车维护费。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NGRiYmQwOWZkOTg4MzMxMDkzZDc2NzhhOTYzNjMifQ=="/>
  </w:docVars>
  <w:rsids>
    <w:rsidRoot w:val="004506F9"/>
    <w:rsid w:val="00003396"/>
    <w:rsid w:val="00003441"/>
    <w:rsid w:val="0002134F"/>
    <w:rsid w:val="0002229B"/>
    <w:rsid w:val="000273BD"/>
    <w:rsid w:val="00033915"/>
    <w:rsid w:val="00036354"/>
    <w:rsid w:val="000412D5"/>
    <w:rsid w:val="000415B7"/>
    <w:rsid w:val="00043464"/>
    <w:rsid w:val="00054978"/>
    <w:rsid w:val="000658A3"/>
    <w:rsid w:val="00074155"/>
    <w:rsid w:val="0008681D"/>
    <w:rsid w:val="000A3F69"/>
    <w:rsid w:val="000A68DC"/>
    <w:rsid w:val="000B0D24"/>
    <w:rsid w:val="000D1B33"/>
    <w:rsid w:val="000D36A3"/>
    <w:rsid w:val="001502B2"/>
    <w:rsid w:val="00152A06"/>
    <w:rsid w:val="00152C6D"/>
    <w:rsid w:val="001607B2"/>
    <w:rsid w:val="00162D39"/>
    <w:rsid w:val="00164F31"/>
    <w:rsid w:val="001651B4"/>
    <w:rsid w:val="001700E2"/>
    <w:rsid w:val="0019026A"/>
    <w:rsid w:val="00194895"/>
    <w:rsid w:val="001A67DB"/>
    <w:rsid w:val="001C3AE6"/>
    <w:rsid w:val="001C4FEE"/>
    <w:rsid w:val="001C5F5E"/>
    <w:rsid w:val="001D51E5"/>
    <w:rsid w:val="001E0CD3"/>
    <w:rsid w:val="001F0C3B"/>
    <w:rsid w:val="002143B2"/>
    <w:rsid w:val="00214427"/>
    <w:rsid w:val="0022587E"/>
    <w:rsid w:val="00232AD6"/>
    <w:rsid w:val="002612CF"/>
    <w:rsid w:val="00261728"/>
    <w:rsid w:val="002643BE"/>
    <w:rsid w:val="00265724"/>
    <w:rsid w:val="00273BAA"/>
    <w:rsid w:val="0027426B"/>
    <w:rsid w:val="00280A1D"/>
    <w:rsid w:val="002848C0"/>
    <w:rsid w:val="002A0840"/>
    <w:rsid w:val="002C4E8A"/>
    <w:rsid w:val="002C4F37"/>
    <w:rsid w:val="002D3072"/>
    <w:rsid w:val="002E3A0C"/>
    <w:rsid w:val="002E7140"/>
    <w:rsid w:val="00336A3E"/>
    <w:rsid w:val="00340E1E"/>
    <w:rsid w:val="003479BD"/>
    <w:rsid w:val="0037233A"/>
    <w:rsid w:val="00374827"/>
    <w:rsid w:val="003768D5"/>
    <w:rsid w:val="00390A16"/>
    <w:rsid w:val="003A0A94"/>
    <w:rsid w:val="003B2385"/>
    <w:rsid w:val="003F6677"/>
    <w:rsid w:val="00410E2F"/>
    <w:rsid w:val="00424583"/>
    <w:rsid w:val="00437BE7"/>
    <w:rsid w:val="00440F65"/>
    <w:rsid w:val="004442D4"/>
    <w:rsid w:val="0044488C"/>
    <w:rsid w:val="004506F9"/>
    <w:rsid w:val="004717A2"/>
    <w:rsid w:val="00491741"/>
    <w:rsid w:val="004A0949"/>
    <w:rsid w:val="004C3C2F"/>
    <w:rsid w:val="004E4B84"/>
    <w:rsid w:val="00500E5F"/>
    <w:rsid w:val="0050542A"/>
    <w:rsid w:val="005122EF"/>
    <w:rsid w:val="00514C19"/>
    <w:rsid w:val="00515597"/>
    <w:rsid w:val="00517C33"/>
    <w:rsid w:val="00523644"/>
    <w:rsid w:val="0054069E"/>
    <w:rsid w:val="005557DF"/>
    <w:rsid w:val="005767CC"/>
    <w:rsid w:val="00590D9F"/>
    <w:rsid w:val="00594B75"/>
    <w:rsid w:val="00595D26"/>
    <w:rsid w:val="005A74E6"/>
    <w:rsid w:val="005D4D55"/>
    <w:rsid w:val="005D6CD7"/>
    <w:rsid w:val="005E2CFB"/>
    <w:rsid w:val="005E3C93"/>
    <w:rsid w:val="005F0402"/>
    <w:rsid w:val="0060753D"/>
    <w:rsid w:val="0062378F"/>
    <w:rsid w:val="00637E47"/>
    <w:rsid w:val="00645175"/>
    <w:rsid w:val="00651EEC"/>
    <w:rsid w:val="00652413"/>
    <w:rsid w:val="00661E92"/>
    <w:rsid w:val="006665DA"/>
    <w:rsid w:val="006701EC"/>
    <w:rsid w:val="0067578E"/>
    <w:rsid w:val="006A351B"/>
    <w:rsid w:val="006B0422"/>
    <w:rsid w:val="006C1B53"/>
    <w:rsid w:val="006D3567"/>
    <w:rsid w:val="006D7730"/>
    <w:rsid w:val="006E2E56"/>
    <w:rsid w:val="006E474B"/>
    <w:rsid w:val="006E5284"/>
    <w:rsid w:val="006F3EB5"/>
    <w:rsid w:val="006F539E"/>
    <w:rsid w:val="00700BD2"/>
    <w:rsid w:val="00702E34"/>
    <w:rsid w:val="00704395"/>
    <w:rsid w:val="007061C9"/>
    <w:rsid w:val="00706E61"/>
    <w:rsid w:val="00712FD9"/>
    <w:rsid w:val="00714AF7"/>
    <w:rsid w:val="00720FF1"/>
    <w:rsid w:val="00723160"/>
    <w:rsid w:val="00725763"/>
    <w:rsid w:val="0074149D"/>
    <w:rsid w:val="00751175"/>
    <w:rsid w:val="00795E24"/>
    <w:rsid w:val="007B6332"/>
    <w:rsid w:val="007B63CA"/>
    <w:rsid w:val="007D02F0"/>
    <w:rsid w:val="007D2276"/>
    <w:rsid w:val="007F3D78"/>
    <w:rsid w:val="00800EFA"/>
    <w:rsid w:val="00812ED5"/>
    <w:rsid w:val="008232CB"/>
    <w:rsid w:val="008277D9"/>
    <w:rsid w:val="008569A1"/>
    <w:rsid w:val="00860282"/>
    <w:rsid w:val="00863C1F"/>
    <w:rsid w:val="00865BC8"/>
    <w:rsid w:val="00897FCA"/>
    <w:rsid w:val="008A38D3"/>
    <w:rsid w:val="008A3E8D"/>
    <w:rsid w:val="008B501F"/>
    <w:rsid w:val="008B67B8"/>
    <w:rsid w:val="008C05E7"/>
    <w:rsid w:val="008C4412"/>
    <w:rsid w:val="008C7D66"/>
    <w:rsid w:val="008F5682"/>
    <w:rsid w:val="00901FFA"/>
    <w:rsid w:val="009061C8"/>
    <w:rsid w:val="00906716"/>
    <w:rsid w:val="009237C4"/>
    <w:rsid w:val="00950252"/>
    <w:rsid w:val="00954086"/>
    <w:rsid w:val="00967F5D"/>
    <w:rsid w:val="00991CDA"/>
    <w:rsid w:val="009A0F95"/>
    <w:rsid w:val="009B0A51"/>
    <w:rsid w:val="009B3ADF"/>
    <w:rsid w:val="009C3B52"/>
    <w:rsid w:val="009C3CF3"/>
    <w:rsid w:val="009C5BB9"/>
    <w:rsid w:val="009D69BD"/>
    <w:rsid w:val="009E512C"/>
    <w:rsid w:val="009F12B4"/>
    <w:rsid w:val="009F1E66"/>
    <w:rsid w:val="00A01C03"/>
    <w:rsid w:val="00A102E4"/>
    <w:rsid w:val="00A1315B"/>
    <w:rsid w:val="00A13692"/>
    <w:rsid w:val="00A25CF1"/>
    <w:rsid w:val="00A31680"/>
    <w:rsid w:val="00A32E0B"/>
    <w:rsid w:val="00A40B0E"/>
    <w:rsid w:val="00A42218"/>
    <w:rsid w:val="00A45FFE"/>
    <w:rsid w:val="00A57A73"/>
    <w:rsid w:val="00A66966"/>
    <w:rsid w:val="00A70249"/>
    <w:rsid w:val="00A909DF"/>
    <w:rsid w:val="00AA0D85"/>
    <w:rsid w:val="00AA4B9D"/>
    <w:rsid w:val="00AF0E59"/>
    <w:rsid w:val="00B06C0A"/>
    <w:rsid w:val="00B10585"/>
    <w:rsid w:val="00B1668C"/>
    <w:rsid w:val="00B26379"/>
    <w:rsid w:val="00B33BEA"/>
    <w:rsid w:val="00B440A6"/>
    <w:rsid w:val="00B57C9F"/>
    <w:rsid w:val="00B716B6"/>
    <w:rsid w:val="00B83673"/>
    <w:rsid w:val="00B845B3"/>
    <w:rsid w:val="00B85D8B"/>
    <w:rsid w:val="00B86EC5"/>
    <w:rsid w:val="00B913DB"/>
    <w:rsid w:val="00BA497A"/>
    <w:rsid w:val="00BC7861"/>
    <w:rsid w:val="00BE3674"/>
    <w:rsid w:val="00BE6414"/>
    <w:rsid w:val="00C21AF6"/>
    <w:rsid w:val="00C3049A"/>
    <w:rsid w:val="00C3052B"/>
    <w:rsid w:val="00C31B1E"/>
    <w:rsid w:val="00C33A43"/>
    <w:rsid w:val="00C54F98"/>
    <w:rsid w:val="00C77645"/>
    <w:rsid w:val="00CA5F5F"/>
    <w:rsid w:val="00CC63D9"/>
    <w:rsid w:val="00CD4C24"/>
    <w:rsid w:val="00CE04C3"/>
    <w:rsid w:val="00CE5BB2"/>
    <w:rsid w:val="00CE6206"/>
    <w:rsid w:val="00CE76A0"/>
    <w:rsid w:val="00D01A21"/>
    <w:rsid w:val="00D041A1"/>
    <w:rsid w:val="00D148C6"/>
    <w:rsid w:val="00D22D2F"/>
    <w:rsid w:val="00D30EF3"/>
    <w:rsid w:val="00D602DE"/>
    <w:rsid w:val="00D60428"/>
    <w:rsid w:val="00D639CF"/>
    <w:rsid w:val="00D6741D"/>
    <w:rsid w:val="00D71F41"/>
    <w:rsid w:val="00D86CD1"/>
    <w:rsid w:val="00D935D1"/>
    <w:rsid w:val="00DA583E"/>
    <w:rsid w:val="00DA70BE"/>
    <w:rsid w:val="00DC250F"/>
    <w:rsid w:val="00DD06FF"/>
    <w:rsid w:val="00DD5FE9"/>
    <w:rsid w:val="00DE0670"/>
    <w:rsid w:val="00DF1E16"/>
    <w:rsid w:val="00E00C7A"/>
    <w:rsid w:val="00E02EDA"/>
    <w:rsid w:val="00E13D0E"/>
    <w:rsid w:val="00E20E47"/>
    <w:rsid w:val="00E25D58"/>
    <w:rsid w:val="00E31096"/>
    <w:rsid w:val="00E422BE"/>
    <w:rsid w:val="00E55B68"/>
    <w:rsid w:val="00E64BDE"/>
    <w:rsid w:val="00E70BF6"/>
    <w:rsid w:val="00E80F7B"/>
    <w:rsid w:val="00E8394E"/>
    <w:rsid w:val="00E92182"/>
    <w:rsid w:val="00E94ECA"/>
    <w:rsid w:val="00E95CAA"/>
    <w:rsid w:val="00E9708F"/>
    <w:rsid w:val="00EC05F0"/>
    <w:rsid w:val="00EC5578"/>
    <w:rsid w:val="00ED2935"/>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5A10"/>
    <w:rsid w:val="08354888"/>
    <w:rsid w:val="08DA0EE6"/>
    <w:rsid w:val="0B903ADE"/>
    <w:rsid w:val="0ED73994"/>
    <w:rsid w:val="1075694E"/>
    <w:rsid w:val="19257F5C"/>
    <w:rsid w:val="1E306B52"/>
    <w:rsid w:val="20F71188"/>
    <w:rsid w:val="2173529E"/>
    <w:rsid w:val="273121C1"/>
    <w:rsid w:val="3316018A"/>
    <w:rsid w:val="3575771D"/>
    <w:rsid w:val="39AA7C03"/>
    <w:rsid w:val="3DD40DE4"/>
    <w:rsid w:val="3EC1094A"/>
    <w:rsid w:val="49884380"/>
    <w:rsid w:val="4F812B80"/>
    <w:rsid w:val="52BA4026"/>
    <w:rsid w:val="5F3056AF"/>
    <w:rsid w:val="6D1056EB"/>
    <w:rsid w:val="714363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FFB99-E6ED-4500-9B4E-9CDE21C1A1D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5012</Words>
  <Characters>5378</Characters>
  <Lines>39</Lines>
  <Paragraphs>11</Paragraphs>
  <TotalTime>0</TotalTime>
  <ScaleCrop>false</ScaleCrop>
  <LinksUpToDate>false</LinksUpToDate>
  <CharactersWithSpaces>5395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2020-09-04T07:27:00Z</dcterms:created>
  <dc:creator>李航 null</dc:creator>
  <cp:lastModifiedBy>yanyan小朋友 </cp:lastModifiedBy>
  <cp:lastPrinted>2021-09-22T06:01:00Z</cp:lastPrinted>
  <dcterms:modified xsi:type="dcterms:W3CDTF">2023-09-27T18:47:14Z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68868638E5CF4816BA956D6026FA0AB8_13</vt:lpwstr>
  </property>
</Properties>
</file>