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jc w:val="center"/>
        <w:rPr>
          <w:sz w:val="56"/>
          <w:szCs w:val="56"/>
        </w:rPr>
      </w:pPr>
    </w:p>
    <w:p>
      <w:pPr>
        <w:pStyle w:val="11"/>
        <w:jc w:val="center"/>
        <w:rPr>
          <w:sz w:val="56"/>
          <w:szCs w:val="56"/>
        </w:rPr>
      </w:pPr>
    </w:p>
    <w:p>
      <w:pPr>
        <w:pStyle w:val="11"/>
        <w:jc w:val="center"/>
        <w:rPr>
          <w:sz w:val="84"/>
          <w:szCs w:val="84"/>
        </w:rPr>
      </w:pPr>
    </w:p>
    <w:p>
      <w:pPr>
        <w:pStyle w:val="11"/>
        <w:jc w:val="center"/>
        <w:rPr>
          <w:sz w:val="84"/>
          <w:szCs w:val="84"/>
        </w:rPr>
      </w:pPr>
    </w:p>
    <w:p>
      <w:pPr>
        <w:pStyle w:val="11"/>
        <w:jc w:val="center"/>
        <w:rPr>
          <w:sz w:val="84"/>
          <w:szCs w:val="84"/>
        </w:rPr>
      </w:pPr>
      <w:r>
        <w:rPr>
          <w:rFonts w:hint="eastAsia"/>
          <w:sz w:val="84"/>
          <w:szCs w:val="84"/>
        </w:rPr>
        <w:t>2021年度</w:t>
      </w:r>
    </w:p>
    <w:p>
      <w:pPr>
        <w:pStyle w:val="11"/>
        <w:jc w:val="center"/>
        <w:rPr>
          <w:sz w:val="84"/>
          <w:szCs w:val="84"/>
        </w:rPr>
      </w:pPr>
      <w:r>
        <w:rPr>
          <w:rFonts w:hint="eastAsia"/>
          <w:sz w:val="84"/>
          <w:szCs w:val="84"/>
        </w:rPr>
        <w:t>黄金坳人民政府部门决算</w:t>
      </w: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56"/>
          <w:szCs w:val="56"/>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jc w:val="center"/>
        <w:rPr>
          <w:sz w:val="32"/>
          <w:szCs w:val="32"/>
        </w:rPr>
      </w:pPr>
    </w:p>
    <w:p>
      <w:pPr>
        <w:pStyle w:val="11"/>
        <w:spacing w:line="540" w:lineRule="exact"/>
        <w:jc w:val="center"/>
        <w:rPr>
          <w:sz w:val="56"/>
          <w:szCs w:val="56"/>
        </w:rPr>
      </w:pPr>
    </w:p>
    <w:p>
      <w:pPr>
        <w:pStyle w:val="11"/>
        <w:spacing w:line="500" w:lineRule="exact"/>
        <w:jc w:val="center"/>
        <w:rPr>
          <w:b/>
          <w:sz w:val="36"/>
          <w:szCs w:val="28"/>
        </w:rPr>
      </w:pPr>
    </w:p>
    <w:p>
      <w:pPr>
        <w:pStyle w:val="11"/>
        <w:spacing w:line="500" w:lineRule="exact"/>
        <w:jc w:val="center"/>
        <w:rPr>
          <w:b/>
          <w:sz w:val="36"/>
          <w:szCs w:val="28"/>
        </w:rPr>
      </w:pPr>
    </w:p>
    <w:p>
      <w:pPr>
        <w:pStyle w:val="11"/>
        <w:spacing w:line="500" w:lineRule="exact"/>
        <w:jc w:val="center"/>
        <w:rPr>
          <w:b/>
          <w:sz w:val="36"/>
          <w:szCs w:val="28"/>
        </w:rPr>
      </w:pPr>
      <w:r>
        <w:rPr>
          <w:rFonts w:hint="eastAsia"/>
          <w:b/>
          <w:sz w:val="36"/>
          <w:szCs w:val="28"/>
        </w:rPr>
        <w:t>目录</w:t>
      </w:r>
    </w:p>
    <w:p>
      <w:pPr>
        <w:pStyle w:val="11"/>
        <w:spacing w:line="500" w:lineRule="exact"/>
        <w:rPr>
          <w:rFonts w:ascii="仿宋_GB2312" w:hAnsi="仿宋_GB2312" w:cs="仿宋_GB2312"/>
          <w:b/>
          <w:sz w:val="28"/>
          <w:szCs w:val="28"/>
        </w:rPr>
      </w:pPr>
      <w:r>
        <w:rPr>
          <w:rFonts w:hint="eastAsia"/>
          <w:b/>
          <w:sz w:val="28"/>
          <w:szCs w:val="28"/>
        </w:rPr>
        <w:t>第一部分单位概况</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11"/>
        <w:spacing w:line="50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w:t>
      </w:r>
      <w:r>
        <w:rPr>
          <w:rFonts w:hint="eastAsia" w:hAnsi="仿宋_GB2312"/>
          <w:b/>
          <w:sz w:val="28"/>
          <w:szCs w:val="28"/>
        </w:rPr>
        <w:t>21年度部门决算表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rPr>
        <w:t>明细</w:t>
      </w:r>
      <w:r>
        <w:rPr>
          <w:rFonts w:cs="仿宋_GB2312" w:asciiTheme="minorEastAsia" w:hAnsiTheme="minorEastAsia" w:eastAsiaTheme="minorEastAsia"/>
          <w:sz w:val="28"/>
          <w:szCs w:val="28"/>
        </w:rPr>
        <w:t>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1"/>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1"/>
        <w:spacing w:line="50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w:t>
      </w:r>
      <w:r>
        <w:rPr>
          <w:rFonts w:hint="eastAsia" w:hAnsi="仿宋_GB2312"/>
          <w:b/>
          <w:sz w:val="28"/>
          <w:szCs w:val="28"/>
        </w:rPr>
        <w:t>21年度部门决算情况说明</w:t>
      </w:r>
    </w:p>
    <w:p>
      <w:pPr>
        <w:pStyle w:val="11"/>
        <w:spacing w:line="50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0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rPr>
        <w:t>”</w:t>
      </w:r>
      <w:r>
        <w:rPr>
          <w:rFonts w:ascii="仿宋_GB2312" w:hAnsi="仿宋_GB2312" w:cs="仿宋_GB2312"/>
          <w:color w:val="000000"/>
          <w:kern w:val="0"/>
          <w:sz w:val="28"/>
          <w:szCs w:val="28"/>
        </w:rPr>
        <w:t>经费支出决算情况说明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700" w:firstLineChars="250"/>
        <w:jc w:val="left"/>
        <w:rPr>
          <w:rFonts w:cs="仿宋_GB2312" w:asciiTheme="minorEastAsia" w:hAnsiTheme="minorEastAsia"/>
          <w:sz w:val="28"/>
          <w:szCs w:val="28"/>
        </w:rPr>
      </w:pPr>
      <w:r>
        <w:rPr>
          <w:rFonts w:hint="eastAsia" w:ascii="仿宋_GB2312" w:hAnsi="仿宋_GB2312" w:cs="仿宋_GB2312"/>
          <w:color w:val="000000"/>
          <w:kern w:val="0"/>
          <w:sz w:val="28"/>
          <w:szCs w:val="28"/>
        </w:rPr>
        <w:t>九、</w:t>
      </w:r>
      <w:r>
        <w:rPr>
          <w:rFonts w:hint="eastAsia" w:cs="仿宋_GB2312" w:asciiTheme="minorEastAsia" w:hAnsiTheme="minorEastAsia"/>
          <w:sz w:val="28"/>
          <w:szCs w:val="28"/>
        </w:rPr>
        <w:t>国有资本经营预算财政拨款收支决算情况</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机关运行经费支出说明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十一、一般性支出情况说明</w:t>
      </w:r>
    </w:p>
    <w:p>
      <w:pPr>
        <w:autoSpaceDE w:val="0"/>
        <w:autoSpaceDN w:val="0"/>
        <w:adjustRightInd w:val="0"/>
        <w:spacing w:line="50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十二、政府采购支出说明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十三、国有资产占用情况说明</w:t>
      </w:r>
    </w:p>
    <w:p>
      <w:pPr>
        <w:pStyle w:val="11"/>
        <w:spacing w:line="500" w:lineRule="exact"/>
        <w:ind w:firstLine="700" w:firstLineChars="250"/>
        <w:rPr>
          <w:rFonts w:ascii="仿宋_GB2312" w:hAnsi="仿宋_GB2312" w:cs="仿宋_GB2312" w:eastAsiaTheme="minorEastAsia"/>
          <w:sz w:val="28"/>
          <w:szCs w:val="28"/>
        </w:rPr>
      </w:pPr>
      <w:r>
        <w:rPr>
          <w:rFonts w:hint="eastAsia" w:ascii="仿宋_GB2312" w:hAnsi="仿宋_GB2312" w:cs="仿宋_GB2312" w:eastAsiaTheme="minorEastAsia"/>
          <w:sz w:val="28"/>
          <w:szCs w:val="28"/>
        </w:rPr>
        <w:t>十四、</w:t>
      </w:r>
      <w:r>
        <w:rPr>
          <w:rFonts w:hint="eastAsia" w:cs="仿宋_GB2312" w:asciiTheme="minorEastAsia" w:hAnsiTheme="minorEastAsia" w:eastAsiaTheme="minorEastAsia"/>
          <w:sz w:val="28"/>
          <w:szCs w:val="28"/>
        </w:rPr>
        <w:t>2021年</w:t>
      </w:r>
      <w:r>
        <w:rPr>
          <w:rFonts w:hint="eastAsia" w:ascii="仿宋_GB2312" w:hAnsi="仿宋_GB2312" w:cs="仿宋_GB2312" w:eastAsiaTheme="minorEastAsia"/>
          <w:sz w:val="28"/>
          <w:szCs w:val="28"/>
        </w:rPr>
        <w:t>度预算绩效情况说明</w:t>
      </w:r>
    </w:p>
    <w:p>
      <w:pPr>
        <w:autoSpaceDE w:val="0"/>
        <w:autoSpaceDN w:val="0"/>
        <w:adjustRightInd w:val="0"/>
        <w:spacing w:line="500" w:lineRule="exact"/>
        <w:ind w:firstLine="135" w:firstLineChars="48"/>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r>
        <w:rPr>
          <w:rFonts w:hint="eastAsia" w:ascii="黑体" w:hAnsi="黑体" w:eastAsia="黑体" w:cs="黑体"/>
          <w:b/>
          <w:color w:val="000000"/>
          <w:kern w:val="0"/>
          <w:sz w:val="28"/>
          <w:szCs w:val="28"/>
        </w:rPr>
        <w:t xml:space="preserve">    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11"/>
        <w:jc w:val="center"/>
        <w:rPr>
          <w:sz w:val="84"/>
          <w:szCs w:val="84"/>
        </w:rPr>
      </w:pPr>
      <w:r>
        <w:rPr>
          <w:rFonts w:hint="eastAsia"/>
          <w:sz w:val="84"/>
          <w:szCs w:val="84"/>
        </w:rPr>
        <w:t>第一部分</w:t>
      </w:r>
    </w:p>
    <w:p>
      <w:pPr>
        <w:pStyle w:val="11"/>
        <w:jc w:val="center"/>
        <w:rPr>
          <w:sz w:val="84"/>
          <w:szCs w:val="84"/>
        </w:rPr>
      </w:pPr>
    </w:p>
    <w:p>
      <w:pPr>
        <w:pStyle w:val="11"/>
        <w:jc w:val="center"/>
        <w:rPr>
          <w:sz w:val="84"/>
          <w:szCs w:val="84"/>
        </w:rPr>
      </w:pPr>
      <w:r>
        <w:rPr>
          <w:rFonts w:hint="eastAsia"/>
          <w:sz w:val="84"/>
          <w:szCs w:val="84"/>
        </w:rPr>
        <w:t>黄金坳人民政府概况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ind w:left="720" w:firstLine="0" w:firstLineChars="0"/>
        <w:jc w:val="left"/>
        <w:rPr>
          <w:rFonts w:ascii="黑体" w:hAnsi="黑体" w:eastAsia="黑体"/>
          <w:sz w:val="32"/>
          <w:szCs w:val="32"/>
        </w:rPr>
      </w:pPr>
    </w:p>
    <w:p>
      <w:pPr>
        <w:pStyle w:val="12"/>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autoSpaceDE w:val="0"/>
        <w:autoSpaceDN w:val="0"/>
        <w:adjustRightInd w:val="0"/>
        <w:spacing w:line="500" w:lineRule="exact"/>
        <w:ind w:firstLine="700" w:firstLineChars="250"/>
        <w:jc w:val="left"/>
        <w:rPr>
          <w:rFonts w:hint="eastAsia" w:ascii="仿宋_GB2312" w:hAnsi="仿宋_GB2312" w:cs="仿宋_GB2312"/>
          <w:color w:val="000000"/>
          <w:kern w:val="0"/>
          <w:sz w:val="28"/>
          <w:szCs w:val="28"/>
        </w:rPr>
      </w:pPr>
      <w:r>
        <w:rPr>
          <w:rFonts w:hint="eastAsia" w:ascii="仿宋_GB2312" w:hAnsi="仿宋_GB2312" w:cs="仿宋_GB2312"/>
          <w:color w:val="000000"/>
          <w:kern w:val="0"/>
          <w:sz w:val="28"/>
          <w:szCs w:val="28"/>
        </w:rPr>
        <w:t>执行本级人民代表大会的决议和上级国家行政机关的决定和命令；执行本级行政区域内的经济和社会发展计划，管理、预算本行政区域内的经济、教育、科学、文化、卫生、体育事业和财政、民政、公安、司法、计划生育等行政工作。</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widowControl/>
        <w:spacing w:line="600" w:lineRule="exact"/>
        <w:ind w:firstLine="640" w:firstLineChars="200"/>
        <w:rPr>
          <w:rFonts w:hint="eastAsia" w:ascii="仿宋_GB2312" w:hAnsi="仿宋_GB2312" w:cs="仿宋_GB2312" w:eastAsiaTheme="minorEastAsia"/>
          <w:color w:val="000000"/>
          <w:kern w:val="0"/>
          <w:sz w:val="28"/>
          <w:szCs w:val="28"/>
          <w:lang w:eastAsia="zh-CN"/>
        </w:rPr>
      </w:pPr>
      <w:r>
        <w:rPr>
          <w:rFonts w:hint="eastAsia" w:asciiTheme="minorEastAsia" w:hAnsiTheme="minorEastAsia"/>
          <w:bCs/>
          <w:kern w:val="0"/>
          <w:sz w:val="32"/>
          <w:szCs w:val="32"/>
        </w:rPr>
        <w:t>（一）内设机构设置。</w:t>
      </w:r>
      <w:r>
        <w:rPr>
          <w:rFonts w:hint="eastAsia" w:ascii="仿宋_GB2312" w:hAnsi="仿宋_GB2312" w:cs="仿宋_GB2312"/>
          <w:color w:val="000000"/>
          <w:kern w:val="0"/>
          <w:sz w:val="28"/>
          <w:szCs w:val="28"/>
        </w:rPr>
        <w:t>黄金坳镇人民政府是财政全额拨款的行政事业单位，内设人民政府机关预算机构</w:t>
      </w:r>
      <w:r>
        <w:rPr>
          <w:rFonts w:hint="eastAsia" w:ascii="仿宋_GB2312" w:hAnsi="仿宋_GB2312" w:cs="仿宋_GB2312"/>
          <w:color w:val="000000"/>
          <w:kern w:val="0"/>
          <w:sz w:val="28"/>
          <w:szCs w:val="28"/>
          <w:lang w:eastAsia="zh-CN"/>
        </w:rPr>
        <w:t>。</w:t>
      </w:r>
    </w:p>
    <w:p>
      <w:pPr>
        <w:widowControl/>
        <w:spacing w:line="600" w:lineRule="exact"/>
        <w:ind w:firstLine="640" w:firstLineChars="200"/>
        <w:rPr>
          <w:rFonts w:hint="eastAsia" w:ascii="仿宋_GB2312" w:hAnsi="仿宋_GB2312" w:cs="仿宋_GB2312" w:eastAsiaTheme="minorEastAsia"/>
          <w:color w:val="000000"/>
          <w:kern w:val="0"/>
          <w:sz w:val="28"/>
          <w:szCs w:val="28"/>
          <w:lang w:eastAsia="zh-CN"/>
        </w:rPr>
      </w:pPr>
      <w:r>
        <w:rPr>
          <w:rFonts w:hint="eastAsia" w:asciiTheme="minorEastAsia" w:hAnsiTheme="minorEastAsia"/>
          <w:bCs/>
          <w:kern w:val="0"/>
          <w:sz w:val="32"/>
          <w:szCs w:val="32"/>
        </w:rPr>
        <w:t>（二）决算单位构成。</w:t>
      </w:r>
      <w:r>
        <w:rPr>
          <w:rFonts w:hint="eastAsia" w:ascii="仿宋_GB2312" w:hAnsi="仿宋_GB2312" w:cs="仿宋_GB2312"/>
          <w:color w:val="000000"/>
          <w:kern w:val="0"/>
          <w:sz w:val="28"/>
          <w:szCs w:val="28"/>
        </w:rPr>
        <w:t>黄金坳人民政府2021年部门决算汇总公开单位构成包括：黄金坳人民政府本级</w:t>
      </w:r>
      <w:r>
        <w:rPr>
          <w:rFonts w:hint="eastAsia" w:ascii="仿宋_GB2312" w:hAnsi="仿宋_GB2312" w:cs="仿宋_GB2312"/>
          <w:color w:val="000000"/>
          <w:kern w:val="0"/>
          <w:sz w:val="28"/>
          <w:szCs w:val="28"/>
          <w:lang w:eastAsia="zh-CN"/>
        </w:rPr>
        <w:t>。</w:t>
      </w:r>
    </w:p>
    <w:p>
      <w:pPr>
        <w:widowControl/>
        <w:spacing w:line="600" w:lineRule="exact"/>
        <w:rPr>
          <w:rFonts w:hint="eastAsia" w:ascii="仿宋_GB2312" w:hAnsi="仿宋_GB2312" w:cs="仿宋_GB2312"/>
          <w:color w:val="000000"/>
          <w:kern w:val="0"/>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w:t>
      </w:r>
      <w:r>
        <w:rPr>
          <w:sz w:val="72"/>
          <w:szCs w:val="72"/>
        </w:rPr>
        <w:br w:type="textWrapping"/>
      </w:r>
      <w:r>
        <w:rPr>
          <w:rFonts w:hint="eastAsia"/>
          <w:sz w:val="72"/>
          <w:szCs w:val="72"/>
        </w:rPr>
        <w:t>（表格见附件）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left"/>
        <w:rPr>
          <w:sz w:val="32"/>
          <w:szCs w:val="32"/>
        </w:rPr>
      </w:pPr>
    </w:p>
    <w:p>
      <w:pPr>
        <w:jc w:val="left"/>
        <w:rPr>
          <w:rFonts w:asciiTheme="minorEastAsia" w:hAnsiTheme="minorEastAsia"/>
          <w:sz w:val="32"/>
          <w:szCs w:val="32"/>
        </w:rPr>
        <w:sectPr>
          <w:pgSz w:w="11906" w:h="16838"/>
          <w:pgMar w:top="720" w:right="720" w:bottom="720" w:left="720" w:header="851" w:footer="992" w:gutter="0"/>
          <w:cols w:space="425" w:num="1"/>
          <w:docGrid w:type="lines" w:linePitch="312" w:charSpace="0"/>
        </w:sectPr>
      </w:pPr>
    </w:p>
    <w:p>
      <w:pPr>
        <w:pStyle w:val="11"/>
        <w:rPr>
          <w:sz w:val="72"/>
          <w:szCs w:val="72"/>
        </w:rPr>
      </w:pPr>
    </w:p>
    <w:p>
      <w:pPr>
        <w:pStyle w:val="11"/>
        <w:rPr>
          <w:sz w:val="72"/>
          <w:szCs w:val="72"/>
        </w:rPr>
      </w:pPr>
    </w:p>
    <w:p>
      <w:pPr>
        <w:pStyle w:val="11"/>
        <w:rPr>
          <w:sz w:val="72"/>
          <w:szCs w:val="72"/>
        </w:rPr>
      </w:pPr>
    </w:p>
    <w:p>
      <w:pPr>
        <w:pStyle w:val="11"/>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第三部分</w:t>
      </w:r>
    </w:p>
    <w:p>
      <w:pPr>
        <w:pStyle w:val="11"/>
        <w:jc w:val="center"/>
        <w:rPr>
          <w:sz w:val="70"/>
          <w:szCs w:val="70"/>
        </w:rPr>
      </w:pPr>
    </w:p>
    <w:p>
      <w:pPr>
        <w:pStyle w:val="11"/>
        <w:jc w:val="center"/>
        <w:rPr>
          <w:sz w:val="70"/>
          <w:szCs w:val="70"/>
        </w:rPr>
      </w:pPr>
      <w:r>
        <w:rPr>
          <w:sz w:val="70"/>
          <w:szCs w:val="70"/>
        </w:rPr>
        <w:t>20</w:t>
      </w:r>
      <w:r>
        <w:rPr>
          <w:rFonts w:hint="eastAsia"/>
          <w:sz w:val="70"/>
          <w:szCs w:val="70"/>
        </w:rPr>
        <w:t>21年度部门决算情况说明</w:t>
      </w:r>
    </w:p>
    <w:p>
      <w:pPr>
        <w:widowControl/>
        <w:jc w:val="left"/>
        <w:rPr>
          <w:rFonts w:asciiTheme="minorEastAsia" w:hAnsiTheme="minorEastAsia" w:eastAsiaTheme="minorEastAsia"/>
          <w:sz w:val="32"/>
          <w:szCs w:val="32"/>
        </w:rPr>
      </w:pPr>
      <w:r>
        <w:rPr>
          <w:sz w:val="70"/>
          <w:szCs w:val="70"/>
        </w:rPr>
        <w:br w:type="page"/>
      </w:r>
    </w:p>
    <w:p>
      <w:pPr>
        <w:pStyle w:val="11"/>
        <w:rPr>
          <w:rFonts w:hAnsi="黑体"/>
          <w:b/>
          <w:sz w:val="32"/>
          <w:szCs w:val="32"/>
        </w:rPr>
      </w:pPr>
      <w:r>
        <w:rPr>
          <w:rFonts w:hint="eastAsia" w:hAnsi="黑体"/>
          <w:b/>
          <w:sz w:val="32"/>
          <w:szCs w:val="32"/>
        </w:rPr>
        <w:t>一、收入支出决算总体情况说明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w:t>
      </w:r>
      <w:r>
        <w:rPr>
          <w:rFonts w:hint="eastAsia" w:asciiTheme="minorEastAsia" w:hAnsiTheme="minorEastAsia" w:eastAsiaTheme="minorEastAsia"/>
          <w:sz w:val="32"/>
          <w:szCs w:val="32"/>
          <w:lang w:val="en-US" w:eastAsia="zh-CN"/>
        </w:rPr>
        <w:t>3301.69</w:t>
      </w:r>
      <w:r>
        <w:rPr>
          <w:rFonts w:hint="eastAsia" w:asciiTheme="minorEastAsia" w:hAnsiTheme="minorEastAsia" w:eastAsiaTheme="minorEastAsia"/>
          <w:sz w:val="32"/>
          <w:szCs w:val="32"/>
        </w:rPr>
        <w:t>万元。与上年相比，增加216.22万元，增长9.8%，主要是因为人员增加，收入增加。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w:t>
      </w:r>
      <w:r>
        <w:rPr>
          <w:rFonts w:hint="eastAsia" w:asciiTheme="minorEastAsia" w:hAnsiTheme="minorEastAsia" w:eastAsiaTheme="minorEastAsia"/>
          <w:sz w:val="32"/>
          <w:szCs w:val="32"/>
          <w:lang w:val="en-US" w:eastAsia="zh-CN"/>
        </w:rPr>
        <w:t>总</w:t>
      </w:r>
      <w:r>
        <w:rPr>
          <w:rFonts w:hint="eastAsia" w:asciiTheme="minorEastAsia" w:hAnsiTheme="minorEastAsia" w:eastAsiaTheme="minorEastAsia"/>
          <w:sz w:val="32"/>
          <w:szCs w:val="32"/>
        </w:rPr>
        <w:t>计3301.69万元。与上年相比，增加900.63万元，增长37.5%，主要是因为以前年度的结转结余支出增加。</w:t>
      </w:r>
    </w:p>
    <w:p>
      <w:pPr>
        <w:pStyle w:val="11"/>
        <w:rPr>
          <w:rFonts w:hAnsi="黑体"/>
          <w:b/>
          <w:sz w:val="32"/>
          <w:szCs w:val="32"/>
        </w:rPr>
      </w:pPr>
      <w:r>
        <w:rPr>
          <w:rFonts w:hint="eastAsia" w:hAnsi="黑体"/>
          <w:b/>
          <w:sz w:val="32"/>
          <w:szCs w:val="32"/>
        </w:rPr>
        <w:t>二、收入决算情况说明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2021年度收入合计2414.09万元，其中：财政拨款收入2414.09万元，占100%；上级补助收入0万元，占0%；事业收入0万元，占0%；经营收入0万元，占0%；附属单位上缴收入0万元，占0%；其他收入0万元，占0%。</w:t>
      </w:r>
    </w:p>
    <w:p>
      <w:pPr>
        <w:pStyle w:val="11"/>
        <w:rPr>
          <w:rFonts w:hAnsi="黑体"/>
          <w:b/>
          <w:sz w:val="32"/>
          <w:szCs w:val="32"/>
        </w:rPr>
      </w:pPr>
      <w:r>
        <w:rPr>
          <w:rFonts w:hint="eastAsia" w:hAnsi="黑体"/>
          <w:b/>
          <w:sz w:val="32"/>
          <w:szCs w:val="32"/>
        </w:rPr>
        <w:t>三、支出决算情况说明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2021年度支出合计3301.69万元，其中：基本支出2646.08万元，占80%；项目支出655.61万元，占20%；上缴上级支出0万元，占0%；经营支出0万元，占0%；对附属单位补助支出0万元，占0%。</w:t>
      </w:r>
    </w:p>
    <w:p>
      <w:pPr>
        <w:pStyle w:val="11"/>
        <w:rPr>
          <w:rFonts w:hAnsi="黑体"/>
          <w:b/>
          <w:sz w:val="32"/>
          <w:szCs w:val="32"/>
        </w:rPr>
      </w:pPr>
      <w:r>
        <w:rPr>
          <w:rFonts w:hint="eastAsia" w:hAnsi="黑体"/>
          <w:b/>
          <w:sz w:val="32"/>
          <w:szCs w:val="32"/>
        </w:rPr>
        <w:t>四、财政拨款收入支出决算总体情况说明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2021年度财政拨款收入合计2414.09万元</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年初结转和结余</w:t>
      </w:r>
      <w:r>
        <w:rPr>
          <w:rFonts w:hint="eastAsia" w:asciiTheme="minorEastAsia" w:hAnsiTheme="minorEastAsia" w:eastAsiaTheme="minorEastAsia"/>
          <w:sz w:val="32"/>
          <w:szCs w:val="32"/>
          <w:lang w:val="en-US" w:eastAsia="zh-CN"/>
        </w:rPr>
        <w:t>231.99万元，</w:t>
      </w:r>
      <w:r>
        <w:rPr>
          <w:rFonts w:hint="eastAsia" w:asciiTheme="minorEastAsia" w:hAnsiTheme="minorEastAsia" w:eastAsiaTheme="minorEastAsia"/>
          <w:sz w:val="32"/>
          <w:szCs w:val="32"/>
        </w:rPr>
        <w:t>收入</w:t>
      </w:r>
      <w:r>
        <w:rPr>
          <w:rFonts w:hint="eastAsia" w:asciiTheme="minorEastAsia" w:hAnsiTheme="minorEastAsia" w:eastAsiaTheme="minorEastAsia"/>
          <w:sz w:val="32"/>
          <w:szCs w:val="32"/>
          <w:lang w:eastAsia="zh-CN"/>
        </w:rPr>
        <w:t>总</w:t>
      </w:r>
      <w:r>
        <w:rPr>
          <w:rFonts w:hint="eastAsia" w:asciiTheme="minorEastAsia" w:hAnsiTheme="minorEastAsia" w:eastAsiaTheme="minorEastAsia"/>
          <w:sz w:val="32"/>
          <w:szCs w:val="32"/>
        </w:rPr>
        <w:t>计</w:t>
      </w:r>
      <w:r>
        <w:rPr>
          <w:rFonts w:hint="eastAsia" w:asciiTheme="minorEastAsia" w:hAnsiTheme="minorEastAsia" w:eastAsiaTheme="minorEastAsia"/>
          <w:sz w:val="32"/>
          <w:szCs w:val="32"/>
          <w:lang w:val="en-US" w:eastAsia="zh-CN"/>
        </w:rPr>
        <w:t>2646.08万元。</w:t>
      </w:r>
      <w:r>
        <w:rPr>
          <w:rFonts w:hint="eastAsia" w:asciiTheme="minorEastAsia" w:hAnsiTheme="minorEastAsia" w:eastAsiaTheme="minorEastAsia"/>
          <w:sz w:val="32"/>
          <w:szCs w:val="32"/>
        </w:rPr>
        <w:t>与上年相比，增加216.22万元，增长9.8%，主要是因为人员增加，上级拨款增加。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2021年度财政拨款支出合计2646.08万元。与上年相比，增加245.02万元，增长10.2%，主要是因为人居环境支出增加。</w:t>
      </w:r>
    </w:p>
    <w:p>
      <w:pPr>
        <w:pStyle w:val="11"/>
        <w:rPr>
          <w:rFonts w:hAnsi="黑体"/>
          <w:b/>
          <w:sz w:val="32"/>
          <w:szCs w:val="32"/>
        </w:rPr>
      </w:pPr>
      <w:r>
        <w:rPr>
          <w:rFonts w:hint="eastAsia" w:hAnsi="黑体"/>
          <w:b/>
          <w:sz w:val="32"/>
          <w:szCs w:val="32"/>
        </w:rPr>
        <w:t>五、一般公共预算财政拨款支出决算情况说明</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2021年度财政拨款支出2646.08万元，占本年支出合计的80%，与上年相比，财政拨款支出增加245.02万元，增长10.2%，主要是因为人居环境支出增加。</w:t>
      </w:r>
    </w:p>
    <w:p>
      <w:pPr>
        <w:pStyle w:val="11"/>
        <w:ind w:firstLine="480" w:firstLineChars="15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2646.08万元，主要用于以下方面：一般公共服务支出1231.72万元，占46.5%；国防支出支出0.5万元，占0.02%;文化旅游体育与传媒支出6万元,占0.2%；社会保障和就业支出480.6万元，占18.2%；卫生健康支出63.24万元，占2.4%；节能环保支出支出67.78万元，占2.6%；城乡社区支出17.93万元，占0.7%；农林水支出661.61万元，占25%；交通运输支出20.89万元，占0.79%；灾害防治及应急管理支出95.81万元，占3.6%。</w:t>
      </w:r>
    </w:p>
    <w:p>
      <w:pPr>
        <w:pStyle w:val="11"/>
        <w:ind w:firstLine="800"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2021年度财政拨款支出年初预算数为1782.9万元，支出决算数为2646.08万元，完成年初预算的148.4%，其中：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1、一般公共服务支出（类）人大事务</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款） 人大代表履职能力提升（项）。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年初预算为3万元，支出决算为1.5万元，完成年初预算的50%，决算数小于年初预算数的主要原因是：厉行节俭，支出减少。</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2、一般公共服务支出（类）政府办公厅（室）及相关机构事务（款）行政运行（项）。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年初预算为611.6万元，支出决算为527.76万元，完成年初预算的86.3%，决算数小于年初预算数的主要原因是：厉行节俭。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3、一般公共服务（类）政府办公厅（室）及相关机构事务（款）一般行政管理事务（项）。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年初预算为5.3万元，支出决算为9.4万元，完成年初预算的177.3%，决算数大于年初预算数的主要原因是：人员增加，上级追加。</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4、一般公共服务（类）政府办公厅（室）及相关机构事务（款）信访事务（项）。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年初预算为0万元，支出决算为7万元，由于预算数为0，无法计算百分比，决算数大于年初预算数的主要原因是：厉行节俭，控制经费支出，压减开支。</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5、一般公共服务（类）政府办公厅（室）及相关机构事务（款</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 xml:space="preserve"> 事业运行（项）。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年初预算为761.5万元，支出决算为646.9万元，完成年初预算的85%，决算数小于年初预算数的主要原因是：厉行节俭，控制经费支出。。</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6、一般公共服务（类）财政事务（款）行政运行（项）。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年初预算为49.3万元，支出决算为31.67万元，完成年初预算的64.2%，决算数小于年初预算数的主要原因是：厉行节俭，控制支出。</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7、一般公共服务（类）党委办公厅（室）及相关机构事务（款）  一般行政管理事务（项）。</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年初预算为0万元，支出决算为0.5万元，由于预算数为0，无法计算百分比，决算数大于年初预算数的主要原因是：年初未纳入预算，后申请上级追加。</w:t>
      </w:r>
    </w:p>
    <w:p>
      <w:pPr>
        <w:pStyle w:val="11"/>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一般公共服务（类）组织事务（款）  其他组织事务支出（项）</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年初预算为0万元，支出决算为2万元，由于预算数为0，无法计算百分比，决算数大于年初预算数的主要原因是：年初未纳入预算，后申请上级追加。</w:t>
      </w:r>
    </w:p>
    <w:p>
      <w:pPr>
        <w:pStyle w:val="11"/>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一般公共服务（类）其他一般公共服务支出（款）其他一般公共服务支出（项）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年初预算为0万元，支出决算为5万元由于预算数为0，无法计算百分比，决算数大于年初预算数的主要原因是：厉年初未纳入预算，后申请上级追加。</w:t>
      </w:r>
    </w:p>
    <w:p>
      <w:pPr>
        <w:pStyle w:val="11"/>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国防支出（类）国防动员（款）兵役征集（项）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年初预算为0万元，支出决算为0.5万元，由于预算数为0，无法计算百分比，决算数大于年初预算数的主要原因是：厉年初未纳入预算，后申请上级追加。</w:t>
      </w:r>
    </w:p>
    <w:p>
      <w:pPr>
        <w:pStyle w:val="11"/>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文化旅游体育与传媒支出（类）其他文化旅游体育与传媒支出（款</w:t>
      </w:r>
      <w:r>
        <w:rPr>
          <w:rFonts w:hint="eastAsia" w:asciiTheme="minorEastAsia" w:hAnsiTheme="minorEastAsia" w:eastAsiaTheme="minorEastAsia"/>
          <w:sz w:val="32"/>
          <w:szCs w:val="32"/>
          <w:lang w:val="en-US" w:eastAsia="zh-CN"/>
        </w:rPr>
        <w:t>)</w:t>
      </w:r>
      <w:r>
        <w:rPr>
          <w:rFonts w:hint="eastAsia" w:asciiTheme="minorEastAsia" w:hAnsiTheme="minorEastAsia" w:eastAsiaTheme="minorEastAsia"/>
          <w:sz w:val="32"/>
          <w:szCs w:val="32"/>
        </w:rPr>
        <w:t>其他文化旅游体育与传媒支出（项）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年初预算为0万元，支出决算为6万元，由于预算数为0，无法计算百分比，决算数大于年初预算数的主要原因是：年初未纳入预算，后申请上级追加。</w:t>
      </w:r>
    </w:p>
    <w:p>
      <w:pPr>
        <w:pStyle w:val="11"/>
        <w:numPr>
          <w:ilvl w:val="0"/>
          <w:numId w:val="2"/>
        </w:numPr>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社会保障和就业支出（类）民政管理事务（款）基层政权建设和社区治理（项）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年初预算为95万元，支出决算为10.98万元，完成年初预算的11.56%，决算数小于年初预算数的主要原因是：大部分为村里资金和社区资金，记账科目不一致。</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13、社会保障和就业支出（类）行政事业单位养老支出（款）行政单位离退休（项）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年初预算为11.82万元，支出决算为11.93万元，完成年初预算的100.9%，决算数大于年初预算数的主要原因是：离休人员工资提高。</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14、社会保障和就业支出（类）行政事业单位养老支出（款）机关事业单位基本养老保险缴费支出（项）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年初预算为100.8万元，支出决算为100万元，完成年初预算的99.2%，决算数小于年初预算数的主要原因是：年末资金未付成功。</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15 社会保障和就业支出（类）行政事业单位养老支出（款）其他行政事业单位养老支出（项）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年初预算为0万元，支出决算为14.33万元，由于预算数为0，无法计算百分比，决算数大于年初预算数的主要原因是：年初未纳入预算，后申请追加。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16、社会保障和就业支出（类）就业补助（款）其他就业补助支出（项）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年初预算为0万元，支出决算为145.92万元，由于预算数为0，无法计算百分比，决算数大于年初预算数的主要原因是：特岗人员补助，年初未纳入预算，申请上级追加。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17、社会保障和就业支出（类）最低生活保障（款）城市最低生活保障金支出（项）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年初预算为0万元，支出决算为174.9万元，由于预算数为0，无法计算百分比，决算数大于年初预算数的主要原因是：民政资金，年初未纳入预算，申请上级追加。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18、社会保障和就业支出（类）特困人员救助供养（款）农村特困人员救助供养支出（项）</w:t>
      </w:r>
    </w:p>
    <w:p>
      <w:pPr>
        <w:pStyle w:val="11"/>
        <w:ind w:firstLine="640"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年初预算为18.51万元，支出决算为21.18万元，完成年初预算的114.4%，决算数大于年初预算数的主要原因是：民政特困人员补助上调，年初未纳入预算，申请上级追加。</w:t>
      </w:r>
      <w:r>
        <w:rPr>
          <w:rFonts w:hint="eastAsia" w:asciiTheme="minorEastAsia" w:hAnsiTheme="minorEastAsia" w:eastAsiaTheme="minorEastAsia"/>
          <w:sz w:val="32"/>
          <w:szCs w:val="32"/>
          <w:lang w:val="en-US" w:eastAsia="zh-CN"/>
        </w:rPr>
        <w:t xml:space="preserve"> </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19、社会保障和就业支出（类）财政对基本养老保险基金的补助（款）  财政对其他基本养老保险基金的补助（项）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年初预算为0万元，支出决算为1.37万元，由于预算数为0，无法计算百分比，决算数大于年初预算数的主要原因是：城乡居民养老保险助缴经费，年初未纳入预算，申请上级追加。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20、卫生健康支出（类）公共卫生（款）突发公共卫生事件应急处理（项）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年初预算为14.39万元，支出决算为8.06万元，完成年初预算的56%，决算数大于年初预算数的主要原因是：厉行节俭，控制支出。</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21、卫生健康支出（类）行政事业单位医疗（款）行政单位医疗（项）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年初预算为47.6万元，支出决算为47.6万元，完成年初预算的100%</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22、卫生健康支出（类）行政事业单位医疗（款）事业单位医疗（项）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年初预算为2.8万元，支出决算为4.57万元，完成年初预算的163.2%，决算数大于年初预算数的主要原因是：自收自支人员年初未纳入预算，后申请追加。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23、卫生健康支出（类）行政事业单位医疗（款）财政对其他基本医疗保险基金的补助（项）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年初预算为0万元，支出决算为3.02万元，由于预算数为0，无法计算百分比，决算数大于年初预算数的主要原因是：上级追加。</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24、节能环保支出（类）自然生态保护（款）农村环境保护（项）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年初预算为0万元，支出决算为67.78万元，由于预算数为0，无法计算百分比，决算数大于年初预算数的主要原因是：2020年改厕资金，上级追加。</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25、城乡社区支出（类）城乡社区环境卫生（款）城乡社区环境卫生（项）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年初预算为0万元，支出决算为17.93万元，由于预算数为0，无法计算百分比，决算数大于年初预算数的主要原因是：上级追加。</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26、农林水支出（类）农业农村（款）农业生产发展（项）</w:t>
      </w:r>
    </w:p>
    <w:p>
      <w:pPr>
        <w:pStyle w:val="11"/>
        <w:ind w:firstLine="640" w:firstLineChars="200"/>
        <w:rPr>
          <w:rFonts w:hint="default"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年初预算为11万元，支出决算为11万元，完成年初预算的100%。</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27、农林水支出（类）农业农村（款）农村社会事业（项）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年初预算为0万元，支出决算为16.69万元，由于预算数为0，无法计算百分比，决算数大于年初预算数的主要原因是：2020年改厕资金年末收回，2021年返回。</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28、农林水支出（类）农业农村（款）农村道路建设（项）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年初预算为0万元，支出决算为20万元，由于预算数为0，无法计算百分比，决算数大于年初预算数的主要原因是：村级资金，年初未纳入预算，申请追加。</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29、农林水支出（类）农业农村（款）其他农业农村支出（项）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年初预算为0万元，支出决算为36万元，由于预算数为0，无法计算百分比，决算数大于年初预算数的主要原因是：村级增减挂钩资金及乡村振兴资金，年初未纳入预算，上级追加。</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30、农林水支出（类）林业和草原（款）森林生态效益补偿（项）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年初预算为9.32万元，支出决算为9.32万元，完成年初预算的100%。</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31、农林水支出（类）水利（款）防汛（项）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年初预算为12万元，支出决算为12万元，完成年初预算的100%。</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32、农林水支出（类）水利（款）农村人畜饮水（项）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年初预算为0万元，支出决算为1万元，由于预算数为0，无法计算百分比，决算数大于年初预算数的主要原因是：上级追加。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33、农林水支出（类）扶贫（款）其他扶贫支出（项）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年初预算为0万元，支出决算为102.57万元，年初预算为0万元，无法计算完成比率，决算数大于年初预算数的主要原因是：驻村工作队生活补助及工作经费，上级追加。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34、农林水支出（类）农村综合改革（款）对村级公益事业建设的补助（项）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年初预算为0万元，支出决算为63万元，由于预算数为0，无法计算百分比，决算数大于年初预算数的主要原因是：村级一事一议项目，上级追加。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35、农林水支出（类）农村综合改革（款） 对村民委员会和村党支部的补助（项）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年初预算为0万元，支出决算为88.5万元，由于预算数为0，无法计算百分比，决算数大于年初预算数的主要原因是：村级运转经费，上级追加。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36、农林水支出（类）农村综合改革（款）农村综合改革示范试点补助（项）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年初预算为8万元，支出决算为8万元，完成年初预算的100%。</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37、农林水支出（类）农村综合改革（款）其他农村综合改革支出（项）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年初预算为0万元，支出决算为293.52万元，年初预算为0万元，无法计算完成比率，决算数大于年初预算数的主要原因是：改厕资金及乡村振兴资金，上级追加。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38、交通运输支出（类）公路水路运输（款）公路养护（项）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年初预算为10.39万元，支出决算为10.39万元，完成年初预算的100%。</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39、交通运输支出（类）公路水路运输（款）公路和运输安全（项）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年初预算为10.5万元，支出决算为10.5万元，完成年初预算的100%。</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40、灾害防治及应急管理支出（类）应急管理事务（款）灾害风险防治（项）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年初预算为0万元，支出决算为20万元，由于预算数为0，无法计算百分比，决算数大于年初预算数的主要原因是：水毁工程修复款，年初未纳入预算，上级追加。</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41、灾害防治及应急管理支出（类）自然灾害防治（款）地质灾害防治（项）</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年初预算为0万元，支出决算为45万元，由于预算数为0，无法计算百分比，决算数大于年初预算数的主要原因是：江垅湾村地址灾害资金，年初未纳入预算，上级追加。</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42、灾害防治及应急管理支出（类）自然灾害救灾及恢复重建支出（款）其他自然灾害救灾及恢复重建支出（项）</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年初预算为0万元，支出决算为24.83万元，由于预算数为0，无法计算百分比，决算数大于年初预算数的主要原因是：年初未纳入预算，上级追加。</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43、灾害防治及应急管理支出（类）其他灾害防治及应急管理支出（款）其他灾害防治及应急管理支出（项）</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年初预算为0万元，支出决算为5.98万元，由于预算数为0，无法计算百分比，决算数大于年初预算数的主要原因是：年初未纳入预算，上级追加。</w:t>
      </w:r>
    </w:p>
    <w:p>
      <w:pPr>
        <w:pStyle w:val="11"/>
        <w:rPr>
          <w:rFonts w:hAnsi="黑体"/>
          <w:b/>
          <w:sz w:val="32"/>
          <w:szCs w:val="32"/>
        </w:rPr>
      </w:pPr>
      <w:r>
        <w:rPr>
          <w:rFonts w:hint="eastAsia" w:hAnsi="黑体"/>
          <w:b/>
          <w:sz w:val="32"/>
          <w:szCs w:val="32"/>
        </w:rPr>
        <w:t>六、一般公共预算财政拨款基本支出决算情况说明</w:t>
      </w:r>
    </w:p>
    <w:p>
      <w:pPr>
        <w:pStyle w:val="11"/>
        <w:ind w:firstLine="640" w:firstLineChars="200"/>
        <w:rPr>
          <w:rFonts w:asciiTheme="minorEastAsia" w:hAnsiTheme="minorEastAsia" w:eastAsiaTheme="minorEastAsia"/>
          <w:i/>
          <w:color w:val="FF0000"/>
          <w:sz w:val="32"/>
          <w:szCs w:val="32"/>
        </w:rPr>
      </w:pPr>
      <w:r>
        <w:rPr>
          <w:rFonts w:hint="eastAsia" w:asciiTheme="minorEastAsia" w:hAnsiTheme="minorEastAsia" w:eastAsiaTheme="minorEastAsia"/>
          <w:sz w:val="32"/>
          <w:szCs w:val="32"/>
        </w:rPr>
        <w:t>2021年度财政拨款基本支出2646.08万元，其中：人员经费1706.58万元，占基本支出的64.5%,主要包括基本工资、津贴补贴、奖金、伙食补助费基本养老保险、基本医疗保险、其他工资福利支出、对个人和家庭的补助、抚恤金、生活补助、救济费、其他对个人和家庭的补助；公用经费939.5万元，占基本支出的35.5%，主要包括办公费、印刷费、电费、邮电费、差旅费、维修（护）费、劳务费、委托业务费、工会经费、公务用车运行维护费、其他商品和服务费、办公设备购置费。</w:t>
      </w:r>
    </w:p>
    <w:p>
      <w:pPr>
        <w:pStyle w:val="11"/>
        <w:rPr>
          <w:rFonts w:hAnsi="黑体"/>
          <w:b/>
          <w:sz w:val="32"/>
          <w:szCs w:val="32"/>
        </w:rPr>
      </w:pPr>
      <w:r>
        <w:rPr>
          <w:rFonts w:hint="eastAsia" w:hAnsi="黑体"/>
          <w:b/>
          <w:sz w:val="32"/>
          <w:szCs w:val="32"/>
        </w:rPr>
        <w:t>七、一般公共预算财政拨款“三公”经费支出决算情况说明</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2021年度“三公”经费财政拨款支出预算为24.19万元，支出决算为8.1万元，完成预算的33.5%，其中：</w:t>
      </w:r>
    </w:p>
    <w:p>
      <w:pPr>
        <w:pStyle w:val="11"/>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因公出国（境）费支出预算为0万元，支出决算为0万元，由于预算数为0，无法计算百分比</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主要原因是没有计划和发生。</w:t>
      </w:r>
    </w:p>
    <w:p>
      <w:pPr>
        <w:pStyle w:val="11"/>
        <w:ind w:firstLine="800" w:firstLineChars="25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公务接待费支出预算为4.19万元，支出决算为0万元，由于预算数为0，无法计算百分比，决算数小于预算数的主要原因是本年度没有公务接待支出</w:t>
      </w:r>
      <w:r>
        <w:rPr>
          <w:rFonts w:hint="eastAsia" w:asciiTheme="minorEastAsia" w:hAnsiTheme="minorEastAsia" w:eastAsiaTheme="minorEastAsia"/>
          <w:sz w:val="32"/>
          <w:szCs w:val="32"/>
          <w:lang w:eastAsia="zh-CN"/>
        </w:rPr>
        <w:t>。</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公务用车购置费支出预算为0万元，支出决算为0万元，由于预算数为0，无法计算百分比，主要原因是无计划。</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公务用车运行维护费支出预算为20万元，支出决算为8.1万元，完成预算的40.5%，决算数小于预算数的主要原因是厉行节俭，与上年相比减少2.02万元，减少20%,减少的主要原因是严格把控经费支出，年末还有部分账款未结。</w:t>
      </w:r>
    </w:p>
    <w:p>
      <w:pPr>
        <w:pStyle w:val="11"/>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2021年度“三公”经费财政拨款支出决算中，公务接待费支出决算0万元，占0%,因公出国（境）费支出决算0万元，占0%,公务用车购置费及运行维护费支出决算8.1万元，占33.5%。其中：</w:t>
      </w:r>
    </w:p>
    <w:p>
      <w:pPr>
        <w:pStyle w:val="11"/>
        <w:ind w:firstLine="640" w:firstLineChars="200"/>
        <w:rPr>
          <w:rFonts w:asciiTheme="minorEastAsia" w:hAnsiTheme="minorEastAsia" w:eastAsiaTheme="minorEastAsia"/>
          <w:b/>
          <w:sz w:val="32"/>
          <w:szCs w:val="32"/>
        </w:rPr>
      </w:pPr>
      <w:r>
        <w:rPr>
          <w:rFonts w:hint="eastAsia" w:asciiTheme="minorEastAsia" w:hAnsiTheme="minorEastAsia" w:eastAsiaTheme="minorEastAsia"/>
          <w:sz w:val="32"/>
          <w:szCs w:val="32"/>
        </w:rPr>
        <w:t>1、因公出国（境）费支出决算为0万元，全年安排因公出国（境）团组0个，累计0人次,开支内容包括：无因公出国（境）支出。</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2、公务接待费支出决算为0万元，全年共接待来访团组0个、来宾0人次，主要是无接待支出。</w:t>
      </w:r>
    </w:p>
    <w:p>
      <w:pPr>
        <w:ind w:firstLine="640" w:firstLineChars="200"/>
        <w:rPr>
          <w:rFonts w:hint="eastAsia" w:asciiTheme="minorEastAsia" w:hAnsiTheme="minorEastAsia"/>
          <w:sz w:val="32"/>
          <w:szCs w:val="32"/>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8.1</w:t>
      </w:r>
      <w:r>
        <w:rPr>
          <w:rFonts w:hint="eastAsia" w:asciiTheme="minorEastAsia" w:hAnsiTheme="minorEastAsia"/>
          <w:sz w:val="32"/>
          <w:szCs w:val="32"/>
        </w:rPr>
        <w:t>万元，其中：公务用车购置费0万元，更新公务用车0辆</w:t>
      </w:r>
      <w:r>
        <w:rPr>
          <w:rFonts w:hint="eastAsia" w:asciiTheme="minorEastAsia" w:hAnsiTheme="minorEastAsia"/>
          <w:color w:val="000000" w:themeColor="text1"/>
          <w:sz w:val="32"/>
          <w:szCs w:val="32"/>
          <w14:textFill>
            <w14:solidFill>
              <w14:schemeClr w14:val="tx1"/>
            </w14:solidFill>
          </w14:textFill>
        </w:rPr>
        <w:t>。</w:t>
      </w:r>
      <w:r>
        <w:rPr>
          <w:rFonts w:hint="eastAsia" w:asciiTheme="minorEastAsia" w:hAnsiTheme="minorEastAsia"/>
          <w:sz w:val="32"/>
          <w:szCs w:val="32"/>
        </w:rPr>
        <w:t>公务用车运行维护费</w:t>
      </w:r>
      <w:r>
        <w:rPr>
          <w:rFonts w:hint="eastAsia" w:asciiTheme="minorEastAsia" w:hAnsiTheme="minorEastAsia"/>
          <w:sz w:val="32"/>
          <w:szCs w:val="32"/>
          <w:lang w:val="en-US" w:eastAsia="zh-CN"/>
        </w:rPr>
        <w:t>8.1</w:t>
      </w:r>
      <w:r>
        <w:rPr>
          <w:rFonts w:hint="eastAsia" w:asciiTheme="minorEastAsia" w:hAnsiTheme="minorEastAsia"/>
          <w:sz w:val="32"/>
          <w:szCs w:val="32"/>
        </w:rPr>
        <w:t>万元，截止2021年12月31日，我单位开支财政拨款的公务用车保有量为</w:t>
      </w:r>
      <w:r>
        <w:rPr>
          <w:rFonts w:hint="eastAsia" w:asciiTheme="minorEastAsia" w:hAnsiTheme="minorEastAsia"/>
          <w:sz w:val="32"/>
          <w:szCs w:val="32"/>
          <w:lang w:val="en-US" w:eastAsia="zh-CN"/>
        </w:rPr>
        <w:t>2</w:t>
      </w:r>
      <w:r>
        <w:rPr>
          <w:rFonts w:hint="eastAsia" w:asciiTheme="minorEastAsia" w:hAnsiTheme="minorEastAsia"/>
          <w:sz w:val="32"/>
          <w:szCs w:val="32"/>
        </w:rPr>
        <w:t>辆。</w:t>
      </w:r>
    </w:p>
    <w:p>
      <w:pPr>
        <w:pStyle w:val="11"/>
        <w:rPr>
          <w:rFonts w:hAnsi="黑体"/>
          <w:b/>
          <w:sz w:val="32"/>
          <w:szCs w:val="32"/>
        </w:rPr>
      </w:pPr>
      <w:r>
        <w:rPr>
          <w:rFonts w:hint="eastAsia" w:hAnsi="黑体"/>
          <w:b/>
          <w:sz w:val="32"/>
          <w:szCs w:val="32"/>
        </w:rPr>
        <w:t>八、政府性基金预算收入支出决算情况</w:t>
      </w:r>
    </w:p>
    <w:p>
      <w:pPr>
        <w:pStyle w:val="11"/>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2021年度政府性基金预算财政拨款收入0万元；年初结转和结余0万元；支出0万元，其中基本支出0万元，项目支出0万元；年末结转和结余0万元。具体情况如下：本年度无政府性基金预算支出。</w:t>
      </w:r>
    </w:p>
    <w:p>
      <w:pPr>
        <w:pStyle w:val="11"/>
        <w:rPr>
          <w:rFonts w:hAnsi="黑体"/>
          <w:b/>
          <w:sz w:val="32"/>
          <w:szCs w:val="32"/>
        </w:rPr>
      </w:pPr>
      <w:r>
        <w:rPr>
          <w:rFonts w:hint="eastAsia" w:hAnsi="黑体"/>
          <w:b/>
          <w:sz w:val="32"/>
          <w:szCs w:val="32"/>
        </w:rPr>
        <w:t>九、国有资本经营预算财政拨款支出情况</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2021年度国有资本经营预算财政拨款收入0万元；支出0万元，其中基本支出0万元，项目支出0万元。具体情况如下：本单位今年无国有资本经营预算财政拨款支出。</w:t>
      </w:r>
      <w:bookmarkStart w:id="0" w:name="_GoBack"/>
      <w:bookmarkEnd w:id="0"/>
    </w:p>
    <w:p>
      <w:pPr>
        <w:pStyle w:val="11"/>
        <w:rPr>
          <w:rFonts w:hAnsi="黑体"/>
          <w:b/>
          <w:sz w:val="32"/>
          <w:szCs w:val="32"/>
        </w:rPr>
      </w:pPr>
      <w:r>
        <w:rPr>
          <w:rFonts w:hint="eastAsia" w:hAnsi="黑体"/>
          <w:b/>
          <w:sz w:val="32"/>
          <w:szCs w:val="32"/>
        </w:rPr>
        <w:t>十、机关运行经费支出说明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本部门2021年度机关运行经费支出939.5</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万元，比年初预算数增加332万元，增长54.6%。主要原因是：黄金坳镇政府部门行政和事业混合，记账科目错误。</w:t>
      </w:r>
    </w:p>
    <w:p>
      <w:pPr>
        <w:pStyle w:val="11"/>
        <w:rPr>
          <w:rFonts w:hAnsi="黑体"/>
          <w:b/>
          <w:sz w:val="32"/>
          <w:szCs w:val="32"/>
        </w:rPr>
      </w:pPr>
      <w:r>
        <w:rPr>
          <w:rFonts w:hint="eastAsia" w:hAnsi="黑体"/>
          <w:b/>
          <w:sz w:val="32"/>
          <w:szCs w:val="32"/>
        </w:rPr>
        <w:t>十一、一般性支出情况说明</w:t>
      </w:r>
    </w:p>
    <w:p>
      <w:pPr>
        <w:pStyle w:val="11"/>
        <w:ind w:firstLine="640" w:firstLineChars="200"/>
        <w:rPr>
          <w:rFonts w:hint="eastAsia" w:asciiTheme="minorEastAsia" w:hAnsiTheme="minorEastAsia" w:eastAsiaTheme="minorEastAsia"/>
          <w:sz w:val="32"/>
          <w:szCs w:val="32"/>
        </w:rPr>
      </w:pPr>
      <w:r>
        <w:rPr>
          <w:rFonts w:hint="default" w:asciiTheme="minorEastAsia" w:hAnsiTheme="minorEastAsia" w:eastAsiaTheme="minorEastAsia"/>
          <w:sz w:val="32"/>
          <w:szCs w:val="32"/>
          <w:lang w:val="en-US" w:eastAsia="zh-CN"/>
        </w:rPr>
        <w:t>202</w:t>
      </w:r>
      <w:r>
        <w:rPr>
          <w:rFonts w:hint="eastAsia" w:asciiTheme="minorEastAsia" w:hAnsiTheme="minorEastAsia" w:eastAsiaTheme="minorEastAsia"/>
          <w:sz w:val="32"/>
          <w:szCs w:val="32"/>
          <w:lang w:val="en-US" w:eastAsia="zh-CN"/>
        </w:rPr>
        <w:t>1</w:t>
      </w:r>
      <w:r>
        <w:rPr>
          <w:rFonts w:hint="default" w:asciiTheme="minorEastAsia" w:hAnsiTheme="minorEastAsia" w:eastAsiaTheme="minorEastAsia"/>
          <w:sz w:val="32"/>
          <w:szCs w:val="32"/>
          <w:lang w:val="en-US" w:eastAsia="zh-CN"/>
        </w:rPr>
        <w:t>年本部门开支会议费</w:t>
      </w:r>
      <w:r>
        <w:rPr>
          <w:rFonts w:hint="eastAsia" w:asciiTheme="minorEastAsia" w:hAnsiTheme="minorEastAsia" w:eastAsiaTheme="minorEastAsia"/>
          <w:sz w:val="32"/>
          <w:szCs w:val="32"/>
          <w:lang w:val="en-US" w:eastAsia="zh-CN"/>
        </w:rPr>
        <w:t>0</w:t>
      </w:r>
      <w:r>
        <w:rPr>
          <w:rFonts w:hint="default" w:asciiTheme="minorEastAsia" w:hAnsiTheme="minorEastAsia" w:eastAsiaTheme="minorEastAsia"/>
          <w:sz w:val="32"/>
          <w:szCs w:val="32"/>
          <w:lang w:val="en-US" w:eastAsia="zh-CN"/>
        </w:rPr>
        <w:t>万元，用于召开</w:t>
      </w:r>
      <w:r>
        <w:rPr>
          <w:rFonts w:hint="eastAsia" w:asciiTheme="minorEastAsia" w:hAnsiTheme="minorEastAsia" w:eastAsiaTheme="minorEastAsia"/>
          <w:sz w:val="32"/>
          <w:szCs w:val="32"/>
          <w:lang w:val="en-US" w:eastAsia="zh-CN"/>
        </w:rPr>
        <w:t>0</w:t>
      </w:r>
      <w:r>
        <w:rPr>
          <w:rFonts w:hint="default" w:asciiTheme="minorEastAsia" w:hAnsiTheme="minorEastAsia" w:eastAsiaTheme="minorEastAsia"/>
          <w:sz w:val="32"/>
          <w:szCs w:val="32"/>
          <w:lang w:val="en-US" w:eastAsia="zh-CN"/>
        </w:rPr>
        <w:t>会议，人数</w:t>
      </w:r>
      <w:r>
        <w:rPr>
          <w:rFonts w:hint="eastAsia" w:asciiTheme="minorEastAsia" w:hAnsiTheme="minorEastAsia" w:eastAsiaTheme="minorEastAsia"/>
          <w:sz w:val="32"/>
          <w:szCs w:val="32"/>
          <w:lang w:val="en-US" w:eastAsia="zh-CN"/>
        </w:rPr>
        <w:t>0</w:t>
      </w:r>
      <w:r>
        <w:rPr>
          <w:rFonts w:hint="default" w:asciiTheme="minorEastAsia" w:hAnsiTheme="minorEastAsia" w:eastAsiaTheme="minorEastAsia"/>
          <w:sz w:val="32"/>
          <w:szCs w:val="32"/>
          <w:lang w:val="en-US" w:eastAsia="zh-CN"/>
        </w:rPr>
        <w:t>人，内容为</w:t>
      </w:r>
      <w:r>
        <w:rPr>
          <w:rFonts w:hint="eastAsia" w:asciiTheme="minorEastAsia" w:hAnsiTheme="minorEastAsia" w:eastAsiaTheme="minorEastAsia"/>
          <w:sz w:val="32"/>
          <w:szCs w:val="32"/>
          <w:lang w:val="en-US" w:eastAsia="zh-CN"/>
        </w:rPr>
        <w:t>无</w:t>
      </w:r>
      <w:r>
        <w:rPr>
          <w:rFonts w:hint="default" w:asciiTheme="minorEastAsia" w:hAnsiTheme="minorEastAsia" w:eastAsiaTheme="minorEastAsia"/>
          <w:sz w:val="32"/>
          <w:szCs w:val="32"/>
          <w:lang w:val="en-US" w:eastAsia="zh-CN"/>
        </w:rPr>
        <w:t>；开支培训费</w:t>
      </w:r>
      <w:r>
        <w:rPr>
          <w:rFonts w:hint="eastAsia" w:asciiTheme="minorEastAsia" w:hAnsiTheme="minorEastAsia" w:eastAsiaTheme="minorEastAsia"/>
          <w:sz w:val="32"/>
          <w:szCs w:val="32"/>
          <w:lang w:val="en-US" w:eastAsia="zh-CN"/>
        </w:rPr>
        <w:t>0</w:t>
      </w:r>
      <w:r>
        <w:rPr>
          <w:rFonts w:hint="default" w:asciiTheme="minorEastAsia" w:hAnsiTheme="minorEastAsia" w:eastAsiaTheme="minorEastAsia"/>
          <w:sz w:val="32"/>
          <w:szCs w:val="32"/>
          <w:lang w:val="en-US" w:eastAsia="zh-CN"/>
        </w:rPr>
        <w:t>万元，用于开展</w:t>
      </w:r>
      <w:r>
        <w:rPr>
          <w:rFonts w:hint="eastAsia" w:asciiTheme="minorEastAsia" w:hAnsiTheme="minorEastAsia" w:eastAsiaTheme="minorEastAsia"/>
          <w:sz w:val="32"/>
          <w:szCs w:val="32"/>
          <w:lang w:val="en-US" w:eastAsia="zh-CN"/>
        </w:rPr>
        <w:t>0</w:t>
      </w:r>
      <w:r>
        <w:rPr>
          <w:rFonts w:hint="default" w:asciiTheme="minorEastAsia" w:hAnsiTheme="minorEastAsia" w:eastAsiaTheme="minorEastAsia"/>
          <w:sz w:val="32"/>
          <w:szCs w:val="32"/>
          <w:lang w:val="en-US" w:eastAsia="zh-CN"/>
        </w:rPr>
        <w:t>培训，人数</w:t>
      </w:r>
      <w:r>
        <w:rPr>
          <w:rFonts w:hint="eastAsia" w:asciiTheme="minorEastAsia" w:hAnsiTheme="minorEastAsia" w:eastAsiaTheme="minorEastAsia"/>
          <w:sz w:val="32"/>
          <w:szCs w:val="32"/>
          <w:lang w:val="en-US" w:eastAsia="zh-CN"/>
        </w:rPr>
        <w:t>0</w:t>
      </w:r>
      <w:r>
        <w:rPr>
          <w:rFonts w:hint="default" w:asciiTheme="minorEastAsia" w:hAnsiTheme="minorEastAsia" w:eastAsiaTheme="minorEastAsia"/>
          <w:sz w:val="32"/>
          <w:szCs w:val="32"/>
          <w:lang w:val="en-US" w:eastAsia="zh-CN"/>
        </w:rPr>
        <w:t>人，内容为</w:t>
      </w:r>
      <w:r>
        <w:rPr>
          <w:rFonts w:hint="eastAsia" w:asciiTheme="minorEastAsia" w:hAnsiTheme="minorEastAsia" w:eastAsiaTheme="minorEastAsia"/>
          <w:sz w:val="32"/>
          <w:szCs w:val="32"/>
          <w:lang w:val="en-US" w:eastAsia="zh-CN"/>
        </w:rPr>
        <w:t>无</w:t>
      </w:r>
      <w:r>
        <w:rPr>
          <w:rFonts w:hint="default" w:asciiTheme="minorEastAsia" w:hAnsiTheme="minorEastAsia" w:eastAsiaTheme="minorEastAsia"/>
          <w:sz w:val="32"/>
          <w:szCs w:val="32"/>
          <w:lang w:val="en-US" w:eastAsia="zh-CN"/>
        </w:rPr>
        <w:t>；举办</w:t>
      </w:r>
      <w:r>
        <w:rPr>
          <w:rFonts w:hint="eastAsia" w:asciiTheme="minorEastAsia" w:hAnsiTheme="minorEastAsia" w:eastAsiaTheme="minorEastAsia"/>
          <w:sz w:val="32"/>
          <w:szCs w:val="32"/>
          <w:lang w:val="en-US" w:eastAsia="zh-CN"/>
        </w:rPr>
        <w:t>0</w:t>
      </w:r>
      <w:r>
        <w:rPr>
          <w:rFonts w:hint="default" w:asciiTheme="minorEastAsia" w:hAnsiTheme="minorEastAsia" w:eastAsiaTheme="minorEastAsia"/>
          <w:sz w:val="32"/>
          <w:szCs w:val="32"/>
          <w:lang w:val="en-US" w:eastAsia="zh-CN"/>
        </w:rPr>
        <w:t>等节庆、晚会、论坛、赛事活动，开支</w:t>
      </w:r>
      <w:r>
        <w:rPr>
          <w:rFonts w:hint="eastAsia" w:asciiTheme="minorEastAsia" w:hAnsiTheme="minorEastAsia" w:eastAsiaTheme="minorEastAsia"/>
          <w:sz w:val="32"/>
          <w:szCs w:val="32"/>
          <w:lang w:val="en-US" w:eastAsia="zh-CN"/>
        </w:rPr>
        <w:t>0</w:t>
      </w:r>
      <w:r>
        <w:rPr>
          <w:rFonts w:hint="default" w:asciiTheme="minorEastAsia" w:hAnsiTheme="minorEastAsia" w:eastAsiaTheme="minorEastAsia"/>
          <w:sz w:val="32"/>
          <w:szCs w:val="32"/>
          <w:lang w:val="en-US" w:eastAsia="zh-CN"/>
        </w:rPr>
        <w:t>万元。</w:t>
      </w:r>
    </w:p>
    <w:p>
      <w:pPr>
        <w:pStyle w:val="11"/>
        <w:rPr>
          <w:rFonts w:hAnsi="黑体"/>
          <w:b/>
          <w:sz w:val="32"/>
          <w:szCs w:val="32"/>
        </w:rPr>
      </w:pPr>
      <w:r>
        <w:rPr>
          <w:rFonts w:hint="eastAsia" w:hAnsi="黑体"/>
          <w:b/>
          <w:sz w:val="32"/>
          <w:szCs w:val="32"/>
        </w:rPr>
        <w:t>十二、政府采购支出说明</w:t>
      </w:r>
    </w:p>
    <w:p>
      <w:pPr>
        <w:pStyle w:val="11"/>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本部门2021年度政府采购支出总额0万元，其中：政府采购货物支出0 万元、政府采购工程支出0 万元、政府采购服务支出0万元。授予中小企业合同金额0万元，占政府采购支出总额的0%，其中：授予小微企业合同金额0万元，占授予中小企业合同金额的0%；货物采购授予中小企业合同金额占货物支出金额的0%，工程采购授予中小企业合同金额占工程支出金额的0%，服务采购授予中小企业合同金额占服务支出金额的0%。</w:t>
      </w:r>
    </w:p>
    <w:p>
      <w:pPr>
        <w:pStyle w:val="11"/>
        <w:rPr>
          <w:rFonts w:hAnsi="黑体"/>
          <w:b/>
          <w:sz w:val="32"/>
          <w:szCs w:val="32"/>
        </w:rPr>
      </w:pPr>
      <w:r>
        <w:rPr>
          <w:rFonts w:hint="eastAsia" w:hAnsi="黑体"/>
          <w:b/>
          <w:sz w:val="32"/>
          <w:szCs w:val="32"/>
        </w:rPr>
        <w:t>十三、国有资产占用情况说明</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截至2020年12月31日，本单位共有车辆4辆，其中，领导干部用车2辆、机要通信用车0辆、应急保障用车0辆、执法执勤用车0辆、特种专业技术用车1辆、其他用车1辆，其他用车主要是扫地王，用于打扫的车辆；单位价值50万元以上通用设备0台（套）；单位价值100万元以上专用设备0台（套）。</w:t>
      </w:r>
    </w:p>
    <w:p>
      <w:pPr>
        <w:pStyle w:val="11"/>
        <w:rPr>
          <w:rFonts w:hAnsi="黑体"/>
          <w:b/>
          <w:sz w:val="32"/>
          <w:szCs w:val="32"/>
        </w:rPr>
      </w:pPr>
      <w:r>
        <w:rPr>
          <w:rFonts w:hint="eastAsia" w:hAnsi="黑体"/>
          <w:b/>
          <w:sz w:val="32"/>
          <w:szCs w:val="32"/>
        </w:rPr>
        <w:t>十四、2021年度预算绩效情况说明</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cs="黑体" w:asciiTheme="minorEastAsia" w:hAnsiTheme="minorEastAsia"/>
          <w:b/>
          <w:color w:val="000000"/>
          <w:kern w:val="0"/>
          <w:sz w:val="32"/>
          <w:szCs w:val="32"/>
        </w:rPr>
        <w:t>（1）绩效管理评价工作开展情况</w:t>
      </w:r>
      <w:r>
        <w:rPr>
          <w:rFonts w:hint="eastAsia" w:cs="黑体" w:asciiTheme="minorEastAsia" w:hAnsiTheme="minorEastAsia"/>
          <w:color w:val="000000"/>
          <w:kern w:val="0"/>
          <w:sz w:val="32"/>
          <w:szCs w:val="32"/>
        </w:rPr>
        <w:t>。</w:t>
      </w:r>
    </w:p>
    <w:p>
      <w:pPr>
        <w:autoSpaceDE w:val="0"/>
        <w:autoSpaceDN w:val="0"/>
        <w:adjustRightInd w:val="0"/>
        <w:ind w:firstLine="640" w:firstLineChars="200"/>
        <w:jc w:val="left"/>
        <w:rPr>
          <w:rFonts w:cs="黑体" w:asciiTheme="minorEastAsia" w:hAnsiTheme="minorEastAsia"/>
          <w:color w:val="000000"/>
          <w:kern w:val="0"/>
          <w:sz w:val="32"/>
          <w:szCs w:val="32"/>
        </w:rPr>
      </w:pPr>
      <w:r>
        <w:rPr>
          <w:rFonts w:hint="eastAsia" w:asciiTheme="minorEastAsia" w:hAnsiTheme="minorEastAsia"/>
          <w:sz w:val="32"/>
          <w:szCs w:val="32"/>
        </w:rPr>
        <w:t>本部门开展预算绩效管理情况详见第五部分的2020年部门整体支出绩效评价报告。</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第四部分</w:t>
      </w: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宋体" w:hAnsi="宋体" w:cs="黑体"/>
          <w:color w:val="000000"/>
          <w:kern w:val="0"/>
          <w:sz w:val="32"/>
          <w:szCs w:val="32"/>
        </w:rPr>
      </w:pPr>
      <w:r>
        <w:rPr>
          <w:rFonts w:hint="eastAsia" w:ascii="宋体" w:hAnsi="宋体" w:cs="黑体"/>
          <w:color w:val="000000"/>
          <w:kern w:val="0"/>
          <w:sz w:val="32"/>
          <w:szCs w:val="32"/>
        </w:rPr>
        <w:t xml:space="preserve">一、财政拨款收入：指财政当年拨付的资金。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二、事业收入：指事业单位开展专业业务活动及辅助活动所取得的收入。如：中国财政杂志社的刊物发行收入，中国注册会计师协会、中国资产评估协会、中国国债协会、中国会计学会收取的会费收入等。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三、经营收入：指事业单位在专业业务活动及其辅助活动之外开展非独立核算经营活动取得的收入。如：中国财政杂志社广告收入等。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四、其他收入：指除上述“财政拨款收入”、“事业收入”、“经营收入”等以外的收入。主要是按规定动用的售房收入、存款利息收入等。 </w:t>
      </w:r>
    </w:p>
    <w:p>
      <w:pPr>
        <w:rPr>
          <w:rFonts w:ascii="宋体" w:hAnsi="宋体" w:cs="黑体"/>
          <w:color w:val="000000"/>
          <w:kern w:val="0"/>
          <w:sz w:val="32"/>
          <w:szCs w:val="32"/>
        </w:rPr>
      </w:pPr>
      <w:r>
        <w:rPr>
          <w:rFonts w:hint="eastAsia" w:ascii="宋体" w:hAnsi="宋体" w:cs="黑体"/>
          <w:color w:val="000000"/>
          <w:kern w:val="0"/>
          <w:sz w:val="32"/>
          <w:szCs w:val="32"/>
        </w:rPr>
        <w:t xml:space="preserve">五、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六、年初结转和结余：指以前年度尚未完成、结转到本年按有关规定继续使用的资金。 </w:t>
      </w:r>
    </w:p>
    <w:p>
      <w:pPr>
        <w:rPr>
          <w:rFonts w:ascii="宋体" w:hAnsi="宋体" w:cs="黑体"/>
          <w:color w:val="000000"/>
          <w:kern w:val="0"/>
          <w:sz w:val="32"/>
          <w:szCs w:val="32"/>
        </w:rPr>
      </w:pPr>
      <w:r>
        <w:rPr>
          <w:rFonts w:hint="eastAsia" w:ascii="宋体" w:hAnsi="宋体" w:cs="黑体"/>
          <w:color w:val="000000"/>
          <w:kern w:val="0"/>
          <w:sz w:val="32"/>
          <w:szCs w:val="32"/>
        </w:rPr>
        <w:t>七、结余分配：指事业单位按规定提取的职工福利基金、事业基金和缴纳的所得税，以及建设单位按规定应交回的基本建设竣工项目结余资金。</w:t>
      </w:r>
    </w:p>
    <w:p>
      <w:pPr>
        <w:rPr>
          <w:rFonts w:ascii="宋体" w:hAnsi="宋体" w:cs="黑体"/>
          <w:color w:val="000000"/>
          <w:kern w:val="0"/>
          <w:sz w:val="32"/>
          <w:szCs w:val="32"/>
        </w:rPr>
      </w:pPr>
      <w:r>
        <w:rPr>
          <w:rFonts w:hint="eastAsia" w:ascii="宋体" w:hAnsi="宋体" w:cs="黑体"/>
          <w:color w:val="000000"/>
          <w:kern w:val="0"/>
          <w:sz w:val="32"/>
          <w:szCs w:val="32"/>
        </w:rPr>
        <w:t xml:space="preserve">八、年末结转和结余：指本年度或以前年度预算安排、因客观条件发生变化无法按原计划实施，需要延迟到以后年度按有关规定继续使用的资金。 </w:t>
      </w:r>
    </w:p>
    <w:p>
      <w:pPr>
        <w:rPr>
          <w:rFonts w:ascii="宋体" w:hAnsi="宋体" w:cs="黑体"/>
          <w:color w:val="000000"/>
          <w:kern w:val="0"/>
          <w:sz w:val="32"/>
          <w:szCs w:val="32"/>
        </w:rPr>
      </w:pPr>
      <w:r>
        <w:rPr>
          <w:rFonts w:hint="eastAsia" w:ascii="宋体" w:hAnsi="宋体" w:cs="黑体"/>
          <w:color w:val="000000"/>
          <w:kern w:val="0"/>
          <w:sz w:val="32"/>
          <w:szCs w:val="32"/>
        </w:rPr>
        <w:t xml:space="preserve">九、基本支出：指为保障机构正常运转、完成日常工作任务而发生的人员支出和公用支出。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十、项目支出：指在基本支出之外为完成特定行政任务和事业发展目标所发生的支出。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十一、经营支出：指事业单位在专业业务活动及其辅助活动之外开展非独立核算经营活动发生的支出。 </w:t>
      </w:r>
    </w:p>
    <w:p>
      <w:pPr>
        <w:rPr>
          <w:rFonts w:ascii="宋体" w:hAnsi="宋体" w:cs="黑体"/>
          <w:color w:val="000000"/>
          <w:kern w:val="0"/>
          <w:sz w:val="32"/>
          <w:szCs w:val="32"/>
        </w:rPr>
      </w:pPr>
      <w:r>
        <w:rPr>
          <w:rFonts w:hint="eastAsia" w:ascii="宋体" w:hAnsi="宋体" w:cs="黑体"/>
          <w:color w:val="000000"/>
          <w:kern w:val="0"/>
          <w:sz w:val="32"/>
          <w:szCs w:val="32"/>
        </w:rPr>
        <w:t xml:space="preserve">十二、“三公”经费：纳入中央财政预决算管理的“三公”经费，是指中央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 </w:t>
      </w:r>
    </w:p>
    <w:p>
      <w:pPr>
        <w:rPr>
          <w:rFonts w:ascii="宋体" w:hAnsi="宋体" w:cs="黑体"/>
          <w:color w:val="000000"/>
          <w:kern w:val="0"/>
          <w:sz w:val="32"/>
          <w:szCs w:val="32"/>
        </w:rPr>
      </w:pPr>
      <w:r>
        <w:rPr>
          <w:rFonts w:hint="eastAsia" w:ascii="宋体" w:hAnsi="宋体" w:cs="黑体"/>
          <w:color w:val="000000"/>
          <w:kern w:val="0"/>
          <w:sz w:val="32"/>
          <w:szCs w:val="32"/>
        </w:rPr>
        <w:t>十三、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p>
    <w:p>
      <w:pPr>
        <w:pStyle w:val="11"/>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2021年度部门整体支出绩效评价报告</w:t>
      </w:r>
    </w:p>
    <w:p>
      <w:pPr>
        <w:ind w:firstLine="640" w:firstLineChars="200"/>
        <w:jc w:val="center"/>
        <w:rPr>
          <w:rFonts w:cs="黑体" w:asciiTheme="minorEastAsia" w:hAnsiTheme="minorEastAsia"/>
          <w:b/>
          <w:color w:val="000000"/>
          <w:kern w:val="0"/>
          <w:sz w:val="32"/>
          <w:szCs w:val="32"/>
        </w:rPr>
      </w:pPr>
    </w:p>
    <w:p>
      <w:pPr>
        <w:adjustRightInd w:val="0"/>
        <w:snapToGrid w:val="0"/>
        <w:spacing w:line="576" w:lineRule="exact"/>
        <w:ind w:firstLine="640" w:firstLineChars="200"/>
        <w:rPr>
          <w:rFonts w:ascii="黑体" w:hAnsi="黑体" w:eastAsia="黑体" w:cs="黑体"/>
          <w:sz w:val="32"/>
          <w:szCs w:val="32"/>
        </w:rPr>
      </w:pPr>
      <w:r>
        <w:rPr>
          <w:rFonts w:hint="eastAsia" w:ascii="黑体" w:hAnsi="黑体" w:eastAsia="黑体" w:cs="黑体"/>
          <w:sz w:val="32"/>
          <w:szCs w:val="32"/>
        </w:rPr>
        <w:t xml:space="preserve"> 一、部门概况</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仿宋_GB2312" w:hAnsi="仿宋_GB2312" w:eastAsia="仿宋_GB2312" w:cs="仿宋_GB2312"/>
          <w:sz w:val="32"/>
          <w:szCs w:val="32"/>
        </w:rPr>
        <w:t>（一）</w:t>
      </w:r>
      <w:r>
        <w:rPr>
          <w:rFonts w:hint="eastAsia" w:ascii="宋体" w:hAnsi="宋体" w:cs="黑体"/>
          <w:color w:val="000000"/>
          <w:kern w:val="0"/>
          <w:sz w:val="32"/>
          <w:szCs w:val="32"/>
        </w:rPr>
        <w:t>部门基本情况</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2021年，黄金坳乡政府年末实有人数110人，按照既定工作目标，合理编制预算，执行本级人民代表大会的决议和上级国家行政机关的决定和命令；执行本级行政区域内的经济和社会发展计划，管理、预算本行政区域内的经济、教育、科学、文化、卫生、体育事业和财政、民政、公安、司法、计划生育等行政工作。</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（二）部门整体支出</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2021年度财政拨款支出2646.08万元，主要用于以下方面：一般公共服务（类）支出1231.72万元，占46.55%；国防支出0.5万元，占0.02%；文化旅游体育与传媒支出6万元，占0.23%；社会保障和就业（类）支出480.6万元，占18.16%;交通运输支出20.89万元，占0.79%；卫生健康支出63.24万元，占2.39%；节能环保支出67.78万元，占2.56%；城乡社区（类）支出17.93万元，占0.68%;农林水（类）支出661.61万元，占25%;灾害防治及应急管理支出（类）支出95.81万元，占3.62%。</w:t>
      </w:r>
    </w:p>
    <w:p>
      <w:pPr>
        <w:adjustRightInd w:val="0"/>
        <w:snapToGrid w:val="0"/>
        <w:spacing w:line="576" w:lineRule="exact"/>
        <w:ind w:firstLine="640" w:firstLineChars="200"/>
        <w:rPr>
          <w:rFonts w:ascii="黑体" w:hAnsi="黑体" w:eastAsia="黑体" w:cs="黑体"/>
          <w:sz w:val="32"/>
          <w:szCs w:val="32"/>
        </w:rPr>
      </w:pPr>
      <w:r>
        <w:rPr>
          <w:rFonts w:hint="eastAsia" w:ascii="黑体" w:hAnsi="黑体" w:eastAsia="黑体" w:cs="黑体"/>
          <w:sz w:val="32"/>
          <w:szCs w:val="32"/>
        </w:rPr>
        <w:t>二、部门整体支出管理及使用情况</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（一）基本支出</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2021年度财政拨款基本支出2646.08万元，主要用于以下方面：工资福利支出1250.52万元，占47.27%；商品和服务支出936.78万元，占35.4%，主要用于办公经费63.03万元，印刷费40.65万元，电费14.52万元，劳务费127.58万元，委托业务费501.55万元，公务用车运行维护费8.1万元，年初三公经费预算为20万，我镇严格按照资金使用要求且比去年压减20%且在年初预算范围内；个人和家庭补助支出456.05万元，占17.23%；办公设备购置2.73万元，占0.1%。</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我镇严格按照年初预算执行。在收到财政下达的各类款项后，按照资金用途，依据预算执行计划，及时拨付各项资金。针对项目资金，从源头入手，落实责任，完善制度，合理使用，加强监管，注重宣传，确保项目资金的管理使用高效率。一是加强领导，增强责任制意识。二是加强资金管理制度建设。结合单位实际，将各项经济活动划分到具体工作岗位，按照岗位确定任务、职责和权限，贯彻执行所制订的相关财务制度，加强制度执行的监督，使专项资金的财务管理有章可循。三是加强资金支出管理。坚持“专项核算、专人管理、专款专用”的原则，严禁挤占、挪用专项资金。</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（二）专项支出情况</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我镇2021年无专项支出。</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（三）政府性基金预算支出情况</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本单位2021年度无政府性基金预算支出。</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四、资产管理情况</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为加强资产管理、规范资产管理行为制定合法、合规、完整的资产管理制度，做到资产账务管理合规，账实相符；资产使用规范，不得私自出租、出借资产行为；规范资产处置等。</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五、部门整体支出绩效情况</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（一）预算支出决策情况</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按照年初预算绩效目标，合理安排资金的使用。</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（二）预算执行过程情况</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严格按照资金用途，在预算资金范围内合理支出，强化监督。</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（三）预算支出产出情况</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通过合理支出，各项资金均取得了一定的产出。基本支出保障乡镇基本工作运行。</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（四）预算支出效益情况</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通过对预算资金的合理安排、使用，我镇基本完成了年初绩效目标，通过乡村两级的共同努力，创造了和谐、美丽的城乡环境。具体取得以下成效：悉力实施乡村振兴战略,着力打造生态宜居卫生镇。按照产业兴旺、生态宜居、乡风文明、治理有效、生活富裕的总要求。发展产业强基础。制定符合本镇发展实际的主导产业发展规划，培育农业企业、农民专业合作社、家庭农场、农业产业化联合体等经营主体，注重产业带动和产业效益，多渠道增加村级集体经营收入。改善人居环境展新貌。认真对照中央、省、市、区《农村人居环境整治三年行动方案》，加大农村垃圾污水、卫生厕所、村容村貌的治理，建立健全农村人居环境长效管护机制，全面提升农村人居环境质量。确定先行示范村，充分发挥示范村的示范带动作用。对境内4条主要溪河进行全面清淤，防洪堤治理。计划通过5年努力，全镇14个村村容村貌发生翻天覆地的变化。加强村庄规划，规范农村建房，巩固农村环境综合治理成果；积极建设城郊乡村文旅观光休闲区，重点打造尽远古村、江龙湾荷花、仇家猕猴桃等乡村休闲观光旅游精品线路，美丽乡村展新貌，真正做到让农村更加美丽，让人们记住乡愁。倡导移风易俗立新风。以治陋习、树新风为重点，开展新民风建设和道德评议，引导农民摈弃封建迷信、陈规陋习，抵制铺张浪费、大操大办、厚葬薄养、人情攀比等不良风气，倡导科学文明健康的生活方式，努力共建新生活。繁荣农村文艺。完善“七个一”建设，引导广大群众自觉传承中华优秀文化和传统美德，形成崇德向善的文明风尚，使乡村既有“颜值”更有“气质”。</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防范化解重大风险不懈怠，压实安全生产责任，全面推行预防体系建设，健全应急管理体系，强化源头管控治理，坚决防范遏制各类事故发生，增强防洪抗灾能力，防范自然灾害风险，做好突发公共事件预防处置，防范社会风险。推进污染防治不动摇，向保护眼睛一样保护环境，向对待生命一样对待环保，坚决打赢蓝天、碧水、净土保卫战。扎实开展中央环境保护督查“回头看”反馈问题整改，巩固环保督查整改成果，安置问题反弹，严格落实河长制，全力推进河流“清四乱”，启动鸬鹚江、暴溪综合治理,加快农村黑臭水体整治建立健全土壤污染治理机制，推进第二次全国污染源普查，完成农业面源污染防治。做好城乡建设用地增减挂钩、耕地占补平衡工作。</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着力推动小城镇建设，全力打造产城合一特色镇。努力打造特色小镇。加快小城镇建设步伐,启动黄金坳产城融合型特色小镇扩容提质,提升小城镇形象;加强执法力度,对户外广告、门店经营进行规范化管理；优化发展环境，重拳整治国省道沿线、园区内“两违”建设,坚决制止乱搭乱建、乱摆乱放行为;加强群众素质教育，建立健全创卫常态化管理机制，巩固提升创卫成果。加快完善整体规划。加紧完善小城镇建设规划，尽快启动集镇污水处理厂建设，控制污染源，彻底根治清水溪黑臭水体。加快实施黄金坳集镇和尽远集镇的提质改造升级。全面完善基础设施。按照“特色卫星镇、社区融合区、扶贫示范园”的目标要求，积极汇同相关部门，认真做实做细农产品加工仓储物流园建设规划，加紧审批，加重宣传，加大招商，加快建设。尽快启动实施园区“三通一平”建设。</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鼎力发展重点项目建设,推动经济健康平稳发展。黄金坳作为怀化市主体城区唯一的建制镇,我们肩负重任,全镇上下要高度统一思想,奋力推进黄金坳小城镇、产业园区及镇域工程项目建设的快速发展。全力做好招商引资。加大招商引资力度,探索小农户和现代农业发展的有机衔接,努力构建现代农业产业体系的先行区。全镇上下必须全力以赴确保各类项目顺利推进,以项目建设助推全镇发展大提速,为实现全镇经济社会又快又好发展作出积极贡献。必须全力做好渝怀铁路增建二线、张吉怀客运专线、黄金坳农贸市场等重点项目的服务工作,加快推动项目建设;渝怀高速落地互通开通工作；全力做好镇区“一线两圈”范围内各扶贫产业项目的保障工作,确保项目稳定发展。</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奋力提升群众幸福指数,坚决维护社会和谐稳定。经济发展,民生为重。我们一切工作的出发点和落脚点都是为了促进社会和谐、增进民生福祉。要始终坚持以人为本,努力实现民生事业的持续进步。切实保障改善民生。完善城乡低保制度,在低保大清查、低保资料清理的基础上进一步完善低保申请、入户调查、民主评议、审核审批程序;强化家庭收入核算和经济比对,倡导诚信求助,加强动态管理,加大低保清查力度,切实做到公平施保、应保尽保、应退即退。加强敬老院的管理,完善敬老院集中供养特困人员的配套服务设施、做好全镇散居特困户上报审批工作,做到应保尽保。统筹发展社会事业。认真落实中央惠民政策,扎实推进省市区为民办实事项目。积极开展各项文体活动,强化14个已建成村级 “农家书屋”工程,多开展群众喜闻乐见的文化体育活动,提高群众身体素质,丰富群众精神文化生活;完善基层医疗卫生服务体系,加强食品、药品安全管理工作;落实惠民政策,将粮食直补、综合补贴、退耕还林补贴等各项惠农补贴按时足额发放到位。全力维护社会稳定。切实落实“一岗双责”机制。严格督促落实企业安全生产主体责任织密农村平安建设组织网络,不断推进农村平安建设向纵深进展。通过召开会议、设置宣传栏等方式,大力开展普法知识宣传,提高防范意识;健全矛盾排查调处、信访问责机制,构筑治安网络,将矛盾问题化解在基层,解决在萌芽状态;严格落实安全生产责任制,强化安全生产监管,突出三轮车和农用车载客、烟花爆竹生产储运、非煤矿山生产等重点领域和重点行业的隐患整治排查,时刻保持对违法犯罪的高压态势;加大校园周边环境治理力度,维护学校的治安、安全和正常的教学秩序,努力为学生创造安全、文明的学习环境;抓好诚信计生,继续强化社会抚养费的征收力度。</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总体上，通过全乡职工尽职履职，有效服务了本辖区群众，获得了较高的群众满意度。</w:t>
      </w:r>
    </w:p>
    <w:p>
      <w:pPr>
        <w:adjustRightInd w:val="0"/>
        <w:snapToGrid w:val="0"/>
        <w:spacing w:line="576" w:lineRule="exact"/>
        <w:ind w:firstLine="640" w:firstLineChars="200"/>
        <w:rPr>
          <w:rFonts w:ascii="黑体" w:hAnsi="黑体" w:eastAsia="黑体" w:cs="黑体"/>
          <w:sz w:val="32"/>
          <w:szCs w:val="32"/>
        </w:rPr>
      </w:pPr>
      <w:r>
        <w:rPr>
          <w:rFonts w:hint="eastAsia" w:ascii="黑体" w:hAnsi="黑体" w:eastAsia="黑体" w:cs="黑体"/>
          <w:sz w:val="32"/>
          <w:szCs w:val="32"/>
        </w:rPr>
        <w:t>六、存在的主要问题</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主要存在的问题：1.预算执行存在偏差；2.固定资产管理水平有待进一步提高</w:t>
      </w:r>
    </w:p>
    <w:p>
      <w:pPr>
        <w:adjustRightInd w:val="0"/>
        <w:snapToGrid w:val="0"/>
        <w:spacing w:line="576" w:lineRule="exact"/>
        <w:ind w:firstLine="640" w:firstLineChars="200"/>
        <w:rPr>
          <w:rFonts w:ascii="黑体" w:hAnsi="黑体" w:eastAsia="黑体" w:cs="黑体"/>
          <w:sz w:val="32"/>
          <w:szCs w:val="32"/>
        </w:rPr>
      </w:pPr>
      <w:r>
        <w:rPr>
          <w:rFonts w:hint="eastAsia" w:ascii="黑体" w:hAnsi="黑体" w:eastAsia="黑体" w:cs="黑体"/>
          <w:sz w:val="32"/>
          <w:szCs w:val="32"/>
        </w:rPr>
        <w:t>七、改进措施和有关建议</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1.严格按照年初预算安排资金计划和使用，确保口径一致。科学合理编制预算，严格执行预算。按照新《预算法》及其实施条例的相关规定，按本部门的发展规划，结合上一年度预算执行情况和本年度预算收支变化因素，科学合理的编制本年度预算方案，避免预算支出与实际执行出现较大偏差情况。</w:t>
      </w:r>
    </w:p>
    <w:p>
      <w:pPr>
        <w:adjustRightInd w:val="0"/>
        <w:snapToGrid w:val="0"/>
        <w:spacing w:line="576" w:lineRule="exact"/>
        <w:ind w:firstLine="640" w:firstLineChars="200"/>
        <w:rPr>
          <w:rFonts w:hint="eastAsia" w:ascii="宋体" w:hAnsi="宋体" w:cs="黑体"/>
          <w:color w:val="000000"/>
          <w:kern w:val="0"/>
          <w:sz w:val="32"/>
          <w:szCs w:val="32"/>
        </w:rPr>
      </w:pPr>
      <w:r>
        <w:rPr>
          <w:rFonts w:hint="eastAsia" w:ascii="宋体" w:hAnsi="宋体" w:cs="黑体"/>
          <w:color w:val="000000"/>
          <w:kern w:val="0"/>
          <w:sz w:val="32"/>
          <w:szCs w:val="32"/>
        </w:rPr>
        <w:t>2.严格按照《固定资产管理办法》的规定加强固定资产管理，及时登记、加强资产卡片管理，年终前对各类实物资产进行全面盘点，确保账账、账实相符。</w:t>
      </w:r>
    </w:p>
    <w:p>
      <w:pPr>
        <w:widowControl/>
        <w:jc w:val="left"/>
        <w:rPr>
          <w:rFonts w:ascii="黑体" w:eastAsia="黑体" w:cs="黑体"/>
          <w:color w:val="000000"/>
          <w:kern w:val="0"/>
          <w:sz w:val="70"/>
          <w:szCs w:val="70"/>
        </w:rPr>
      </w:pPr>
    </w:p>
    <w:p>
      <w:pPr>
        <w:jc w:val="center"/>
        <w:rPr>
          <w:rFonts w:ascii="黑体" w:eastAsia="黑体" w:cs="黑体"/>
          <w:color w:val="000000"/>
          <w:kern w:val="0"/>
          <w:sz w:val="70"/>
          <w:szCs w:val="70"/>
        </w:rPr>
      </w:pP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348DAA"/>
    <w:multiLevelType w:val="singleLevel"/>
    <w:tmpl w:val="91348DAA"/>
    <w:lvl w:ilvl="0" w:tentative="0">
      <w:start w:val="8"/>
      <w:numFmt w:val="decimal"/>
      <w:suff w:val="nothing"/>
      <w:lvlText w:val="%1、"/>
      <w:lvlJc w:val="left"/>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I2NGRiYmQwOWZkOTg4MzMxMDkzZDc2NzhhOTYzNjMifQ=="/>
  </w:docVars>
  <w:rsids>
    <w:rsidRoot w:val="004506F9"/>
    <w:rsid w:val="0002229B"/>
    <w:rsid w:val="000273BD"/>
    <w:rsid w:val="000415B7"/>
    <w:rsid w:val="00041E3F"/>
    <w:rsid w:val="000438D3"/>
    <w:rsid w:val="00055DAA"/>
    <w:rsid w:val="00061F7B"/>
    <w:rsid w:val="000658A3"/>
    <w:rsid w:val="00074155"/>
    <w:rsid w:val="00081AF1"/>
    <w:rsid w:val="000873EF"/>
    <w:rsid w:val="000A3F69"/>
    <w:rsid w:val="00103957"/>
    <w:rsid w:val="00124A1F"/>
    <w:rsid w:val="00146861"/>
    <w:rsid w:val="00152C6D"/>
    <w:rsid w:val="00162D39"/>
    <w:rsid w:val="001678BD"/>
    <w:rsid w:val="00182373"/>
    <w:rsid w:val="00182B50"/>
    <w:rsid w:val="001A67DB"/>
    <w:rsid w:val="001C3C29"/>
    <w:rsid w:val="001D51E5"/>
    <w:rsid w:val="001E080D"/>
    <w:rsid w:val="001E53D0"/>
    <w:rsid w:val="001E68E4"/>
    <w:rsid w:val="001F0C3B"/>
    <w:rsid w:val="00202C14"/>
    <w:rsid w:val="00202C82"/>
    <w:rsid w:val="00214427"/>
    <w:rsid w:val="00215788"/>
    <w:rsid w:val="00226CB7"/>
    <w:rsid w:val="00264552"/>
    <w:rsid w:val="00264EF9"/>
    <w:rsid w:val="00265724"/>
    <w:rsid w:val="0027426B"/>
    <w:rsid w:val="002A635B"/>
    <w:rsid w:val="002E0A30"/>
    <w:rsid w:val="002F53BB"/>
    <w:rsid w:val="003025B4"/>
    <w:rsid w:val="003130C4"/>
    <w:rsid w:val="00316C4B"/>
    <w:rsid w:val="0032192B"/>
    <w:rsid w:val="00327FFA"/>
    <w:rsid w:val="00336E67"/>
    <w:rsid w:val="00342238"/>
    <w:rsid w:val="003479BD"/>
    <w:rsid w:val="0037197D"/>
    <w:rsid w:val="003768D5"/>
    <w:rsid w:val="003C4197"/>
    <w:rsid w:val="003C47E6"/>
    <w:rsid w:val="003C4FC2"/>
    <w:rsid w:val="003E2331"/>
    <w:rsid w:val="003F09E1"/>
    <w:rsid w:val="0041223A"/>
    <w:rsid w:val="00416E61"/>
    <w:rsid w:val="0042790C"/>
    <w:rsid w:val="004506F9"/>
    <w:rsid w:val="0045317C"/>
    <w:rsid w:val="004717A2"/>
    <w:rsid w:val="00473DF3"/>
    <w:rsid w:val="00481122"/>
    <w:rsid w:val="00484D59"/>
    <w:rsid w:val="00487911"/>
    <w:rsid w:val="00491741"/>
    <w:rsid w:val="00497300"/>
    <w:rsid w:val="004B0CEE"/>
    <w:rsid w:val="004E2339"/>
    <w:rsid w:val="004E71CA"/>
    <w:rsid w:val="004F14D9"/>
    <w:rsid w:val="004F5D8B"/>
    <w:rsid w:val="00500E5F"/>
    <w:rsid w:val="005122EF"/>
    <w:rsid w:val="0051441A"/>
    <w:rsid w:val="005150E9"/>
    <w:rsid w:val="00517C33"/>
    <w:rsid w:val="00517D5F"/>
    <w:rsid w:val="00521AF2"/>
    <w:rsid w:val="00523644"/>
    <w:rsid w:val="005333B5"/>
    <w:rsid w:val="0054069E"/>
    <w:rsid w:val="00544866"/>
    <w:rsid w:val="00550DD7"/>
    <w:rsid w:val="00564796"/>
    <w:rsid w:val="005767CC"/>
    <w:rsid w:val="00590D9F"/>
    <w:rsid w:val="00595D26"/>
    <w:rsid w:val="005A74E6"/>
    <w:rsid w:val="005B404E"/>
    <w:rsid w:val="005D4D55"/>
    <w:rsid w:val="005E2CFB"/>
    <w:rsid w:val="005F2103"/>
    <w:rsid w:val="005F3D1C"/>
    <w:rsid w:val="0060317E"/>
    <w:rsid w:val="00611D0C"/>
    <w:rsid w:val="0062378F"/>
    <w:rsid w:val="00641842"/>
    <w:rsid w:val="00646A55"/>
    <w:rsid w:val="00651EEC"/>
    <w:rsid w:val="00683D5A"/>
    <w:rsid w:val="00686673"/>
    <w:rsid w:val="00691E8C"/>
    <w:rsid w:val="006A22C4"/>
    <w:rsid w:val="006A348B"/>
    <w:rsid w:val="006A351B"/>
    <w:rsid w:val="006B0422"/>
    <w:rsid w:val="006B0ECC"/>
    <w:rsid w:val="006C1B53"/>
    <w:rsid w:val="006D7730"/>
    <w:rsid w:val="006D7AB1"/>
    <w:rsid w:val="006E5284"/>
    <w:rsid w:val="006F3EB5"/>
    <w:rsid w:val="006F6E93"/>
    <w:rsid w:val="00702E34"/>
    <w:rsid w:val="00704395"/>
    <w:rsid w:val="00710FE7"/>
    <w:rsid w:val="00717621"/>
    <w:rsid w:val="00720FF1"/>
    <w:rsid w:val="00727A53"/>
    <w:rsid w:val="0076627B"/>
    <w:rsid w:val="00767FBF"/>
    <w:rsid w:val="00787B42"/>
    <w:rsid w:val="007C4539"/>
    <w:rsid w:val="007C4FC7"/>
    <w:rsid w:val="007F3657"/>
    <w:rsid w:val="00801A8F"/>
    <w:rsid w:val="00812ED5"/>
    <w:rsid w:val="008277D9"/>
    <w:rsid w:val="0084478C"/>
    <w:rsid w:val="00847E3A"/>
    <w:rsid w:val="0086638C"/>
    <w:rsid w:val="00896B37"/>
    <w:rsid w:val="008A3E8D"/>
    <w:rsid w:val="009237C4"/>
    <w:rsid w:val="00944C48"/>
    <w:rsid w:val="00950252"/>
    <w:rsid w:val="00967F5D"/>
    <w:rsid w:val="009A0F95"/>
    <w:rsid w:val="009B3ADF"/>
    <w:rsid w:val="009C3B52"/>
    <w:rsid w:val="009E6817"/>
    <w:rsid w:val="009E6E9A"/>
    <w:rsid w:val="00A01D2B"/>
    <w:rsid w:val="00A37EC9"/>
    <w:rsid w:val="00A42218"/>
    <w:rsid w:val="00A70249"/>
    <w:rsid w:val="00A70B02"/>
    <w:rsid w:val="00A71D9F"/>
    <w:rsid w:val="00A92E9F"/>
    <w:rsid w:val="00AD47A5"/>
    <w:rsid w:val="00AD68A8"/>
    <w:rsid w:val="00AE6830"/>
    <w:rsid w:val="00AF6237"/>
    <w:rsid w:val="00B13FBD"/>
    <w:rsid w:val="00B33BEA"/>
    <w:rsid w:val="00B42C25"/>
    <w:rsid w:val="00B43F86"/>
    <w:rsid w:val="00B54A0F"/>
    <w:rsid w:val="00B57C9F"/>
    <w:rsid w:val="00B63572"/>
    <w:rsid w:val="00B813C9"/>
    <w:rsid w:val="00B845B3"/>
    <w:rsid w:val="00B85D8B"/>
    <w:rsid w:val="00BB4A40"/>
    <w:rsid w:val="00BD6C3E"/>
    <w:rsid w:val="00BE3674"/>
    <w:rsid w:val="00BE65E6"/>
    <w:rsid w:val="00C10681"/>
    <w:rsid w:val="00C3049A"/>
    <w:rsid w:val="00C31B1E"/>
    <w:rsid w:val="00C77645"/>
    <w:rsid w:val="00C87A6B"/>
    <w:rsid w:val="00CA5DBF"/>
    <w:rsid w:val="00CE04C3"/>
    <w:rsid w:val="00CE76A0"/>
    <w:rsid w:val="00D148C6"/>
    <w:rsid w:val="00D17A8A"/>
    <w:rsid w:val="00D204AD"/>
    <w:rsid w:val="00D205B4"/>
    <w:rsid w:val="00D415BA"/>
    <w:rsid w:val="00D46361"/>
    <w:rsid w:val="00D51590"/>
    <w:rsid w:val="00D53182"/>
    <w:rsid w:val="00D63780"/>
    <w:rsid w:val="00D644EE"/>
    <w:rsid w:val="00D75489"/>
    <w:rsid w:val="00D84B5C"/>
    <w:rsid w:val="00DD06FF"/>
    <w:rsid w:val="00DD3A35"/>
    <w:rsid w:val="00DD5FE9"/>
    <w:rsid w:val="00E00C7A"/>
    <w:rsid w:val="00E209CF"/>
    <w:rsid w:val="00E37D6C"/>
    <w:rsid w:val="00E443D2"/>
    <w:rsid w:val="00E55B68"/>
    <w:rsid w:val="00E67BE6"/>
    <w:rsid w:val="00E8683C"/>
    <w:rsid w:val="00EA2B72"/>
    <w:rsid w:val="00EA6D21"/>
    <w:rsid w:val="00F74360"/>
    <w:rsid w:val="00F74DDF"/>
    <w:rsid w:val="00FB462F"/>
    <w:rsid w:val="00FC5966"/>
    <w:rsid w:val="00FE16FA"/>
    <w:rsid w:val="00FE328A"/>
    <w:rsid w:val="00FE6269"/>
    <w:rsid w:val="00FF5CD6"/>
    <w:rsid w:val="02D3174E"/>
    <w:rsid w:val="033755DF"/>
    <w:rsid w:val="143964CB"/>
    <w:rsid w:val="1948529C"/>
    <w:rsid w:val="2D216834"/>
    <w:rsid w:val="43377238"/>
    <w:rsid w:val="4F731EBC"/>
    <w:rsid w:val="568F4E2A"/>
    <w:rsid w:val="5DD60E91"/>
    <w:rsid w:val="6BC75CB2"/>
    <w:rsid w:val="6C8678E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Balloon Text"/>
    <w:basedOn w:val="1"/>
    <w:link w:val="13"/>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customStyle="1" w:styleId="9">
    <w:name w:val="页眉 Char"/>
    <w:basedOn w:val="8"/>
    <w:link w:val="5"/>
    <w:qFormat/>
    <w:uiPriority w:val="99"/>
    <w:rPr>
      <w:sz w:val="18"/>
      <w:szCs w:val="18"/>
    </w:rPr>
  </w:style>
  <w:style w:type="character" w:customStyle="1" w:styleId="10">
    <w:name w:val="页脚 Char"/>
    <w:basedOn w:val="8"/>
    <w:link w:val="4"/>
    <w:qFormat/>
    <w:uiPriority w:val="99"/>
    <w:rPr>
      <w:sz w:val="18"/>
      <w:szCs w:val="18"/>
    </w:rPr>
  </w:style>
  <w:style w:type="paragraph" w:customStyle="1" w:styleId="11">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2">
    <w:name w:val="List Paragraph"/>
    <w:basedOn w:val="1"/>
    <w:qFormat/>
    <w:uiPriority w:val="34"/>
    <w:pPr>
      <w:ind w:firstLine="420" w:firstLineChars="200"/>
    </w:pPr>
  </w:style>
  <w:style w:type="character" w:customStyle="1" w:styleId="13">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817BC-5FD6-4548-8A0B-0BD2F76C57E2}">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25</Pages>
  <Words>11632</Words>
  <Characters>12466</Characters>
  <Lines>88</Lines>
  <Paragraphs>24</Paragraphs>
  <TotalTime>9</TotalTime>
  <ScaleCrop>false</ScaleCrop>
  <LinksUpToDate>false</LinksUpToDate>
  <CharactersWithSpaces>12562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2022-10-11T00:40:00Z</dcterms:created>
  <dc:creator>李航 null</dc:creator>
  <cp:lastModifiedBy>yanyan小朋友 </cp:lastModifiedBy>
  <cp:lastPrinted>2022-07-27T12:55:00Z</cp:lastPrinted>
  <dcterms:modified xsi:type="dcterms:W3CDTF">2023-09-27T17:43:06Z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906EE56AE56C4AFAA90A5EE32FB9071F</vt:lpwstr>
  </property>
</Properties>
</file>