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E811" w14:textId="77777777" w:rsidR="00D568CC" w:rsidRDefault="00000000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2022年度怀化市鹤城区红十字会部门预算</w:t>
      </w:r>
    </w:p>
    <w:p w14:paraId="492AD61A" w14:textId="77777777" w:rsidR="00D568CC" w:rsidRDefault="00000000">
      <w:pPr>
        <w:spacing w:line="560" w:lineRule="exact"/>
        <w:jc w:val="center"/>
        <w:rPr>
          <w:rFonts w:eastAsia="楷体_GB2312"/>
          <w:bCs/>
          <w:kern w:val="0"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公开说明</w:t>
      </w:r>
    </w:p>
    <w:p w14:paraId="0B647C17" w14:textId="77777777" w:rsidR="00D568CC" w:rsidRDefault="00D568CC">
      <w:pPr>
        <w:spacing w:line="56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</w:p>
    <w:p w14:paraId="28F92D43" w14:textId="77777777" w:rsidR="00D568CC" w:rsidRDefault="00000000">
      <w:pPr>
        <w:spacing w:line="56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目</w:t>
      </w:r>
      <w:r>
        <w:rPr>
          <w:rFonts w:eastAsia="黑体" w:hint="eastAsia"/>
          <w:bCs/>
          <w:kern w:val="0"/>
          <w:sz w:val="32"/>
          <w:szCs w:val="32"/>
        </w:rPr>
        <w:t xml:space="preserve">  </w:t>
      </w:r>
      <w:r>
        <w:rPr>
          <w:rFonts w:eastAsia="黑体" w:hint="eastAsia"/>
          <w:bCs/>
          <w:kern w:val="0"/>
          <w:sz w:val="32"/>
          <w:szCs w:val="32"/>
        </w:rPr>
        <w:t>录</w:t>
      </w:r>
    </w:p>
    <w:p w14:paraId="7A4A31F0" w14:textId="77777777" w:rsidR="00D568CC" w:rsidRDefault="00000000">
      <w:pPr>
        <w:spacing w:line="560" w:lineRule="exact"/>
        <w:rPr>
          <w:rFonts w:eastAsia="黑体"/>
          <w:bCs/>
          <w:kern w:val="0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第一部分：2022年部门预算公开说明</w:t>
      </w:r>
    </w:p>
    <w:p w14:paraId="0B6AB2C9" w14:textId="77777777" w:rsidR="00D568CC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14:paraId="17598065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14:paraId="5F9F5F15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14:paraId="000F91E8" w14:textId="77777777" w:rsidR="00D568CC" w:rsidRDefault="0000000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二、部门预算单位构成</w:t>
      </w:r>
    </w:p>
    <w:p w14:paraId="705D2C9F" w14:textId="77777777" w:rsidR="00D568CC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三、部门预算收支总体情况</w:t>
      </w:r>
    </w:p>
    <w:p w14:paraId="4185CA92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（1）收入预算</w:t>
      </w:r>
    </w:p>
    <w:p w14:paraId="44B91F6D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（2）支出预算</w:t>
      </w:r>
    </w:p>
    <w:p w14:paraId="0CF77104" w14:textId="77777777" w:rsidR="00D568CC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</w:t>
      </w:r>
      <w:r>
        <w:rPr>
          <w:rFonts w:ascii="仿宋_GB2312" w:eastAsia="仿宋_GB2312" w:hint="eastAsia"/>
          <w:b/>
          <w:bCs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年度一般公共预算财政拨款支出情况</w:t>
      </w:r>
    </w:p>
    <w:p w14:paraId="0BB766D2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（1）基本支出</w:t>
      </w:r>
    </w:p>
    <w:p w14:paraId="15F03AE4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（2）项目支出</w:t>
      </w:r>
    </w:p>
    <w:p w14:paraId="3C1003F0" w14:textId="77777777" w:rsidR="00D568CC" w:rsidRDefault="00000000">
      <w:pPr>
        <w:tabs>
          <w:tab w:val="left" w:pos="1003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五、政府性基金支出</w:t>
      </w:r>
    </w:p>
    <w:p w14:paraId="4D73D020" w14:textId="77777777" w:rsidR="00D568CC" w:rsidRDefault="00000000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14:paraId="6F042F78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（一）年度“三公”经费预算情况</w:t>
      </w:r>
    </w:p>
    <w:p w14:paraId="0E9DF240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（二）年度机关运行经费预算情况</w:t>
      </w:r>
    </w:p>
    <w:p w14:paraId="5C634B34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（三）一般性支出情况</w:t>
      </w:r>
    </w:p>
    <w:p w14:paraId="6848EE71" w14:textId="77777777" w:rsidR="00D568CC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（四）年度政府采购预算情况</w:t>
      </w:r>
    </w:p>
    <w:p w14:paraId="50F05C1C" w14:textId="77777777" w:rsidR="00D568CC" w:rsidRDefault="0000000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eastAsia="仿宋_GB2312" w:hint="eastAsia"/>
          <w:sz w:val="32"/>
          <w:szCs w:val="32"/>
        </w:rPr>
        <w:t>国有资产占用情况</w:t>
      </w:r>
    </w:p>
    <w:p w14:paraId="300A9010" w14:textId="77777777" w:rsidR="00D568CC" w:rsidRDefault="0000000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（六）预算绩效管理情况</w:t>
      </w:r>
    </w:p>
    <w:p w14:paraId="20459340" w14:textId="77777777" w:rsidR="00D568CC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  <w:sectPr w:rsidR="00D568CC">
          <w:footerReference w:type="default" r:id="rId7"/>
          <w:pgSz w:w="11906" w:h="16838"/>
          <w:pgMar w:top="1440" w:right="1780" w:bottom="1440" w:left="1780" w:header="851" w:footer="992" w:gutter="0"/>
          <w:pgNumType w:start="1"/>
          <w:cols w:space="720"/>
          <w:docGrid w:type="lines" w:linePitch="312"/>
        </w:sectPr>
      </w:pPr>
      <w:r>
        <w:rPr>
          <w:rFonts w:ascii="黑体" w:eastAsia="黑体" w:hint="eastAsia"/>
          <w:sz w:val="32"/>
          <w:szCs w:val="32"/>
        </w:rPr>
        <w:t>七、专业名词解释</w:t>
      </w:r>
      <w:r>
        <w:rPr>
          <w:rFonts w:ascii="宋体" w:hAnsi="宋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sz w:val="32"/>
          <w:szCs w:val="32"/>
        </w:rPr>
        <w:t xml:space="preserve"> </w:t>
      </w:r>
    </w:p>
    <w:p w14:paraId="282EC522" w14:textId="77777777" w:rsidR="00D568CC" w:rsidRDefault="00000000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第二部分：2022年部门预算表</w:t>
      </w:r>
    </w:p>
    <w:p w14:paraId="254D7CC0" w14:textId="77777777" w:rsidR="00D568CC" w:rsidRDefault="00D568CC">
      <w:pPr>
        <w:spacing w:line="560" w:lineRule="exact"/>
        <w:rPr>
          <w:rFonts w:ascii="黑体" w:eastAsia="黑体"/>
          <w:sz w:val="32"/>
          <w:szCs w:val="32"/>
        </w:rPr>
      </w:pPr>
    </w:p>
    <w:p w14:paraId="57A698F0" w14:textId="77777777" w:rsidR="00C70F31" w:rsidRDefault="00C70F31" w:rsidP="00C70F31">
      <w:pPr>
        <w:spacing w:line="560" w:lineRule="exact"/>
        <w:jc w:val="left"/>
        <w:rPr>
          <w:rFonts w:ascii="仿宋" w:eastAsia="仿宋" w:hAnsi="仿宋" w:cs="仿宋_GB2312"/>
          <w:sz w:val="32"/>
          <w:szCs w:val="32"/>
          <w:lang w:bidi="ar"/>
        </w:rPr>
      </w:pP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1、收支总表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2、收入总表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3、支出总表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4、支出预算分类汇总表（按政府预算经济分类）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5、支出预算分类汇总表（按部门预算经济分类）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6、财政拨款收支总表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7、一般公共预算支出表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8、一般公共预算基本支出表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9、一般公共预算基本支出表--人员经费(工资福利支出)(按政府预算经济分类)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10、一般公共预算基本支出表--人员经费(工资福利支出)(按部门预算经济分类)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11、一般公共预算基本支出表--人员经费(对个人和家庭的补助)(按政府预算经济分类)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12、一般公共预算基本支出表--人员经费(对个人和家庭的补助)（按部门预算经济分类）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13、一般公共预算基本支出表--公用经费(商品和服务支出)（按政府预算经济分类）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14、一般公共预算基本支出表--公用经费(商品和服务支出)(按部门预算经济分类)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15、一般公共预算“三公”经费支出表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16、政府性基金预算支出表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lastRenderedPageBreak/>
        <w:t>17、政府性基金预算支出分类汇总表（按政府预算经济分类）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18、政府性基金预算支出分类汇总表（按部门预算经济分类）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19、国有资本经营预算支出表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20、财政专户管理资金预算支出表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21、专项资金预算汇总表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22、项目支出绩效目标表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23、整体支出绩效目标表</w:t>
      </w:r>
    </w:p>
    <w:p w14:paraId="299BBBD5" w14:textId="544AE100" w:rsidR="00D568CC" w:rsidRDefault="00D568CC">
      <w:pPr>
        <w:spacing w:line="560" w:lineRule="exact"/>
        <w:rPr>
          <w:rFonts w:ascii="仿宋_GB2312" w:eastAsia="仿宋_GB2312" w:hAnsi="宋体" w:cs="Arial"/>
          <w:sz w:val="32"/>
          <w:szCs w:val="32"/>
        </w:rPr>
      </w:pPr>
    </w:p>
    <w:p w14:paraId="5681A23C" w14:textId="77777777" w:rsidR="00D568CC" w:rsidRDefault="00000000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注：以上部门预算报表中，空表表示本部门无相关收支情况</w:t>
      </w:r>
    </w:p>
    <w:p w14:paraId="4639B90E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2F7D1F16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6E1E5007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1BF10FDC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09FA3362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5E91DC84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1CC58A59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61593C5D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376DB94A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076A2F3E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0FA30B75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7CFB483D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4F0F49F7" w14:textId="77777777" w:rsidR="00D568CC" w:rsidRDefault="00D568CC">
      <w:pPr>
        <w:spacing w:line="560" w:lineRule="exact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14:paraId="189561AC" w14:textId="77777777" w:rsidR="00D568CC" w:rsidRDefault="00000000">
      <w:pPr>
        <w:spacing w:line="560" w:lineRule="exact"/>
        <w:ind w:firstLineChars="300" w:firstLine="108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第一部分：2022年部门预算公开说明</w:t>
      </w:r>
    </w:p>
    <w:p w14:paraId="35D0CE44" w14:textId="77777777" w:rsidR="00D568CC" w:rsidRDefault="00D568CC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</w:p>
    <w:p w14:paraId="2685C4D2" w14:textId="77777777" w:rsidR="00D568CC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一、部门职责及机构设置情况</w:t>
      </w:r>
    </w:p>
    <w:p w14:paraId="74DC7604" w14:textId="77777777" w:rsidR="00D568CC" w:rsidRDefault="00000000">
      <w:pPr>
        <w:spacing w:line="56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（一）部门职责</w:t>
      </w:r>
    </w:p>
    <w:p w14:paraId="48A86D77" w14:textId="77777777" w:rsidR="00D568CC" w:rsidRDefault="00000000">
      <w:pPr>
        <w:adjustRightInd w:val="0"/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负责发展红十字会基层组织，开展备灾救灾和社会性救助工作；组织献血宣传和卫生救护、发展红会青少年工作，救灾物资接运管理与发放，备灾募捐与医疗服务；红十字会业务培训。</w:t>
      </w:r>
    </w:p>
    <w:p w14:paraId="007C4B5F" w14:textId="77777777" w:rsidR="00D568CC" w:rsidRDefault="00000000">
      <w:pPr>
        <w:spacing w:line="56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（二）机构设置情况</w:t>
      </w:r>
    </w:p>
    <w:p w14:paraId="3B642685" w14:textId="77777777" w:rsidR="00D568CC" w:rsidRDefault="00000000">
      <w:pPr>
        <w:adjustRightIn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区红十字会作为一级部门预算单位，内设3个部室：</w:t>
      </w:r>
      <w:r>
        <w:rPr>
          <w:rFonts w:ascii="仿宋" w:eastAsia="仿宋" w:hAnsi="仿宋" w:cs="仿宋" w:hint="eastAsia"/>
          <w:sz w:val="32"/>
          <w:szCs w:val="32"/>
        </w:rPr>
        <w:t>办公室（对外联络部）、赈济救护部、筹资与财务部，</w:t>
      </w:r>
      <w:r>
        <w:rPr>
          <w:rFonts w:ascii="仿宋_GB2312" w:eastAsia="仿宋_GB2312" w:hint="eastAsia"/>
          <w:sz w:val="32"/>
          <w:szCs w:val="32"/>
        </w:rPr>
        <w:t>纳入2022年部门预算编制范围的二级部门预算单位包括备灾中心。</w:t>
      </w:r>
    </w:p>
    <w:p w14:paraId="0C26A033" w14:textId="77777777" w:rsidR="00D568CC" w:rsidRDefault="00000000">
      <w:pPr>
        <w:adjustRightInd w:val="0"/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编制人员情况(含二级机构)，现有编制数15人（其中：参照公务员管理编制7人,事业编制8人），差额编制0人。全会实有在职人员13人（其中：全额拨款人员13人、差额拨款人员0人、自收自支人员0人），离（退）休人员7人（其中退休7人）。</w:t>
      </w:r>
    </w:p>
    <w:p w14:paraId="40DC8856" w14:textId="77777777" w:rsidR="00D568CC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二、部门预算单位构成</w:t>
      </w:r>
    </w:p>
    <w:p w14:paraId="676733D7" w14:textId="77777777" w:rsidR="00D568CC" w:rsidRDefault="00000000">
      <w:pPr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本部门预算为汇总预算，纳入编制范围的预算单位包括：</w:t>
      </w:r>
    </w:p>
    <w:p w14:paraId="7D3CAED2" w14:textId="77777777" w:rsidR="00D568CC" w:rsidRDefault="00000000">
      <w:pPr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红十字会</w:t>
      </w:r>
      <w:r>
        <w:rPr>
          <w:rFonts w:eastAsia="仿宋_GB2312"/>
          <w:sz w:val="32"/>
          <w:szCs w:val="32"/>
        </w:rPr>
        <w:t>部门本级</w:t>
      </w:r>
      <w:r>
        <w:rPr>
          <w:rFonts w:eastAsia="仿宋_GB2312" w:hint="eastAsia"/>
          <w:sz w:val="32"/>
          <w:szCs w:val="32"/>
        </w:rPr>
        <w:t>。</w:t>
      </w:r>
    </w:p>
    <w:p w14:paraId="1C0BA7D3" w14:textId="77777777" w:rsidR="00D568CC" w:rsidRDefault="00000000">
      <w:pPr>
        <w:spacing w:line="600" w:lineRule="exact"/>
        <w:ind w:firstLineChars="196" w:firstLine="627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下属红十字备灾中心一个二级机构，</w:t>
      </w:r>
      <w:r>
        <w:rPr>
          <w:rFonts w:ascii="仿宋_GB2312" w:eastAsia="仿宋_GB2312" w:hint="eastAsia"/>
          <w:sz w:val="32"/>
          <w:szCs w:val="32"/>
        </w:rPr>
        <w:t>二级机构没有实行财务独立核算。</w:t>
      </w:r>
    </w:p>
    <w:p w14:paraId="0632151C" w14:textId="77777777" w:rsidR="00D568CC" w:rsidRDefault="00000000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</w:t>
      </w:r>
      <w:r>
        <w:rPr>
          <w:rFonts w:eastAsia="黑体"/>
          <w:bCs/>
          <w:kern w:val="0"/>
          <w:sz w:val="32"/>
          <w:szCs w:val="32"/>
        </w:rPr>
        <w:t>部门收支总体情况</w:t>
      </w:r>
    </w:p>
    <w:p w14:paraId="4A608347" w14:textId="77777777" w:rsidR="00D568CC" w:rsidRDefault="00000000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（一）收入预算：</w:t>
      </w:r>
      <w:r>
        <w:rPr>
          <w:rFonts w:ascii="仿宋_GB2312" w:eastAsia="仿宋_GB2312" w:hint="eastAsia"/>
          <w:sz w:val="32"/>
          <w:szCs w:val="32"/>
        </w:rPr>
        <w:t>包括一般公共预算、政府性基金、国有资本经营预算等财政拨款收入，以及经营收入、事业收入等单位资金。2022年本部门收入预算157.81万元，其中，</w:t>
      </w:r>
      <w:r>
        <w:rPr>
          <w:rFonts w:ascii="仿宋_GB2312" w:eastAsia="仿宋_GB2312" w:hint="eastAsia"/>
          <w:sz w:val="32"/>
          <w:szCs w:val="32"/>
        </w:rPr>
        <w:lastRenderedPageBreak/>
        <w:t>一般公共预算拨款157.81万元，政府性基金预算拨款0万元，国有资本经营预算拨款0万元，纳入专户管理的非税收入0万元。收入较上年增加3.09万元，主要原因是在职人数工资晋级晋档增加收入。</w:t>
      </w:r>
    </w:p>
    <w:p w14:paraId="739905CB" w14:textId="77777777" w:rsidR="00D568CC" w:rsidRDefault="00000000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（二）支出预算：</w:t>
      </w:r>
      <w:r>
        <w:rPr>
          <w:rFonts w:ascii="仿宋_GB2312" w:eastAsia="仿宋_GB2312" w:hint="eastAsia"/>
          <w:sz w:val="32"/>
          <w:szCs w:val="32"/>
        </w:rPr>
        <w:t>2022年本部门支出预算157.81万元，其中：社会保障和就业支出144.44，卫生健康支出5.35，住房保障支出8.02。支出较去年增加3.09万元，主要原因是在职人数工资晋级晋档增加支出。</w:t>
      </w:r>
    </w:p>
    <w:p w14:paraId="50803621" w14:textId="77777777" w:rsidR="00D568CC" w:rsidRDefault="00000000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一般公共预算拨款支出</w:t>
      </w:r>
    </w:p>
    <w:p w14:paraId="61A973B7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（一）基本支出</w:t>
      </w:r>
    </w:p>
    <w:p w14:paraId="3CC92A9E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2022年年初预算数为153.81万元，是指为保障单位机构正常运转、完成日常工作任务而发生的各项支出，包括用于基本工资、津贴补贴等人员经费以及办公费、邮电费、水电费、差旅费等日常公用经费。</w:t>
      </w:r>
    </w:p>
    <w:p w14:paraId="0C74C1E6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（二）项目支出</w:t>
      </w:r>
    </w:p>
    <w:p w14:paraId="763F4781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2022年年初预算数为4万元，是指单位为完成特定行政工作任务或事业发展目标而发生的支出，包括有产业发展引导类0万元、专项业务费用类4万元、基本建设类0万元、对个人和家庭补助类0万元。</w:t>
      </w:r>
    </w:p>
    <w:p w14:paraId="74A70D7B" w14:textId="77777777" w:rsidR="00D568CC" w:rsidRDefault="00000000">
      <w:pPr>
        <w:spacing w:line="600" w:lineRule="exact"/>
        <w:ind w:firstLineChars="200" w:firstLine="643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五、政府性基金支出</w:t>
      </w:r>
    </w:p>
    <w:p w14:paraId="47BD1DFF" w14:textId="77777777" w:rsidR="00D568CC" w:rsidRDefault="00000000">
      <w:pPr>
        <w:spacing w:line="600" w:lineRule="exact"/>
        <w:ind w:firstLineChars="200" w:firstLine="640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2022年本部门没有政府性基金预算收入，相应没有安排政府性基金预算支出。</w:t>
      </w:r>
    </w:p>
    <w:p w14:paraId="3D349248" w14:textId="77777777" w:rsidR="00D568CC" w:rsidRDefault="00000000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14:paraId="24DCBB69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lastRenderedPageBreak/>
        <w:t>（一）“三公”经费预算：</w:t>
      </w:r>
    </w:p>
    <w:p w14:paraId="430E6A29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2022年“三公”经费预算数为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万元，其中，公务接待费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万元，公务用车购置及运行费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万元（其中：公务用车购置费是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万元，公务用车运行费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万元），因公出国（境）费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万元。2022年“三公”经费预算数与2021年预算数持平。</w:t>
      </w:r>
    </w:p>
    <w:p w14:paraId="1B0B7785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（二）年度机关运行经费预算情况：</w:t>
      </w:r>
    </w:p>
    <w:p w14:paraId="21F4EDE1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</w:t>
      </w:r>
      <w:r>
        <w:rPr>
          <w:rFonts w:eastAsia="仿宋_GB2312" w:hint="eastAsia"/>
          <w:sz w:val="32"/>
          <w:szCs w:val="32"/>
        </w:rPr>
        <w:t>鹤城区红十字会</w:t>
      </w:r>
      <w:r>
        <w:rPr>
          <w:rFonts w:ascii="仿宋_GB2312" w:eastAsia="仿宋_GB2312" w:hint="eastAsia"/>
          <w:sz w:val="32"/>
          <w:szCs w:val="32"/>
        </w:rPr>
        <w:t>机关运行经费一般公共预算拨款</w:t>
      </w:r>
      <w:r>
        <w:rPr>
          <w:rFonts w:eastAsia="仿宋_GB2312" w:hint="eastAsia"/>
          <w:sz w:val="32"/>
          <w:szCs w:val="32"/>
        </w:rPr>
        <w:t>7.60</w:t>
      </w:r>
      <w:r>
        <w:rPr>
          <w:rFonts w:ascii="仿宋_GB2312" w:eastAsia="仿宋_GB2312" w:hint="eastAsia"/>
          <w:sz w:val="32"/>
          <w:szCs w:val="32"/>
        </w:rPr>
        <w:t>万元，其中：邮电费0.05万元，差旅费0.4万元，工会经费1.7万元，办公费</w:t>
      </w:r>
      <w:r>
        <w:rPr>
          <w:rFonts w:eastAsia="仿宋_GB2312" w:hint="eastAsia"/>
          <w:sz w:val="32"/>
          <w:szCs w:val="32"/>
        </w:rPr>
        <w:t>1.88</w:t>
      </w:r>
      <w:r>
        <w:rPr>
          <w:rFonts w:ascii="仿宋_GB2312" w:eastAsia="仿宋_GB2312" w:hint="eastAsia"/>
          <w:sz w:val="32"/>
          <w:szCs w:val="32"/>
        </w:rPr>
        <w:t>万元，电费0.4万元，其他商品和服务支出3.17万元。相比2021年预算数减少6.49万元，下降46.06%，主要原因是人员减少。</w:t>
      </w:r>
    </w:p>
    <w:p w14:paraId="4C568BEE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（三）一般性支出情况</w:t>
      </w:r>
    </w:p>
    <w:p w14:paraId="2F431655" w14:textId="77777777" w:rsidR="00D568CC" w:rsidRDefault="00000000">
      <w:pPr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eastAsia="仿宋_GB2312"/>
          <w:kern w:val="0"/>
          <w:sz w:val="32"/>
          <w:szCs w:val="32"/>
        </w:rPr>
        <w:t>年本部门会议费预算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eastAsia="仿宋_GB2312" w:hint="eastAsia"/>
          <w:kern w:val="0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eastAsia="仿宋_GB2312" w:hint="eastAsia"/>
          <w:kern w:val="0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拟举办节庆、晚会、论坛、赛事活动经费预算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 w14:paraId="3BBC91CC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（四）年度政府采购支出预算情况</w:t>
      </w:r>
    </w:p>
    <w:p w14:paraId="4C320D8F" w14:textId="77777777" w:rsidR="00D568CC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2022年鹤城区红十字会政府采购预算总额</w:t>
      </w:r>
      <w:r>
        <w:rPr>
          <w:rFonts w:eastAsia="仿宋_GB2312" w:hint="eastAsia"/>
          <w:sz w:val="32"/>
          <w:szCs w:val="32"/>
        </w:rPr>
        <w:t>1.48</w:t>
      </w:r>
      <w:r>
        <w:rPr>
          <w:rFonts w:ascii="仿宋_GB2312" w:eastAsia="仿宋_GB2312" w:hint="eastAsia"/>
          <w:sz w:val="32"/>
          <w:szCs w:val="32"/>
        </w:rPr>
        <w:t>万元，其中，政府采购货物预算</w:t>
      </w:r>
      <w:r>
        <w:rPr>
          <w:rFonts w:eastAsia="仿宋_GB2312" w:hint="eastAsia"/>
          <w:sz w:val="32"/>
          <w:szCs w:val="32"/>
        </w:rPr>
        <w:t>1.48</w:t>
      </w:r>
      <w:r>
        <w:rPr>
          <w:rFonts w:ascii="仿宋_GB2312" w:eastAsia="仿宋_GB2312" w:hint="eastAsia"/>
          <w:sz w:val="32"/>
          <w:szCs w:val="32"/>
        </w:rPr>
        <w:t>万元，政府采购工程预算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万元，政府采购服务预算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373F079C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</w:t>
      </w:r>
    </w:p>
    <w:p w14:paraId="0813AB4A" w14:textId="77777777" w:rsidR="00D568CC" w:rsidRDefault="00000000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eastAsia="仿宋_GB2312" w:hint="eastAsia"/>
          <w:sz w:val="32"/>
          <w:szCs w:val="32"/>
        </w:rPr>
        <w:t>截至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日，本部门无车辆，无</w:t>
      </w:r>
      <w:r>
        <w:rPr>
          <w:rFonts w:eastAsia="仿宋_GB2312" w:hint="eastAsia"/>
          <w:sz w:val="32"/>
          <w:szCs w:val="32"/>
        </w:rPr>
        <w:t>50</w:t>
      </w:r>
      <w:r>
        <w:rPr>
          <w:rFonts w:eastAsia="仿宋_GB2312" w:hint="eastAsia"/>
          <w:sz w:val="32"/>
          <w:szCs w:val="32"/>
        </w:rPr>
        <w:t>万元以上的专用设备。</w:t>
      </w:r>
    </w:p>
    <w:p w14:paraId="759EF186" w14:textId="77777777" w:rsidR="00D568CC" w:rsidRDefault="00000000">
      <w:pPr>
        <w:spacing w:line="600" w:lineRule="exact"/>
        <w:ind w:firstLineChars="200" w:firstLine="640"/>
        <w:jc w:val="left"/>
        <w:rPr>
          <w:rFonts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年本部门无新增车辆，无新增</w:t>
      </w:r>
      <w:r>
        <w:rPr>
          <w:rFonts w:eastAsia="仿宋_GB2312" w:hint="eastAsia"/>
          <w:sz w:val="32"/>
          <w:szCs w:val="32"/>
        </w:rPr>
        <w:t>50</w:t>
      </w:r>
      <w:r>
        <w:rPr>
          <w:rFonts w:eastAsia="仿宋_GB2312" w:hint="eastAsia"/>
          <w:sz w:val="32"/>
          <w:szCs w:val="32"/>
        </w:rPr>
        <w:t>万元以上的通</w:t>
      </w:r>
      <w:r>
        <w:rPr>
          <w:rFonts w:eastAsia="仿宋_GB2312" w:hint="eastAsia"/>
          <w:sz w:val="32"/>
          <w:szCs w:val="32"/>
        </w:rPr>
        <w:lastRenderedPageBreak/>
        <w:t>用设备和专用设备。</w:t>
      </w:r>
    </w:p>
    <w:p w14:paraId="6DA491FF" w14:textId="77777777" w:rsidR="00D568CC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（六）预算绩效管理情况</w:t>
      </w:r>
    </w:p>
    <w:p w14:paraId="5D81C844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按照我区预算绩效管理工作的总体要求，2022年我单位整体支出</w:t>
      </w:r>
      <w:r>
        <w:rPr>
          <w:rFonts w:eastAsia="仿宋_GB2312" w:hint="eastAsia"/>
          <w:sz w:val="32"/>
          <w:szCs w:val="32"/>
        </w:rPr>
        <w:t>157.81</w:t>
      </w:r>
      <w:r>
        <w:rPr>
          <w:rFonts w:ascii="仿宋_GB2312" w:eastAsia="仿宋_GB2312" w:hint="eastAsia"/>
          <w:sz w:val="32"/>
          <w:szCs w:val="32"/>
        </w:rPr>
        <w:t>万元，全部实行整体支出绩效目标管理，编报绩效目标的项目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个，涉及项目支出</w:t>
      </w:r>
      <w:r>
        <w:rPr>
          <w:rFonts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万元，其中专项业务费用类项目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万元，基本建设类项目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万元，对个人和家庭补助类项目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万元，产业发展引导类项目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万元，全部实行项目支出绩效目标管理。</w:t>
      </w:r>
    </w:p>
    <w:p w14:paraId="56ECB071" w14:textId="77777777" w:rsidR="00D568CC" w:rsidRDefault="00000000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七、专业名词解释</w:t>
      </w:r>
    </w:p>
    <w:p w14:paraId="5139D3CA" w14:textId="77777777" w:rsidR="00D568C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14:paraId="327EC613" w14:textId="77777777" w:rsidR="00D568CC" w:rsidRDefault="00000000">
      <w:pPr>
        <w:adjustRightIn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2、“三公”经费：纳入财政预算管理的“三公”经费，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 w14:paraId="44818AA3" w14:textId="77777777" w:rsidR="00D568CC" w:rsidRDefault="00000000">
      <w:pPr>
        <w:adjustRightIn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3、本部门（单位）的相关专业名词解释。</w:t>
      </w:r>
    </w:p>
    <w:p w14:paraId="38B070D9" w14:textId="77777777" w:rsidR="00D568CC" w:rsidRDefault="00D568C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D568C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32B5" w14:textId="77777777" w:rsidR="00A34448" w:rsidRDefault="00A34448">
      <w:r>
        <w:separator/>
      </w:r>
    </w:p>
  </w:endnote>
  <w:endnote w:type="continuationSeparator" w:id="0">
    <w:p w14:paraId="75097C6F" w14:textId="77777777" w:rsidR="00A34448" w:rsidRDefault="00A3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01F5" w14:textId="77777777" w:rsidR="00D568C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2D85D0" wp14:editId="3A7350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CC434AF" w14:textId="77777777" w:rsidR="00D568C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2D85D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EHtp26KAQAAJwMAAA4AAAAAAAAAAAAAAAAALgIAAGRy&#10;cy9lMm9Eb2MueG1sUEsBAi0AFAAGAAgAAAAhAAxK8O7WAAAABQEAAA8AAAAAAAAAAAAAAAAA5AMA&#10;AGRycy9kb3ducmV2LnhtbFBLBQYAAAAABAAEAPMAAADnBAAAAAA=&#10;" filled="f" stroked="f">
              <v:textbox style="mso-fit-shape-to-text:t" inset="0,0,0,0">
                <w:txbxContent>
                  <w:p w14:paraId="2CC434AF" w14:textId="77777777" w:rsidR="00D568C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7B79" w14:textId="77777777" w:rsidR="00D568C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F1C8A8" wp14:editId="7AABD2D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F52890C" w14:textId="77777777" w:rsidR="00D568C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F1C8A8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L4J7OowBAAAu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0F52890C" w14:textId="77777777" w:rsidR="00D568C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D856" w14:textId="77777777" w:rsidR="00A34448" w:rsidRDefault="00A34448">
      <w:r>
        <w:separator/>
      </w:r>
    </w:p>
  </w:footnote>
  <w:footnote w:type="continuationSeparator" w:id="0">
    <w:p w14:paraId="4D21CA76" w14:textId="77777777" w:rsidR="00A34448" w:rsidRDefault="00A3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355F" w14:textId="77777777" w:rsidR="00D568CC" w:rsidRDefault="00D568CC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U0Mjc3ZDVhOTM0NTczYTJiNzUyZTVkM2Y3OTA1OGQifQ=="/>
  </w:docVars>
  <w:rsids>
    <w:rsidRoot w:val="51E90DCA"/>
    <w:rsid w:val="00057C93"/>
    <w:rsid w:val="00072E6C"/>
    <w:rsid w:val="003E1BAB"/>
    <w:rsid w:val="007600D0"/>
    <w:rsid w:val="00893477"/>
    <w:rsid w:val="008A5ECE"/>
    <w:rsid w:val="008E2125"/>
    <w:rsid w:val="00A25765"/>
    <w:rsid w:val="00A34448"/>
    <w:rsid w:val="00AB278A"/>
    <w:rsid w:val="00B42E7C"/>
    <w:rsid w:val="00C70F31"/>
    <w:rsid w:val="00D568CC"/>
    <w:rsid w:val="00E83C61"/>
    <w:rsid w:val="07EA4776"/>
    <w:rsid w:val="08424180"/>
    <w:rsid w:val="0BBB0A1C"/>
    <w:rsid w:val="0C5678C3"/>
    <w:rsid w:val="0EB62DEB"/>
    <w:rsid w:val="0FED0B15"/>
    <w:rsid w:val="12367AE1"/>
    <w:rsid w:val="12F74AC2"/>
    <w:rsid w:val="14EB6229"/>
    <w:rsid w:val="18511A82"/>
    <w:rsid w:val="189C2C74"/>
    <w:rsid w:val="18BD1ACA"/>
    <w:rsid w:val="18F82373"/>
    <w:rsid w:val="1C377D50"/>
    <w:rsid w:val="244B45EE"/>
    <w:rsid w:val="287A2ADB"/>
    <w:rsid w:val="29644E02"/>
    <w:rsid w:val="2B281D9D"/>
    <w:rsid w:val="30CA2BE5"/>
    <w:rsid w:val="33FD2CB0"/>
    <w:rsid w:val="394F3BB5"/>
    <w:rsid w:val="397D1B23"/>
    <w:rsid w:val="3A0E611B"/>
    <w:rsid w:val="3E120657"/>
    <w:rsid w:val="41332480"/>
    <w:rsid w:val="428B3BBD"/>
    <w:rsid w:val="43BA25AF"/>
    <w:rsid w:val="44FC0A7E"/>
    <w:rsid w:val="4ECF0DD2"/>
    <w:rsid w:val="50B810BA"/>
    <w:rsid w:val="51B1254B"/>
    <w:rsid w:val="51E90DCA"/>
    <w:rsid w:val="55BC2EFC"/>
    <w:rsid w:val="59BF000E"/>
    <w:rsid w:val="5B662FF2"/>
    <w:rsid w:val="5D7B1A6F"/>
    <w:rsid w:val="5F092224"/>
    <w:rsid w:val="608D29EC"/>
    <w:rsid w:val="60A018F6"/>
    <w:rsid w:val="616E7E64"/>
    <w:rsid w:val="68EC31FF"/>
    <w:rsid w:val="6DE90A0E"/>
    <w:rsid w:val="70911018"/>
    <w:rsid w:val="76DB1031"/>
    <w:rsid w:val="7A621B1B"/>
    <w:rsid w:val="7AB60D24"/>
    <w:rsid w:val="7C122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F9F500"/>
  <w15:docId w15:val="{85BD6DBE-06C0-4AB2-9576-80B86CB7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Date"/>
    <w:basedOn w:val="a"/>
    <w:next w:val="a"/>
    <w:link w:val="a5"/>
    <w:qFormat/>
    <w:rPr>
      <w:rFonts w:eastAsia="仿宋_GB2312"/>
      <w:sz w:val="32"/>
      <w:szCs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日期 字符"/>
    <w:basedOn w:val="a0"/>
    <w:link w:val="a4"/>
    <w:qFormat/>
    <w:rPr>
      <w:rFonts w:ascii="Times New Roman" w:eastAsia="仿宋_GB2312" w:hAnsi="Times New Roman" w:cs="Times New Roman"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428</Words>
  <Characters>2441</Characters>
  <Application>Microsoft Office Word</Application>
  <DocSecurity>0</DocSecurity>
  <Lines>20</Lines>
  <Paragraphs>5</Paragraphs>
  <ScaleCrop>false</ScaleCrop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且歌</dc:creator>
  <cp:lastModifiedBy>子萱 康</cp:lastModifiedBy>
  <cp:revision>6</cp:revision>
  <cp:lastPrinted>2022-05-30T01:42:00Z</cp:lastPrinted>
  <dcterms:created xsi:type="dcterms:W3CDTF">2022-05-24T07:36:00Z</dcterms:created>
  <dcterms:modified xsi:type="dcterms:W3CDTF">2023-09-28T14:50:00Z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3685DD67D3464329AB02C6A3464F5AED_13</vt:lpwstr>
  </property>
</Properties>
</file>