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46" w:line="219" w:lineRule="auto"/>
        <w:ind w:left="-840" w:leftChars="-400" w:firstLine="838" w:firstLineChars="195"/>
        <w:jc w:val="both"/>
        <w:rPr>
          <w:rFonts w:ascii="宋体" w:hAnsi="宋体" w:eastAsia="宋体" w:cs="宋体"/>
          <w:spacing w:val="-5"/>
          <w:sz w:val="44"/>
          <w:szCs w:val="44"/>
          <w14:textOutline w14:w="8166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ascii="宋体" w:hAnsi="宋体" w:eastAsia="宋体" w:cs="宋体"/>
          <w:spacing w:val="-5"/>
          <w:sz w:val="44"/>
          <w:szCs w:val="44"/>
          <w14:textOutline w14:w="8166" w14:cap="flat" w14:cmpd="sng">
            <w14:solidFill>
              <w14:srgbClr w14:val="000000"/>
            </w14:solidFill>
            <w14:prstDash w14:val="solid"/>
            <w14:miter w14:val="0"/>
          </w14:textOutline>
        </w:rPr>
        <w:t>2022年度</w:t>
      </w:r>
      <w:r>
        <w:rPr>
          <w:rFonts w:hint="eastAsia" w:ascii="宋体" w:hAnsi="宋体" w:eastAsia="宋体" w:cs="宋体"/>
          <w:spacing w:val="-5"/>
          <w:sz w:val="44"/>
          <w:szCs w:val="44"/>
          <w:lang w:val="en-US" w:eastAsia="zh-CN"/>
          <w14:textOutline w14:w="8166" w14:cap="flat" w14:cmpd="sng">
            <w14:solidFill>
              <w14:srgbClr w14:val="000000"/>
            </w14:solidFill>
            <w14:prstDash w14:val="solid"/>
            <w14:miter w14:val="0"/>
          </w14:textOutline>
        </w:rPr>
        <w:t>怀化市大汉小学</w:t>
      </w:r>
      <w:r>
        <w:rPr>
          <w:rFonts w:ascii="宋体" w:hAnsi="宋体" w:eastAsia="宋体" w:cs="宋体"/>
          <w:spacing w:val="-5"/>
          <w:sz w:val="44"/>
          <w:szCs w:val="44"/>
          <w14:textOutline w14:w="8166" w14:cap="flat" w14:cmpd="sng">
            <w14:solidFill>
              <w14:srgbClr w14:val="000000"/>
            </w14:solidFill>
            <w14:prstDash w14:val="solid"/>
            <w14:miter w14:val="0"/>
          </w14:textOutline>
        </w:rPr>
        <w:t>部门预算公开说明</w:t>
      </w:r>
    </w:p>
    <w:p>
      <w:pPr>
        <w:spacing w:before="146" w:line="219" w:lineRule="auto"/>
        <w:ind w:left="-840" w:leftChars="-400" w:firstLine="838" w:firstLineChars="195"/>
        <w:jc w:val="both"/>
        <w:rPr>
          <w:rFonts w:ascii="宋体" w:hAnsi="宋体" w:eastAsia="宋体" w:cs="宋体"/>
          <w:spacing w:val="-5"/>
          <w:sz w:val="44"/>
          <w:szCs w:val="44"/>
          <w14:textOutline w14:w="8166" w14:cap="flat" w14:cmpd="sng">
            <w14:solidFill>
              <w14:srgbClr w14:val="000000"/>
            </w14:solidFill>
            <w14:prstDash w14:val="solid"/>
            <w14:miter w14:val="0"/>
          </w14:textOutline>
        </w:rPr>
      </w:pP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黑体" w:hAnsi="宋体" w:eastAsia="黑体" w:cs="黑体"/>
          <w:bCs/>
          <w:snapToGrid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宋体" w:eastAsia="黑体" w:cs="黑体"/>
          <w:bCs/>
          <w:snapToGrid/>
          <w:kern w:val="0"/>
          <w:sz w:val="32"/>
          <w:szCs w:val="32"/>
          <w:lang w:val="en-US" w:eastAsia="zh-CN" w:bidi="ar"/>
        </w:rPr>
        <w:t>目录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eastAsia" w:ascii="黑体" w:hAnsi="宋体" w:eastAsia="黑体" w:cs="黑体"/>
          <w:bCs/>
          <w:snapToGrid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  <w:t>第一部分：2022年部门预算公开说</w:t>
      </w:r>
      <w:r>
        <w:rPr>
          <w:rFonts w:hint="eastAsia" w:ascii="黑体" w:hAnsi="宋体" w:eastAsia="黑体" w:cs="黑体"/>
          <w:b w:val="0"/>
          <w:bCs w:val="0"/>
          <w:snapToGrid/>
          <w:kern w:val="2"/>
          <w:sz w:val="32"/>
          <w:szCs w:val="32"/>
          <w:lang w:val="en-US" w:eastAsia="zh-CN" w:bidi="ar"/>
        </w:rPr>
        <w:t>明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  <w:t>一、部门职责及机构设置情况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t>（一）部门职责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t>（二）机构设置情况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  <w:t>二、部门预算单位构成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  <w:t>三、部门预算收支总体情况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t>（一）收入预算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t>（二）支出预算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  <w:t>四、年度一般公共预算财政拨款支出情况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t>（一）基本支出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t>（二）项目支出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  <w:t>五、政府性基金支出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</w:pPr>
      <w:r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  <w:t>六、其他重要事项的情况说明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t>（一）年度“三公”经费预算情况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t>（二）年度机关运行经费预算情况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t>（三）一般性支出情况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t>（四）年度政府采购预算情况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t>（五）国有资产占用情况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right="0"/>
        <w:jc w:val="left"/>
        <w:textAlignment w:val="auto"/>
        <w:rPr>
          <w:rFonts w:hint="default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t>（六）预算绩效管理情况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right="0"/>
        <w:jc w:val="left"/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sectPr>
          <w:pgSz w:w="11906" w:h="16838"/>
          <w:pgMar w:top="1440" w:right="1780" w:bottom="1440" w:left="1780" w:header="851" w:footer="992" w:gutter="0"/>
          <w:cols w:space="425" w:num="1"/>
          <w:docGrid w:type="lines" w:linePitch="312" w:charSpace="0"/>
        </w:sectPr>
      </w:pPr>
      <w:r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  <w:t>七、专业名词解释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 w:line="560" w:lineRule="exact"/>
        <w:ind w:left="0" w:right="0"/>
        <w:jc w:val="left"/>
        <w:rPr>
          <w:rFonts w:hint="eastAsia" w:ascii="黑体" w:hAnsi="Times New Roman" w:eastAsia="黑体" w:cs="Times New Roman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第二部分：2022年部门预算表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0" w:afterAutospacing="0" w:line="360" w:lineRule="auto"/>
        <w:ind w:left="0" w:leftChars="0" w:right="0" w:firstLine="0"/>
        <w:jc w:val="left"/>
        <w:textAlignment w:val="baseline"/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收支总表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2、收入总表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3、支出总表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4、支出预算分类汇总表（按政府预算经济分类）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5、支出预算分类汇总表（按部门预算经济分类）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6、财政拨款收支总表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7、一般公共预算支出表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8、一般公共预算基本支出表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9、一般公共预算基本支出表--人员经费(工资福利支出)(按政府预算经济分类)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10、一般公共预算基本支出表--人员经费(工资福利支出)(按部门预算经济分类)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11、一般公共预算基本支出表--人员经费(对个人和家庭的补助)(按政府预算经济分类)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12、一般公共预算基本支出表--人员经费(对个人和家庭的补助)（按部门预算经济分类）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13、一般公共预算基本支出表--公用经费(商品和服务支出)（按政府预算经济分类）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14、一般公共预算基本支出表--公用经费(商品和服务支出)(按部门预算经济分类)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15、一般公共预算“三公”经费支出表</w:t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kern w:val="2"/>
          <w:sz w:val="32"/>
          <w:szCs w:val="32"/>
          <w:lang w:val="en-US" w:eastAsia="zh-CN" w:bidi="ar"/>
        </w:rPr>
        <w:t>16、</w:t>
      </w: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t>政府性基金预算支出表</w:t>
      </w: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17、政府性基金预算支出分类汇总表（按政府预算经济分类）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br w:type="textWrapping"/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t>18、政府性基金预算支出分类汇总表（按部门预算经济分类）</w:t>
      </w:r>
      <w:r>
        <w:rPr>
          <w:rFonts w:hint="eastAsia" w:ascii="仿宋_GB2312" w:hAnsi="Times New Roman" w:eastAsia="仿宋_GB2312" w:cs="仿宋_GB2312"/>
          <w:sz w:val="32"/>
          <w:szCs w:val="32"/>
          <w:lang w:bidi="ar"/>
        </w:rPr>
        <w:br w:type="textWrapping"/>
      </w: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t>19、国有资本经营预算支出表</w:t>
      </w: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t>20、财政专户管理资金预算支出表</w:t>
      </w: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t>21、专项资金预算汇总表</w:t>
      </w: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t>22、项目支出绩效目标表</w:t>
      </w: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br w:type="textWrapping"/>
      </w:r>
      <w:r>
        <w:rPr>
          <w:rFonts w:hint="eastAsia" w:ascii="仿宋_GB2312" w:hAnsi="Times New Roman" w:eastAsia="仿宋_GB2312" w:cs="仿宋_GB2312"/>
          <w:snapToGrid/>
          <w:kern w:val="2"/>
          <w:sz w:val="32"/>
          <w:szCs w:val="32"/>
          <w:lang w:val="en-US" w:eastAsia="zh-CN" w:bidi="ar"/>
        </w:rPr>
        <w:t>23、整体支出绩效目标表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0"/>
        <w:jc w:val="left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shd w:val="clear" w:color="auto" w:fill="FFFFFF"/>
          <w:lang w:val="en-US" w:eastAsia="zh-CN" w:bidi="ar"/>
        </w:rPr>
        <w:t>注：以上部门预算报表中，空表表示本部门无相关收支情况</w:t>
      </w: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 w:val="0"/>
        <w:suppressLineNumbers w:val="0"/>
        <w:kinsoku/>
        <w:autoSpaceDE/>
        <w:autoSpaceDN/>
        <w:adjustRightInd/>
        <w:snapToGrid/>
        <w:spacing w:before="0" w:beforeAutospacing="0" w:after="0" w:afterAutospacing="0" w:line="560" w:lineRule="exact"/>
        <w:ind w:left="0" w:right="0"/>
        <w:jc w:val="left"/>
        <w:textAlignment w:val="auto"/>
        <w:rPr>
          <w:rFonts w:hint="eastAsia" w:ascii="黑体" w:hAnsi="宋体" w:eastAsia="黑体" w:cs="黑体"/>
          <w:snapToGrid/>
          <w:kern w:val="2"/>
          <w:sz w:val="32"/>
          <w:szCs w:val="32"/>
          <w:lang w:val="en-US" w:eastAsia="zh-CN" w:bidi="ar"/>
        </w:rPr>
      </w:pPr>
    </w:p>
    <w:p>
      <w:pPr>
        <w:pStyle w:val="3"/>
        <w:ind w:left="-840" w:leftChars="-400" w:firstLine="702" w:firstLineChars="195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</w:rPr>
      </w:pPr>
      <w:r>
        <w:rPr>
          <w:rFonts w:hint="eastAsia" w:ascii="黑体" w:eastAsia="黑体"/>
          <w:sz w:val="36"/>
          <w:szCs w:val="36"/>
        </w:rPr>
        <w:t>第一部分：202</w:t>
      </w:r>
      <w:r>
        <w:rPr>
          <w:rFonts w:hint="eastAsia" w:ascii="黑体" w:eastAsia="黑体"/>
          <w:sz w:val="36"/>
          <w:szCs w:val="36"/>
          <w:lang w:val="en-US" w:eastAsia="zh-CN"/>
        </w:rPr>
        <w:t>2</w:t>
      </w:r>
      <w:r>
        <w:rPr>
          <w:rFonts w:hint="eastAsia" w:ascii="黑体" w:eastAsia="黑体"/>
          <w:sz w:val="36"/>
          <w:szCs w:val="36"/>
        </w:rPr>
        <w:t>年部门预算公开说明</w:t>
      </w:r>
    </w:p>
    <w:p>
      <w:pPr>
        <w:spacing w:line="269" w:lineRule="auto"/>
        <w:ind w:left="-840" w:leftChars="-400" w:firstLine="409" w:firstLineChars="195"/>
        <w:jc w:val="both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-840" w:leftChars="-400" w:firstLine="624" w:firstLineChars="195"/>
        <w:jc w:val="both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部门职责及机构设置情况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-840" w:leftChars="-400" w:firstLine="626" w:firstLineChars="195"/>
        <w:jc w:val="both"/>
        <w:textAlignment w:val="auto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（一）部门职责</w:t>
      </w:r>
    </w:p>
    <w:p>
      <w:pPr>
        <w:spacing w:line="560" w:lineRule="exact"/>
        <w:ind w:left="-840" w:leftChars="-400" w:firstLine="624" w:firstLineChars="195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怀化</w:t>
      </w:r>
      <w:r>
        <w:rPr>
          <w:rFonts w:ascii="仿宋_GB2312" w:eastAsia="仿宋_GB2312"/>
          <w:sz w:val="32"/>
          <w:szCs w:val="32"/>
        </w:rPr>
        <w:t>市</w:t>
      </w:r>
      <w:r>
        <w:rPr>
          <w:rFonts w:hint="eastAsia" w:ascii="仿宋_GB2312" w:eastAsia="仿宋_GB2312"/>
          <w:sz w:val="32"/>
          <w:szCs w:val="32"/>
        </w:rPr>
        <w:t>大汉小学属全额拨款事业单位，从事小学教育教学工作，现有教职工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74</w:t>
      </w:r>
      <w:r>
        <w:rPr>
          <w:rFonts w:hint="eastAsia" w:ascii="仿宋_GB2312" w:eastAsia="仿宋_GB2312"/>
          <w:sz w:val="32"/>
          <w:szCs w:val="32"/>
        </w:rPr>
        <w:t>人，退休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</w:rPr>
        <w:t>人。</w:t>
      </w:r>
    </w:p>
    <w:p>
      <w:pPr>
        <w:numPr>
          <w:ilvl w:val="0"/>
          <w:numId w:val="3"/>
        </w:numPr>
        <w:spacing w:line="560" w:lineRule="exact"/>
        <w:ind w:left="-840" w:leftChars="-400" w:firstLine="626" w:firstLineChars="195"/>
        <w:jc w:val="both"/>
        <w:rPr>
          <w:rFonts w:hint="eastAsia"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机构设置情况</w:t>
      </w:r>
    </w:p>
    <w:p>
      <w:pPr>
        <w:numPr>
          <w:ilvl w:val="0"/>
          <w:numId w:val="0"/>
        </w:numPr>
        <w:spacing w:line="560" w:lineRule="exact"/>
        <w:ind w:left="-840" w:leftChars="-400" w:firstLine="624" w:firstLineChars="195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怀化市大汉小学作为一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级部门预算单位，内设6个办公室，分别为校</w:t>
      </w:r>
      <w:r>
        <w:rPr>
          <w:rFonts w:ascii="仿宋_GB2312" w:eastAsia="仿宋_GB2312"/>
          <w:sz w:val="32"/>
          <w:szCs w:val="32"/>
        </w:rPr>
        <w:t>长室</w:t>
      </w:r>
      <w:r>
        <w:rPr>
          <w:rFonts w:hint="eastAsia" w:ascii="仿宋_GB2312" w:eastAsia="仿宋_GB2312"/>
          <w:sz w:val="32"/>
          <w:szCs w:val="32"/>
        </w:rPr>
        <w:t>、办公室、教导处、教研室、德育处、总务处、工会。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560" w:lineRule="exact"/>
        <w:ind w:left="-840" w:leftChars="-400" w:firstLine="624" w:firstLineChars="195"/>
        <w:jc w:val="both"/>
        <w:textAlignment w:val="auto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部门预算单位构成</w:t>
      </w:r>
    </w:p>
    <w:p>
      <w:pPr>
        <w:spacing w:before="153" w:line="301" w:lineRule="auto"/>
        <w:ind w:left="-840" w:leftChars="-400" w:right="141" w:firstLine="655" w:firstLineChars="195"/>
        <w:jc w:val="both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本部门预算为汇总预算,纳入编制范围的预算单位包括:</w:t>
      </w:r>
    </w:p>
    <w:p>
      <w:pPr>
        <w:spacing w:before="153" w:line="301" w:lineRule="auto"/>
        <w:ind w:left="-840" w:leftChars="-400" w:right="141" w:firstLine="655" w:firstLineChars="195"/>
        <w:jc w:val="both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spacing w:val="8"/>
          <w:sz w:val="32"/>
          <w:szCs w:val="32"/>
          <w:lang w:val="en-US" w:eastAsia="zh-CN"/>
        </w:rPr>
        <w:t>怀化市大汉小学</w:t>
      </w:r>
      <w:r>
        <w:rPr>
          <w:rFonts w:ascii="仿宋" w:hAnsi="仿宋" w:eastAsia="仿宋" w:cs="仿宋"/>
          <w:spacing w:val="8"/>
          <w:sz w:val="32"/>
          <w:szCs w:val="32"/>
        </w:rPr>
        <w:t>部门只有本级,没有下属二级机构,因此本部门预算仅含本级预算。</w:t>
      </w:r>
    </w:p>
    <w:p>
      <w:pPr>
        <w:numPr>
          <w:ilvl w:val="0"/>
          <w:numId w:val="2"/>
        </w:numPr>
        <w:spacing w:line="560" w:lineRule="exact"/>
        <w:ind w:left="-840" w:leftChars="-400" w:firstLine="624" w:firstLineChars="195"/>
        <w:jc w:val="both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部门收支总体情况</w:t>
      </w:r>
    </w:p>
    <w:p>
      <w:pPr>
        <w:numPr>
          <w:ilvl w:val="0"/>
          <w:numId w:val="0"/>
        </w:numPr>
        <w:spacing w:line="560" w:lineRule="exact"/>
        <w:ind w:left="-840" w:leftChars="-400" w:firstLine="624" w:firstLineChars="195"/>
        <w:jc w:val="both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（一）收入预算: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包括一般公共预算、政府性基金、国有资本经营预算等财政拨款收入,以及经营收入、事业收入等单位资金。2022年本部门收入预算1678.61万元,其中,一般公共预算拨款1678.61万元</w:t>
      </w:r>
      <w:r>
        <w:rPr>
          <w:rFonts w:hint="eastAsia" w:eastAsia="宋体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收入较去年增加686.29万元,主要原因是工资福利的增加，教师、学生人数增加公用经费支出增多，对个人和家庭的补助增加。</w:t>
      </w:r>
    </w:p>
    <w:p>
      <w:pPr>
        <w:spacing w:line="560" w:lineRule="exact"/>
        <w:ind w:left="-840" w:leftChars="-400" w:firstLine="624" w:firstLineChars="195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(二)支出预算:2022年本部门支出预算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1678.61</w:t>
      </w:r>
      <w:r>
        <w:rPr>
          <w:rFonts w:hint="eastAsia" w:ascii="仿宋_GB2312" w:eastAsia="仿宋_GB2312"/>
          <w:sz w:val="32"/>
          <w:szCs w:val="32"/>
        </w:rPr>
        <w:t>万元,其中,一般公共服务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万元,公共安全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万元,教育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支出1678.61</w:t>
      </w:r>
      <w:r>
        <w:rPr>
          <w:rFonts w:hint="eastAsia" w:ascii="仿宋_GB2312" w:eastAsia="仿宋_GB2312"/>
          <w:sz w:val="32"/>
          <w:szCs w:val="32"/>
        </w:rPr>
        <w:t>万元,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较去年增加763.13万元，社会保障和就业支出0万元，较去年减少76.84</w:t>
      </w:r>
      <w:r>
        <w:rPr>
          <w:rFonts w:hint="eastAsia" w:ascii="仿宋_GB2312" w:eastAsia="仿宋_GB2312"/>
          <w:sz w:val="32"/>
          <w:szCs w:val="32"/>
        </w:rPr>
        <w:t>万元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  <w:r>
        <w:rPr>
          <w:rFonts w:hint="eastAsia" w:ascii="仿宋_GB2312" w:eastAsia="仿宋_GB2312"/>
          <w:sz w:val="32"/>
          <w:szCs w:val="32"/>
        </w:rPr>
        <w:t>主要原因是工资福利的增加，</w:t>
      </w:r>
      <w:r>
        <w:rPr>
          <w:rFonts w:hint="eastAsia" w:ascii="仿宋_GB2312" w:eastAsia="仿宋_GB2312"/>
          <w:sz w:val="32"/>
          <w:szCs w:val="32"/>
          <w:lang w:eastAsia="zh-CN"/>
        </w:rPr>
        <w:t>教师、学生人数增加公用经费支出增多，</w:t>
      </w:r>
      <w:r>
        <w:rPr>
          <w:rFonts w:hint="eastAsia" w:ascii="仿宋_GB2312" w:eastAsia="仿宋_GB2312"/>
          <w:sz w:val="32"/>
          <w:szCs w:val="32"/>
        </w:rPr>
        <w:t>对个人和家庭的补助增加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社会保障和就业支出全部计入了教育支出中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before="101" w:line="221" w:lineRule="auto"/>
        <w:ind w:left="-840" w:leftChars="-400" w:firstLine="624" w:firstLineChars="195"/>
        <w:jc w:val="both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</w:t>
      </w:r>
      <w:r>
        <w:rPr>
          <w:rFonts w:hint="eastAsia" w:ascii="仿宋_GB2312" w:eastAsia="仿宋_GB2312"/>
          <w:b/>
          <w:bCs/>
          <w:sz w:val="32"/>
          <w:szCs w:val="32"/>
        </w:rPr>
        <w:t>、</w:t>
      </w:r>
      <w:r>
        <w:rPr>
          <w:rFonts w:hint="eastAsia" w:ascii="黑体" w:eastAsia="黑体"/>
          <w:sz w:val="32"/>
          <w:szCs w:val="32"/>
        </w:rPr>
        <w:t>一般公共预算财政拨款支出情况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left="-840" w:leftChars="-400" w:firstLine="626" w:firstLineChars="195"/>
        <w:jc w:val="both"/>
        <w:textAlignment w:val="auto"/>
        <w:outlineLvl w:val="9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（一）基本支出</w:t>
      </w:r>
    </w:p>
    <w:p>
      <w:pPr>
        <w:spacing w:before="187" w:line="345" w:lineRule="auto"/>
        <w:ind w:left="-840" w:leftChars="-400" w:right="144" w:firstLine="674" w:firstLineChars="195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13"/>
          <w:sz w:val="32"/>
          <w:szCs w:val="32"/>
        </w:rPr>
        <w:t>2022年年初预算数为</w:t>
      </w:r>
      <w:r>
        <w:rPr>
          <w:rFonts w:hint="eastAsia" w:ascii="仿宋" w:hAnsi="仿宋" w:eastAsia="仿宋" w:cs="仿宋"/>
          <w:spacing w:val="13"/>
          <w:sz w:val="32"/>
          <w:szCs w:val="32"/>
          <w:lang w:val="en-US" w:eastAsia="zh-CN"/>
        </w:rPr>
        <w:t>965.57</w:t>
      </w:r>
      <w:r>
        <w:rPr>
          <w:rFonts w:ascii="仿宋" w:hAnsi="仿宋" w:eastAsia="仿宋" w:cs="仿宋"/>
          <w:spacing w:val="13"/>
          <w:sz w:val="32"/>
          <w:szCs w:val="32"/>
        </w:rPr>
        <w:t>万元,是指为保障单位机构正</w:t>
      </w:r>
      <w:r>
        <w:rPr>
          <w:rFonts w:ascii="仿宋" w:hAnsi="仿宋" w:eastAsia="仿宋" w:cs="仿宋"/>
          <w:spacing w:val="-5"/>
          <w:sz w:val="32"/>
          <w:szCs w:val="32"/>
        </w:rPr>
        <w:t>常运转、完成日常工作任务而发生的各项支出，包括用于基</w:t>
      </w:r>
      <w:r>
        <w:rPr>
          <w:rFonts w:ascii="仿宋" w:hAnsi="仿宋" w:eastAsia="仿宋" w:cs="仿宋"/>
          <w:spacing w:val="-12"/>
          <w:sz w:val="32"/>
          <w:szCs w:val="32"/>
        </w:rPr>
        <w:t>本工资、津贴补贴等人员经费以及办公费、印刷费、水电费、</w:t>
      </w:r>
      <w:r>
        <w:rPr>
          <w:rFonts w:ascii="仿宋" w:hAnsi="仿宋" w:eastAsia="仿宋" w:cs="仿宋"/>
          <w:spacing w:val="-8"/>
          <w:sz w:val="32"/>
          <w:szCs w:val="32"/>
        </w:rPr>
        <w:t>物业管理费等日常公用经费。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left="-840" w:leftChars="-400" w:firstLine="626" w:firstLineChars="195"/>
        <w:jc w:val="both"/>
        <w:textAlignment w:val="auto"/>
        <w:outlineLvl w:val="9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（二）项目支出</w:t>
      </w:r>
    </w:p>
    <w:p>
      <w:pPr>
        <w:spacing w:before="206" w:line="344" w:lineRule="auto"/>
        <w:ind w:left="-840" w:leftChars="-400" w:right="236" w:firstLine="674" w:firstLineChars="195"/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ascii="仿宋" w:hAnsi="仿宋" w:eastAsia="仿宋" w:cs="仿宋"/>
          <w:spacing w:val="13"/>
          <w:sz w:val="32"/>
          <w:szCs w:val="32"/>
        </w:rPr>
        <w:t>2022年年初预算数为</w:t>
      </w:r>
      <w:r>
        <w:rPr>
          <w:rFonts w:hint="eastAsia" w:ascii="仿宋" w:hAnsi="仿宋" w:eastAsia="仿宋" w:cs="仿宋"/>
          <w:spacing w:val="13"/>
          <w:sz w:val="32"/>
          <w:szCs w:val="32"/>
          <w:lang w:val="en-US" w:eastAsia="zh-CN"/>
        </w:rPr>
        <w:t>713.05</w:t>
      </w:r>
      <w:r>
        <w:rPr>
          <w:rFonts w:ascii="仿宋" w:hAnsi="仿宋" w:eastAsia="仿宋" w:cs="仿宋"/>
          <w:spacing w:val="13"/>
          <w:sz w:val="32"/>
          <w:szCs w:val="32"/>
        </w:rPr>
        <w:t>万元,是指单位为完成特定行</w:t>
      </w:r>
      <w:r>
        <w:rPr>
          <w:rFonts w:ascii="仿宋" w:hAnsi="仿宋" w:eastAsia="仿宋" w:cs="仿宋"/>
          <w:spacing w:val="2"/>
          <w:sz w:val="32"/>
          <w:szCs w:val="32"/>
        </w:rPr>
        <w:t>政工作任务或事业发展目标而发生的支出,包括有产业发展</w:t>
      </w:r>
      <w:r>
        <w:rPr>
          <w:rFonts w:ascii="仿宋" w:hAnsi="仿宋" w:eastAsia="仿宋" w:cs="仿宋"/>
          <w:spacing w:val="16"/>
          <w:w w:val="101"/>
          <w:sz w:val="32"/>
          <w:szCs w:val="32"/>
        </w:rPr>
        <w:t>引导类</w:t>
      </w:r>
      <w:r>
        <w:rPr>
          <w:rFonts w:hint="eastAsia" w:ascii="仿宋" w:hAnsi="仿宋" w:eastAsia="仿宋" w:cs="仿宋"/>
          <w:spacing w:val="16"/>
          <w:w w:val="101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pacing w:val="16"/>
          <w:w w:val="101"/>
          <w:sz w:val="32"/>
          <w:szCs w:val="32"/>
        </w:rPr>
        <w:t>万元、专项业务费用类</w:t>
      </w:r>
      <w:r>
        <w:rPr>
          <w:rFonts w:hint="eastAsia" w:ascii="仿宋" w:hAnsi="仿宋" w:eastAsia="仿宋" w:cs="仿宋"/>
          <w:spacing w:val="16"/>
          <w:w w:val="101"/>
          <w:sz w:val="32"/>
          <w:szCs w:val="32"/>
          <w:lang w:val="en-US" w:eastAsia="zh-CN"/>
        </w:rPr>
        <w:t>633.24</w:t>
      </w:r>
      <w:r>
        <w:rPr>
          <w:rFonts w:ascii="仿宋" w:hAnsi="仿宋" w:eastAsia="仿宋" w:cs="仿宋"/>
          <w:spacing w:val="16"/>
          <w:w w:val="101"/>
          <w:sz w:val="32"/>
          <w:szCs w:val="32"/>
        </w:rPr>
        <w:t>万元、基本建设类</w:t>
      </w:r>
      <w:r>
        <w:rPr>
          <w:rFonts w:hint="eastAsia" w:ascii="仿宋" w:hAnsi="仿宋" w:eastAsia="仿宋" w:cs="仿宋"/>
          <w:spacing w:val="16"/>
          <w:w w:val="101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pacing w:val="11"/>
          <w:sz w:val="32"/>
          <w:szCs w:val="32"/>
        </w:rPr>
        <w:t>万元、对个人和家庭补助类</w:t>
      </w:r>
      <w:r>
        <w:rPr>
          <w:rFonts w:hint="eastAsia" w:ascii="仿宋" w:hAnsi="仿宋" w:eastAsia="仿宋" w:cs="仿宋"/>
          <w:spacing w:val="11"/>
          <w:sz w:val="32"/>
          <w:szCs w:val="32"/>
          <w:lang w:val="en-US" w:eastAsia="zh-CN"/>
        </w:rPr>
        <w:t>79.81</w:t>
      </w:r>
      <w:r>
        <w:rPr>
          <w:rFonts w:ascii="仿宋" w:hAnsi="仿宋" w:eastAsia="仿宋" w:cs="仿宋"/>
          <w:spacing w:val="11"/>
          <w:sz w:val="32"/>
          <w:szCs w:val="32"/>
        </w:rPr>
        <w:t>万元</w:t>
      </w:r>
      <w:r>
        <w:rPr>
          <w:rFonts w:hint="eastAsia" w:ascii="仿宋" w:hAnsi="仿宋" w:eastAsia="仿宋" w:cs="仿宋"/>
          <w:spacing w:val="11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left="-840" w:leftChars="-400" w:firstLine="624" w:firstLineChars="195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政府性基金支出</w:t>
      </w:r>
    </w:p>
    <w:p>
      <w:pPr>
        <w:spacing w:before="206" w:line="344" w:lineRule="auto"/>
        <w:ind w:left="-840" w:leftChars="-400" w:right="236" w:firstLine="674" w:firstLineChars="195"/>
        <w:jc w:val="both"/>
        <w:rPr>
          <w:rFonts w:hint="eastAsia" w:ascii="仿宋" w:hAnsi="仿宋" w:eastAsia="仿宋" w:cs="仿宋"/>
          <w:spacing w:val="13"/>
          <w:sz w:val="32"/>
          <w:szCs w:val="32"/>
        </w:rPr>
      </w:pPr>
      <w:r>
        <w:rPr>
          <w:rFonts w:hint="eastAsia" w:ascii="仿宋" w:hAnsi="仿宋" w:eastAsia="仿宋" w:cs="仿宋"/>
          <w:spacing w:val="13"/>
          <w:sz w:val="32"/>
          <w:szCs w:val="32"/>
        </w:rPr>
        <w:t>2022年本部门没有政府性基金预算收入，相应的没有安排政府性基金预算支出。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left="-840" w:leftChars="-400" w:firstLine="624" w:firstLineChars="195"/>
        <w:jc w:val="both"/>
        <w:textAlignment w:val="auto"/>
        <w:outlineLvl w:val="9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  <w:lang w:eastAsia="zh-CN"/>
        </w:rPr>
        <w:t>六、</w:t>
      </w:r>
      <w:r>
        <w:rPr>
          <w:rFonts w:eastAsia="黑体"/>
          <w:sz w:val="32"/>
          <w:szCs w:val="32"/>
        </w:rPr>
        <w:t>其他重要事项的情况说明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left="-840" w:leftChars="-400" w:firstLine="626" w:firstLineChars="195"/>
        <w:jc w:val="both"/>
        <w:textAlignment w:val="auto"/>
        <w:outlineLvl w:val="9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（一）“三公”经费预算：</w:t>
      </w:r>
    </w:p>
    <w:p>
      <w:pPr>
        <w:spacing w:line="560" w:lineRule="exact"/>
        <w:ind w:left="-840" w:leftChars="-400" w:firstLine="624" w:firstLineChars="195"/>
        <w:jc w:val="both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</w:rPr>
        <w:t>“三公”经费预算数为0万元，其中，公务接待费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</w:rPr>
        <w:t>万元，公务用车购置及运行费0万元（其中：公务用车购置费是0万元，公务用车运行费0万元），因公出国（境）费0万元。</w:t>
      </w:r>
      <w:r>
        <w:rPr>
          <w:rFonts w:hint="eastAsia" w:ascii="仿宋_GB2312" w:eastAsia="仿宋_GB2312"/>
          <w:sz w:val="32"/>
          <w:szCs w:val="32"/>
          <w:lang w:eastAsia="zh-CN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</w:rPr>
        <w:t>“三公”经费预算较20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eastAsia="仿宋_GB2312"/>
          <w:sz w:val="32"/>
          <w:szCs w:val="32"/>
        </w:rPr>
        <w:t>年预算数减少0万元，</w:t>
      </w:r>
      <w:r>
        <w:rPr>
          <w:rFonts w:hint="eastAsia" w:ascii="仿宋_GB2312" w:eastAsia="仿宋_GB2312"/>
          <w:sz w:val="32"/>
          <w:szCs w:val="32"/>
          <w:lang w:eastAsia="zh-CN"/>
        </w:rPr>
        <w:t>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年</w:t>
      </w:r>
      <w:r>
        <w:rPr>
          <w:rFonts w:hint="eastAsia" w:ascii="仿宋_GB2312" w:eastAsia="仿宋_GB2312"/>
          <w:sz w:val="32"/>
          <w:szCs w:val="32"/>
        </w:rPr>
        <w:t>“三公”经费预算与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2021</w:t>
      </w:r>
      <w:r>
        <w:rPr>
          <w:rFonts w:hint="eastAsia" w:ascii="仿宋_GB2312" w:eastAsia="仿宋_GB2312"/>
          <w:sz w:val="32"/>
          <w:szCs w:val="32"/>
        </w:rPr>
        <w:t>年预算数持平。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left="-840" w:leftChars="-400" w:firstLine="626" w:firstLineChars="195"/>
        <w:jc w:val="both"/>
        <w:textAlignment w:val="auto"/>
        <w:outlineLvl w:val="9"/>
        <w:rPr>
          <w:rFonts w:ascii="楷体" w:hAnsi="楷体" w:eastAsia="楷体" w:cs="楷体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（二）年度机关运行经费预算情况：</w:t>
      </w:r>
    </w:p>
    <w:p>
      <w:pPr>
        <w:spacing w:before="178" w:line="333" w:lineRule="auto"/>
        <w:ind w:left="-840" w:leftChars="-400" w:right="80" w:firstLine="624" w:firstLineChars="195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年怀化市大汉小学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机关</w:t>
      </w:r>
      <w:r>
        <w:rPr>
          <w:rFonts w:hint="eastAsia" w:ascii="仿宋_GB2312" w:hAnsi="仿宋_GB2312" w:eastAsia="仿宋_GB2312" w:cs="仿宋_GB2312"/>
          <w:sz w:val="32"/>
          <w:szCs w:val="32"/>
        </w:rPr>
        <w:t>运行经费一般公共预算拨款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39.64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(其中:办公费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万元、印刷费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万元,维护费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pacing w:val="9"/>
          <w:sz w:val="32"/>
          <w:szCs w:val="32"/>
        </w:rPr>
        <w:t>万元,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工会经费19.39万元，培训费2.87万元，其他商品和服务支出4.38万元，差旅费3万元),相比2021年预算数增加3.22万元，增长2%，主要是有新进老师。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left="-840" w:leftChars="-400" w:firstLine="626" w:firstLineChars="195"/>
        <w:jc w:val="both"/>
        <w:textAlignment w:val="auto"/>
        <w:outlineLvl w:val="9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（三）一般性支出情况</w:t>
      </w:r>
    </w:p>
    <w:p>
      <w:pPr>
        <w:spacing w:before="178" w:line="333" w:lineRule="auto"/>
        <w:ind w:left="-840" w:leftChars="-400" w:right="80" w:firstLine="624" w:firstLineChars="195"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2022年本部门会议费预算0万元,培训费预算2.87万元,拟开展教师培训,人数74人,内容为教师业务专业知识培训；拟举办节庆、晚会、论坛、赛事活动，经费预算0万元。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left="-840" w:leftChars="-400" w:firstLine="626" w:firstLineChars="195"/>
        <w:jc w:val="both"/>
        <w:textAlignment w:val="auto"/>
        <w:outlineLvl w:val="9"/>
        <w:rPr>
          <w:rFonts w:ascii="楷体" w:hAnsi="楷体" w:eastAsia="楷体" w:cs="楷体"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（四）年度政府采购支出预算情况</w:t>
      </w:r>
    </w:p>
    <w:p>
      <w:pPr>
        <w:spacing w:before="167" w:line="332" w:lineRule="auto"/>
        <w:ind w:left="-840" w:leftChars="-400" w:right="147" w:firstLine="703" w:firstLineChars="195"/>
        <w:jc w:val="both"/>
        <w:rPr>
          <w:rFonts w:ascii="仿宋" w:hAnsi="仿宋" w:eastAsia="仿宋" w:cs="仿宋"/>
          <w:spacing w:val="16"/>
          <w:w w:val="103"/>
          <w:sz w:val="32"/>
          <w:szCs w:val="32"/>
        </w:rPr>
      </w:pPr>
      <w:r>
        <w:rPr>
          <w:rFonts w:ascii="仿宋" w:hAnsi="仿宋" w:eastAsia="仿宋" w:cs="仿宋"/>
          <w:spacing w:val="16"/>
          <w:w w:val="103"/>
          <w:sz w:val="32"/>
          <w:szCs w:val="32"/>
        </w:rPr>
        <w:t>2022年</w:t>
      </w:r>
      <w:r>
        <w:rPr>
          <w:rFonts w:hint="eastAsia" w:ascii="仿宋" w:hAnsi="仿宋" w:eastAsia="仿宋" w:cs="仿宋"/>
          <w:spacing w:val="16"/>
          <w:w w:val="103"/>
          <w:sz w:val="32"/>
          <w:szCs w:val="32"/>
          <w:lang w:val="en-US" w:eastAsia="zh-CN"/>
        </w:rPr>
        <w:t>怀化市大汉小学</w:t>
      </w:r>
      <w:r>
        <w:rPr>
          <w:rFonts w:ascii="仿宋" w:hAnsi="仿宋" w:eastAsia="仿宋" w:cs="仿宋"/>
          <w:spacing w:val="16"/>
          <w:w w:val="103"/>
          <w:sz w:val="32"/>
          <w:szCs w:val="32"/>
        </w:rPr>
        <w:t>单位政府采购预算总额</w:t>
      </w:r>
      <w:r>
        <w:rPr>
          <w:rFonts w:hint="eastAsia" w:ascii="仿宋" w:hAnsi="仿宋" w:eastAsia="仿宋" w:cs="仿宋"/>
          <w:spacing w:val="16"/>
          <w:w w:val="103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pacing w:val="16"/>
          <w:w w:val="103"/>
          <w:sz w:val="32"/>
          <w:szCs w:val="32"/>
        </w:rPr>
        <w:t>万元,其中,政府采购货物预算</w:t>
      </w:r>
      <w:r>
        <w:rPr>
          <w:rFonts w:hint="eastAsia" w:ascii="仿宋" w:hAnsi="仿宋" w:eastAsia="仿宋" w:cs="仿宋"/>
          <w:spacing w:val="16"/>
          <w:w w:val="103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pacing w:val="16"/>
          <w:w w:val="103"/>
          <w:sz w:val="32"/>
          <w:szCs w:val="32"/>
        </w:rPr>
        <w:t>万元,政府采购工程预算</w:t>
      </w:r>
      <w:r>
        <w:rPr>
          <w:rFonts w:hint="eastAsia" w:ascii="仿宋" w:hAnsi="仿宋" w:eastAsia="仿宋" w:cs="仿宋"/>
          <w:spacing w:val="16"/>
          <w:w w:val="103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pacing w:val="16"/>
          <w:w w:val="103"/>
          <w:sz w:val="32"/>
          <w:szCs w:val="32"/>
        </w:rPr>
        <w:t>万元、政府采购服务预算</w:t>
      </w:r>
      <w:r>
        <w:rPr>
          <w:rFonts w:hint="eastAsia" w:ascii="仿宋" w:hAnsi="仿宋" w:eastAsia="仿宋" w:cs="仿宋"/>
          <w:spacing w:val="16"/>
          <w:w w:val="103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pacing w:val="16"/>
          <w:w w:val="103"/>
          <w:sz w:val="32"/>
          <w:szCs w:val="32"/>
        </w:rPr>
        <w:t>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left="-840" w:leftChars="-400" w:firstLine="626" w:firstLineChars="195"/>
        <w:jc w:val="both"/>
        <w:textAlignment w:val="auto"/>
        <w:outlineLvl w:val="9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（五）</w:t>
      </w:r>
      <w:r>
        <w:rPr>
          <w:rFonts w:eastAsia="楷体_GB2312"/>
          <w:b/>
          <w:sz w:val="32"/>
          <w:szCs w:val="32"/>
        </w:rPr>
        <w:t>国有资产占用使用及新增资产配置情况</w:t>
      </w:r>
    </w:p>
    <w:p>
      <w:pPr>
        <w:spacing w:before="167" w:line="332" w:lineRule="auto"/>
        <w:ind w:left="-840" w:leftChars="-400" w:right="147" w:firstLine="703" w:firstLineChars="195"/>
        <w:jc w:val="both"/>
        <w:rPr>
          <w:rFonts w:hint="eastAsia" w:ascii="仿宋" w:hAnsi="仿宋" w:eastAsia="仿宋" w:cs="仿宋"/>
          <w:spacing w:val="16"/>
          <w:w w:val="103"/>
          <w:sz w:val="32"/>
          <w:szCs w:val="32"/>
          <w:lang w:val="en-US" w:eastAsia="zh-CN"/>
        </w:rPr>
      </w:pPr>
      <w:r>
        <w:rPr>
          <w:rFonts w:ascii="仿宋" w:hAnsi="仿宋" w:eastAsia="仿宋" w:cs="仿宋"/>
          <w:spacing w:val="16"/>
          <w:w w:val="103"/>
          <w:sz w:val="32"/>
          <w:szCs w:val="32"/>
        </w:rPr>
        <w:t>1、截至2021年12月31日,</w:t>
      </w:r>
      <w:r>
        <w:rPr>
          <w:rFonts w:hint="eastAsia" w:ascii="仿宋" w:hAnsi="仿宋" w:eastAsia="仿宋" w:cs="仿宋"/>
          <w:spacing w:val="16"/>
          <w:w w:val="103"/>
          <w:sz w:val="32"/>
          <w:szCs w:val="32"/>
        </w:rPr>
        <w:t>本部门无车辆，无50万元以上的专用设备</w:t>
      </w:r>
      <w:r>
        <w:rPr>
          <w:rFonts w:hint="eastAsia" w:ascii="仿宋" w:hAnsi="仿宋" w:eastAsia="仿宋" w:cs="仿宋"/>
          <w:spacing w:val="16"/>
          <w:w w:val="103"/>
          <w:sz w:val="32"/>
          <w:szCs w:val="32"/>
          <w:lang w:eastAsia="zh-CN"/>
        </w:rPr>
        <w:t>。</w:t>
      </w:r>
    </w:p>
    <w:p>
      <w:pPr>
        <w:spacing w:before="167" w:line="332" w:lineRule="auto"/>
        <w:ind w:left="-840" w:leftChars="-400" w:right="147" w:firstLine="703" w:firstLineChars="195"/>
        <w:jc w:val="both"/>
        <w:rPr>
          <w:rFonts w:ascii="仿宋" w:hAnsi="仿宋" w:eastAsia="仿宋" w:cs="仿宋"/>
          <w:spacing w:val="16"/>
          <w:w w:val="103"/>
          <w:sz w:val="32"/>
          <w:szCs w:val="32"/>
        </w:rPr>
      </w:pPr>
      <w:r>
        <w:rPr>
          <w:rFonts w:ascii="仿宋" w:hAnsi="仿宋" w:eastAsia="仿宋" w:cs="仿宋"/>
          <w:spacing w:val="16"/>
          <w:w w:val="103"/>
          <w:sz w:val="32"/>
          <w:szCs w:val="32"/>
        </w:rPr>
        <w:t>2、截至2022年,本部门无新增车辆,无新增50万元以上的通用设备和专用设备。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left="-840" w:leftChars="-400" w:firstLine="626" w:firstLineChars="195"/>
        <w:jc w:val="both"/>
        <w:textAlignment w:val="auto"/>
        <w:outlineLvl w:val="9"/>
        <w:rPr>
          <w:rFonts w:eastAsia="楷体_GB2312"/>
          <w:b/>
          <w:sz w:val="32"/>
          <w:szCs w:val="32"/>
        </w:rPr>
      </w:pPr>
      <w:r>
        <w:rPr>
          <w:rFonts w:hint="eastAsia" w:eastAsia="楷体_GB2312"/>
          <w:b/>
          <w:sz w:val="32"/>
          <w:szCs w:val="32"/>
        </w:rPr>
        <w:t>（六）预算绩效管理情况</w:t>
      </w:r>
    </w:p>
    <w:p>
      <w:pPr>
        <w:spacing w:before="169" w:line="322" w:lineRule="auto"/>
        <w:ind w:left="-840" w:leftChars="-400" w:right="203" w:firstLine="561" w:firstLineChars="195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16"/>
          <w:sz w:val="32"/>
          <w:szCs w:val="32"/>
        </w:rPr>
        <w:t>按照我区预算绩效管理工作的总体要求,2022年我单位</w:t>
      </w:r>
      <w:r>
        <w:rPr>
          <w:rFonts w:ascii="仿宋" w:hAnsi="仿宋" w:eastAsia="仿宋" w:cs="仿宋"/>
          <w:spacing w:val="-1"/>
          <w:sz w:val="32"/>
          <w:szCs w:val="32"/>
        </w:rPr>
        <w:t>整体支出</w:t>
      </w:r>
      <w:r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  <w:t>1678.61</w:t>
      </w:r>
      <w:r>
        <w:rPr>
          <w:rFonts w:ascii="仿宋" w:hAnsi="仿宋" w:eastAsia="仿宋" w:cs="仿宋"/>
          <w:spacing w:val="-1"/>
          <w:sz w:val="32"/>
          <w:szCs w:val="32"/>
        </w:rPr>
        <w:t>万元,全部实行整体支出绩效目标管理,编报</w:t>
      </w:r>
      <w:r>
        <w:rPr>
          <w:rFonts w:ascii="仿宋" w:hAnsi="仿宋" w:eastAsia="仿宋" w:cs="仿宋"/>
          <w:sz w:val="32"/>
          <w:szCs w:val="32"/>
        </w:rPr>
        <w:t>绩效目标的项目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ascii="仿宋" w:hAnsi="仿宋" w:eastAsia="仿宋" w:cs="仿宋"/>
          <w:sz w:val="32"/>
          <w:szCs w:val="32"/>
        </w:rPr>
        <w:t>个,涉及项目支出</w:t>
      </w:r>
      <w:r>
        <w:rPr>
          <w:rFonts w:hint="eastAsia" w:ascii="仿宋" w:hAnsi="仿宋" w:eastAsia="仿宋" w:cs="仿宋"/>
          <w:spacing w:val="-1"/>
          <w:sz w:val="32"/>
          <w:szCs w:val="32"/>
          <w:lang w:val="en-US" w:eastAsia="zh-CN"/>
        </w:rPr>
        <w:t>713.05</w:t>
      </w:r>
      <w:r>
        <w:rPr>
          <w:rFonts w:ascii="仿宋" w:hAnsi="仿宋" w:eastAsia="仿宋" w:cs="仿宋"/>
          <w:sz w:val="32"/>
          <w:szCs w:val="32"/>
        </w:rPr>
        <w:t>万元,其中专项业</w:t>
      </w:r>
      <w:r>
        <w:rPr>
          <w:rFonts w:ascii="仿宋" w:hAnsi="仿宋" w:eastAsia="仿宋" w:cs="仿宋"/>
          <w:spacing w:val="16"/>
          <w:w w:val="104"/>
          <w:sz w:val="32"/>
          <w:szCs w:val="32"/>
        </w:rPr>
        <w:t>务费用类项目</w:t>
      </w:r>
      <w:r>
        <w:rPr>
          <w:rFonts w:hint="eastAsia" w:ascii="仿宋" w:hAnsi="仿宋" w:eastAsia="仿宋" w:cs="仿宋"/>
          <w:spacing w:val="16"/>
          <w:w w:val="104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pacing w:val="16"/>
          <w:w w:val="104"/>
          <w:sz w:val="32"/>
          <w:szCs w:val="32"/>
        </w:rPr>
        <w:t>个,共</w:t>
      </w:r>
      <w:r>
        <w:rPr>
          <w:rFonts w:hint="eastAsia" w:ascii="仿宋" w:hAnsi="仿宋" w:eastAsia="仿宋" w:cs="仿宋"/>
          <w:spacing w:val="16"/>
          <w:w w:val="104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pacing w:val="16"/>
          <w:w w:val="104"/>
          <w:sz w:val="32"/>
          <w:szCs w:val="32"/>
        </w:rPr>
        <w:t>万元,基本建设类项目</w:t>
      </w:r>
      <w:r>
        <w:rPr>
          <w:rFonts w:hint="eastAsia" w:ascii="仿宋" w:hAnsi="仿宋" w:eastAsia="仿宋" w:cs="仿宋"/>
          <w:spacing w:val="16"/>
          <w:w w:val="104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pacing w:val="16"/>
          <w:w w:val="104"/>
          <w:sz w:val="32"/>
          <w:szCs w:val="32"/>
        </w:rPr>
        <w:t>个,</w:t>
      </w:r>
      <w:r>
        <w:rPr>
          <w:rFonts w:ascii="仿宋" w:hAnsi="仿宋" w:eastAsia="仿宋" w:cs="仿宋"/>
          <w:spacing w:val="18"/>
          <w:w w:val="106"/>
          <w:sz w:val="32"/>
          <w:szCs w:val="32"/>
        </w:rPr>
        <w:t>共</w:t>
      </w:r>
      <w:r>
        <w:rPr>
          <w:rFonts w:hint="eastAsia" w:ascii="仿宋" w:hAnsi="仿宋" w:eastAsia="仿宋" w:cs="仿宋"/>
          <w:spacing w:val="18"/>
          <w:w w:val="106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pacing w:val="18"/>
          <w:w w:val="106"/>
          <w:sz w:val="32"/>
          <w:szCs w:val="32"/>
        </w:rPr>
        <w:t>万元,对个人和家庭补助类项目</w:t>
      </w:r>
      <w:r>
        <w:rPr>
          <w:rFonts w:hint="eastAsia" w:ascii="仿宋" w:hAnsi="仿宋" w:eastAsia="仿宋" w:cs="仿宋"/>
          <w:spacing w:val="18"/>
          <w:w w:val="106"/>
          <w:sz w:val="32"/>
          <w:szCs w:val="32"/>
          <w:lang w:val="en-US" w:eastAsia="zh-CN"/>
        </w:rPr>
        <w:t>6</w:t>
      </w:r>
      <w:r>
        <w:rPr>
          <w:rFonts w:ascii="仿宋" w:hAnsi="仿宋" w:eastAsia="仿宋" w:cs="仿宋"/>
          <w:spacing w:val="18"/>
          <w:w w:val="106"/>
          <w:sz w:val="32"/>
          <w:szCs w:val="32"/>
        </w:rPr>
        <w:t>个,共</w:t>
      </w:r>
      <w:r>
        <w:rPr>
          <w:rFonts w:hint="eastAsia" w:ascii="仿宋" w:hAnsi="仿宋" w:eastAsia="仿宋" w:cs="仿宋"/>
          <w:spacing w:val="18"/>
          <w:w w:val="106"/>
          <w:sz w:val="32"/>
          <w:szCs w:val="32"/>
          <w:lang w:val="en-US" w:eastAsia="zh-CN"/>
        </w:rPr>
        <w:t>713.05</w:t>
      </w:r>
      <w:r>
        <w:rPr>
          <w:rFonts w:ascii="仿宋" w:hAnsi="仿宋" w:eastAsia="仿宋" w:cs="仿宋"/>
          <w:spacing w:val="18"/>
          <w:w w:val="106"/>
          <w:sz w:val="32"/>
          <w:szCs w:val="32"/>
        </w:rPr>
        <w:t>万元,</w:t>
      </w:r>
      <w:r>
        <w:rPr>
          <w:rFonts w:ascii="仿宋" w:hAnsi="仿宋" w:eastAsia="仿宋" w:cs="仿宋"/>
          <w:spacing w:val="6"/>
          <w:sz w:val="32"/>
          <w:szCs w:val="32"/>
        </w:rPr>
        <w:t>产业发展引导类项目</w:t>
      </w:r>
      <w:r>
        <w:rPr>
          <w:rFonts w:hint="eastAsia" w:ascii="仿宋" w:hAnsi="仿宋" w:eastAsia="仿宋" w:cs="仿宋"/>
          <w:spacing w:val="6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pacing w:val="6"/>
          <w:sz w:val="32"/>
          <w:szCs w:val="32"/>
        </w:rPr>
        <w:t>个,共</w:t>
      </w:r>
      <w:r>
        <w:rPr>
          <w:rFonts w:hint="eastAsia" w:ascii="仿宋" w:hAnsi="仿宋" w:eastAsia="仿宋" w:cs="仿宋"/>
          <w:spacing w:val="6"/>
          <w:sz w:val="32"/>
          <w:szCs w:val="32"/>
          <w:lang w:val="en-US" w:eastAsia="zh-CN"/>
        </w:rPr>
        <w:t>0</w:t>
      </w:r>
      <w:r>
        <w:rPr>
          <w:rFonts w:ascii="仿宋" w:hAnsi="仿宋" w:eastAsia="仿宋" w:cs="仿宋"/>
          <w:spacing w:val="6"/>
          <w:sz w:val="32"/>
          <w:szCs w:val="32"/>
        </w:rPr>
        <w:t>万元,全部实行项目支出</w:t>
      </w:r>
      <w:r>
        <w:rPr>
          <w:rFonts w:ascii="仿宋" w:hAnsi="仿宋" w:eastAsia="仿宋" w:cs="仿宋"/>
          <w:spacing w:val="-29"/>
          <w:sz w:val="32"/>
          <w:szCs w:val="32"/>
        </w:rPr>
        <w:t>绩效目标管理。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ind w:left="-840" w:leftChars="-400" w:firstLine="624" w:firstLineChars="195"/>
        <w:jc w:val="both"/>
        <w:textAlignment w:val="auto"/>
        <w:outlineLvl w:val="9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  <w:lang w:eastAsia="zh-CN"/>
        </w:rPr>
        <w:t>七</w:t>
      </w:r>
      <w:r>
        <w:rPr>
          <w:rFonts w:hint="eastAsia" w:ascii="黑体" w:eastAsia="黑体"/>
          <w:sz w:val="32"/>
          <w:szCs w:val="32"/>
        </w:rPr>
        <w:t>、专业名词解释</w:t>
      </w:r>
    </w:p>
    <w:p>
      <w:pPr>
        <w:spacing w:before="205" w:line="332" w:lineRule="auto"/>
        <w:ind w:left="-840" w:leftChars="-400" w:right="130" w:firstLine="627" w:firstLineChars="195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pacing w:val="1"/>
          <w:sz w:val="32"/>
          <w:szCs w:val="32"/>
          <w:lang w:val="en-US" w:eastAsia="zh-CN"/>
        </w:rPr>
        <w:t>1</w:t>
      </w:r>
      <w:r>
        <w:rPr>
          <w:rFonts w:ascii="仿宋" w:hAnsi="仿宋" w:eastAsia="仿宋" w:cs="仿宋"/>
          <w:spacing w:val="1"/>
          <w:sz w:val="32"/>
          <w:szCs w:val="32"/>
        </w:rPr>
        <w:t>、机关运行经费:为保障行政单位(包括参照公务员</w:t>
      </w:r>
      <w:r>
        <w:rPr>
          <w:rFonts w:ascii="仿宋" w:hAnsi="仿宋" w:eastAsia="仿宋" w:cs="仿宋"/>
          <w:spacing w:val="-2"/>
          <w:sz w:val="32"/>
          <w:szCs w:val="32"/>
        </w:rPr>
        <w:t>法管理的事业单位)运行,用一般公共预算拨款安排用于购</w:t>
      </w:r>
      <w:r>
        <w:rPr>
          <w:rFonts w:ascii="仿宋" w:hAnsi="仿宋" w:eastAsia="仿宋" w:cs="仿宋"/>
          <w:spacing w:val="-7"/>
          <w:sz w:val="32"/>
          <w:szCs w:val="32"/>
        </w:rPr>
        <w:t>买货物和服务的各项资金,包括办公及印刷费、邮电费、差</w:t>
      </w:r>
      <w:r>
        <w:rPr>
          <w:rFonts w:ascii="仿宋" w:hAnsi="仿宋" w:eastAsia="仿宋" w:cs="仿宋"/>
          <w:spacing w:val="-13"/>
          <w:sz w:val="32"/>
          <w:szCs w:val="32"/>
        </w:rPr>
        <w:t>旅费、会议费、福利费、日常维修费、办公用房水电费、办公用房取暖费、办公用房物业管理费、公务用车运行维护费</w:t>
      </w:r>
      <w:r>
        <w:rPr>
          <w:rFonts w:ascii="仿宋" w:hAnsi="仿宋" w:eastAsia="仿宋" w:cs="仿宋"/>
          <w:spacing w:val="-21"/>
          <w:sz w:val="32"/>
          <w:szCs w:val="32"/>
        </w:rPr>
        <w:t>以及其他费用。</w:t>
      </w:r>
    </w:p>
    <w:p>
      <w:pPr>
        <w:spacing w:before="4" w:line="332" w:lineRule="auto"/>
        <w:ind w:left="-840" w:leftChars="-400" w:right="143" w:firstLine="608" w:firstLineChars="195"/>
        <w:jc w:val="both"/>
        <w:rPr>
          <w:rFonts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pacing w:val="-4"/>
          <w:sz w:val="32"/>
          <w:szCs w:val="32"/>
        </w:rPr>
        <w:t>2、“三公</w:t>
      </w:r>
      <w:r>
        <w:rPr>
          <w:rFonts w:hint="eastAsia" w:ascii="仿宋" w:hAnsi="仿宋" w:eastAsia="仿宋" w:cs="仿宋"/>
          <w:spacing w:val="-4"/>
          <w:sz w:val="32"/>
          <w:szCs w:val="32"/>
          <w:lang w:eastAsia="zh-CN"/>
        </w:rPr>
        <w:t>”</w:t>
      </w:r>
      <w:r>
        <w:rPr>
          <w:rFonts w:ascii="仿宋" w:hAnsi="仿宋" w:eastAsia="仿宋" w:cs="仿宋"/>
          <w:spacing w:val="-4"/>
          <w:sz w:val="32"/>
          <w:szCs w:val="32"/>
        </w:rPr>
        <w:t>经费:纳入财政预算管理的</w:t>
      </w:r>
      <w:r>
        <w:rPr>
          <w:rFonts w:hint="eastAsia" w:ascii="仿宋" w:hAnsi="仿宋" w:eastAsia="仿宋" w:cs="仿宋"/>
          <w:spacing w:val="-4"/>
          <w:sz w:val="32"/>
          <w:szCs w:val="32"/>
          <w:lang w:eastAsia="zh-CN"/>
        </w:rPr>
        <w:t>“</w:t>
      </w:r>
      <w:r>
        <w:rPr>
          <w:rFonts w:ascii="仿宋" w:hAnsi="仿宋" w:eastAsia="仿宋" w:cs="仿宋"/>
          <w:spacing w:val="-4"/>
          <w:sz w:val="32"/>
          <w:szCs w:val="32"/>
        </w:rPr>
        <w:t>三公</w:t>
      </w:r>
      <w:r>
        <w:rPr>
          <w:rFonts w:hint="eastAsia" w:ascii="仿宋" w:hAnsi="仿宋" w:eastAsia="仿宋" w:cs="仿宋"/>
          <w:spacing w:val="-4"/>
          <w:sz w:val="32"/>
          <w:szCs w:val="32"/>
          <w:lang w:eastAsia="zh-CN"/>
        </w:rPr>
        <w:t>”</w:t>
      </w:r>
      <w:r>
        <w:rPr>
          <w:rFonts w:ascii="仿宋" w:hAnsi="仿宋" w:eastAsia="仿宋" w:cs="仿宋"/>
          <w:spacing w:val="-4"/>
          <w:sz w:val="32"/>
          <w:szCs w:val="32"/>
        </w:rPr>
        <w:t>经费,</w:t>
      </w:r>
      <w:r>
        <w:rPr>
          <w:rFonts w:ascii="仿宋" w:hAnsi="仿宋" w:eastAsia="仿宋" w:cs="仿宋"/>
          <w:spacing w:val="-14"/>
          <w:sz w:val="32"/>
          <w:szCs w:val="32"/>
        </w:rPr>
        <w:t>是指用一般公共预算拨款安排的公务接待费、公务用车购置</w:t>
      </w:r>
      <w:r>
        <w:rPr>
          <w:rFonts w:ascii="仿宋" w:hAnsi="仿宋" w:eastAsia="仿宋" w:cs="仿宋"/>
          <w:spacing w:val="-7"/>
          <w:sz w:val="32"/>
          <w:szCs w:val="32"/>
        </w:rPr>
        <w:t>及运行维护费和因公出国(境)费。其中,公务接待费反映单位按规定开支的各类公务接待支出;公务用车购置及运行费</w:t>
      </w:r>
      <w:r>
        <w:rPr>
          <w:rFonts w:ascii="仿宋" w:hAnsi="仿宋" w:eastAsia="仿宋" w:cs="仿宋"/>
          <w:spacing w:val="-8"/>
          <w:sz w:val="32"/>
          <w:szCs w:val="32"/>
        </w:rPr>
        <w:t>反映单位公务用车车辆购置支出(含车辆购置税),以及燃料费、维修费、保险费等支出;因公出国(境)费反映单位公务</w:t>
      </w:r>
      <w:r>
        <w:rPr>
          <w:rFonts w:ascii="仿宋" w:hAnsi="仿宋" w:eastAsia="仿宋" w:cs="仿宋"/>
          <w:spacing w:val="-16"/>
          <w:sz w:val="32"/>
          <w:szCs w:val="32"/>
        </w:rPr>
        <w:t>出国(境)费、国外城市间交通费、食宿费等支出。</w:t>
      </w:r>
    </w:p>
    <w:sectPr>
      <w:headerReference r:id="rId5" w:type="default"/>
      <w:footerReference r:id="rId6" w:type="default"/>
      <w:pgSz w:w="11850" w:h="16700"/>
      <w:pgMar w:top="1419" w:right="1803" w:bottom="1388" w:left="1803" w:header="0" w:footer="1249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38" w:lineRule="exact"/>
      <w:ind w:firstLine="4072"/>
      <w:rPr>
        <w:rFonts w:hint="default" w:ascii="仿宋" w:hAnsi="仿宋" w:eastAsia="仿宋" w:cs="仿宋"/>
        <w:sz w:val="20"/>
        <w:szCs w:val="20"/>
        <w:lang w:val="en-US" w:eastAsia="zh-CN"/>
      </w:rPr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9D0FE3"/>
    <w:multiLevelType w:val="singleLevel"/>
    <w:tmpl w:val="829D0FE3"/>
    <w:lvl w:ilvl="0" w:tentative="0">
      <w:start w:val="1"/>
      <w:numFmt w:val="chineseCounting"/>
      <w:suff w:val="nothing"/>
      <w:lvlText w:val="%1、"/>
      <w:lvlJc w:val="left"/>
      <w:pPr>
        <w:ind w:left="200"/>
      </w:pPr>
      <w:rPr>
        <w:rFonts w:hint="eastAsia"/>
      </w:rPr>
    </w:lvl>
  </w:abstractNum>
  <w:abstractNum w:abstractNumId="1">
    <w:nsid w:val="D5BC402C"/>
    <w:multiLevelType w:val="singleLevel"/>
    <w:tmpl w:val="D5BC402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4F81EC7"/>
    <w:multiLevelType w:val="multilevel"/>
    <w:tmpl w:val="04F81EC7"/>
    <w:lvl w:ilvl="0" w:tentative="0">
      <w:start w:val="1"/>
      <w:numFmt w:val="decimal"/>
      <w:suff w:val="nothing"/>
      <w:lvlText w:val="%1、"/>
      <w:lvlJc w:val="left"/>
      <w:pPr>
        <w:ind w:left="0"/>
      </w:pPr>
    </w:lvl>
    <w:lvl w:ilvl="1" w:tentative="0">
      <w:start w:val="1"/>
      <w:numFmt w:val="decimal"/>
      <w:lvlText w:val=""/>
      <w:lvlJc w:val="left"/>
      <w:pPr>
        <w:tabs>
          <w:tab w:val="left" w:pos="0"/>
        </w:tabs>
        <w:ind w:left="0"/>
      </w:pPr>
    </w:lvl>
    <w:lvl w:ilvl="2" w:tentative="0">
      <w:start w:val="1"/>
      <w:numFmt w:val="decimal"/>
      <w:lvlText w:val=""/>
      <w:lvlJc w:val="left"/>
      <w:pPr>
        <w:tabs>
          <w:tab w:val="left" w:pos="0"/>
        </w:tabs>
        <w:ind w:left="0"/>
      </w:pPr>
    </w:lvl>
    <w:lvl w:ilvl="3" w:tentative="0">
      <w:start w:val="1"/>
      <w:numFmt w:val="decimal"/>
      <w:lvlText w:val=""/>
      <w:lvlJc w:val="left"/>
      <w:pPr>
        <w:tabs>
          <w:tab w:val="left" w:pos="0"/>
        </w:tabs>
        <w:ind w:left="0"/>
      </w:pPr>
    </w:lvl>
    <w:lvl w:ilvl="4" w:tentative="0">
      <w:start w:val="1"/>
      <w:numFmt w:val="decimal"/>
      <w:lvlText w:val=""/>
      <w:lvlJc w:val="left"/>
      <w:pPr>
        <w:tabs>
          <w:tab w:val="left" w:pos="0"/>
        </w:tabs>
        <w:ind w:left="0"/>
      </w:pPr>
    </w:lvl>
    <w:lvl w:ilvl="5" w:tentative="0">
      <w:start w:val="1"/>
      <w:numFmt w:val="decimal"/>
      <w:lvlText w:val=""/>
      <w:lvlJc w:val="left"/>
      <w:pPr>
        <w:tabs>
          <w:tab w:val="left" w:pos="0"/>
        </w:tabs>
        <w:ind w:left="0"/>
      </w:pPr>
    </w:lvl>
    <w:lvl w:ilvl="6" w:tentative="0">
      <w:start w:val="1"/>
      <w:numFmt w:val="decimal"/>
      <w:lvlText w:val=""/>
      <w:lvlJc w:val="left"/>
      <w:pPr>
        <w:tabs>
          <w:tab w:val="left" w:pos="0"/>
        </w:tabs>
        <w:ind w:left="0"/>
      </w:pPr>
    </w:lvl>
    <w:lvl w:ilvl="7" w:tentative="0">
      <w:start w:val="1"/>
      <w:numFmt w:val="decimal"/>
      <w:lvlText w:val=""/>
      <w:lvlJc w:val="left"/>
      <w:pPr>
        <w:tabs>
          <w:tab w:val="left" w:pos="0"/>
        </w:tabs>
        <w:ind w:left="0"/>
      </w:pPr>
    </w:lvl>
    <w:lvl w:ilvl="8" w:tentative="0">
      <w:start w:val="1"/>
      <w:numFmt w:val="decimal"/>
      <w:lvlText w:val=""/>
      <w:lvlJc w:val="left"/>
      <w:pPr>
        <w:tabs>
          <w:tab w:val="left" w:pos="0"/>
        </w:tabs>
        <w:ind w:left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Tg0MzMyNGJiMDEzODc5ODNlMGVjODViOWRkZjg1MDgifQ=="/>
  </w:docVars>
  <w:rsids>
    <w:rsidRoot w:val="00172A27"/>
    <w:rsid w:val="0E1C5BA9"/>
    <w:rsid w:val="0FDB04CA"/>
    <w:rsid w:val="12855AA9"/>
    <w:rsid w:val="170634B6"/>
    <w:rsid w:val="1F2E0565"/>
    <w:rsid w:val="21F71049"/>
    <w:rsid w:val="2425465D"/>
    <w:rsid w:val="27564607"/>
    <w:rsid w:val="2ABD3E9E"/>
    <w:rsid w:val="2E9944DA"/>
    <w:rsid w:val="347B2888"/>
    <w:rsid w:val="35B72C25"/>
    <w:rsid w:val="3E122F01"/>
    <w:rsid w:val="401A037E"/>
    <w:rsid w:val="41A74EFB"/>
    <w:rsid w:val="44414FF9"/>
    <w:rsid w:val="45660AA2"/>
    <w:rsid w:val="47962C73"/>
    <w:rsid w:val="4A831EA3"/>
    <w:rsid w:val="4C997B78"/>
    <w:rsid w:val="51FC4773"/>
    <w:rsid w:val="525056E8"/>
    <w:rsid w:val="561D1319"/>
    <w:rsid w:val="56F179D7"/>
    <w:rsid w:val="5B247D99"/>
    <w:rsid w:val="5CA50C98"/>
    <w:rsid w:val="5CF7477D"/>
    <w:rsid w:val="5EBB6057"/>
    <w:rsid w:val="624F23FA"/>
    <w:rsid w:val="63091321"/>
    <w:rsid w:val="63F36B01"/>
    <w:rsid w:val="6A225AF6"/>
    <w:rsid w:val="6A2E2BE4"/>
    <w:rsid w:val="742E30C8"/>
    <w:rsid w:val="75983CE3"/>
    <w:rsid w:val="78996FC0"/>
    <w:rsid w:val="7E7759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40" w:beforeLines="0" w:beforeAutospacing="0" w:after="240" w:afterLines="0" w:afterAutospacing="0" w:line="500" w:lineRule="exact"/>
      <w:ind w:firstLine="0" w:firstLineChars="0"/>
      <w:jc w:val="center"/>
      <w:outlineLvl w:val="0"/>
    </w:pPr>
    <w:rPr>
      <w:rFonts w:eastAsia="黑体" w:asciiTheme="minorAscii" w:hAnsiTheme="minorAscii" w:cstheme="minorBidi"/>
      <w:b/>
      <w:kern w:val="44"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2086</Words>
  <Characters>2264</Characters>
  <TotalTime>1</TotalTime>
  <ScaleCrop>false</ScaleCrop>
  <LinksUpToDate>false</LinksUpToDate>
  <CharactersWithSpaces>2264</CharactersWithSpaces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2022-05-27T18:04:00Z</dcterms:created>
  <dc:creator>Kingsoft-PDF</dc:creator>
  <cp:keywords>6290a219b2ef130015ea5423</cp:keywords>
  <cp:lastModifiedBy>PC200323</cp:lastModifiedBy>
  <cp:lastPrinted>2022-05-29T09:36:00Z</cp:lastPrinted>
  <dcterms:modified xsi:type="dcterms:W3CDTF">2023-09-29T12:38:36Z</dcterms:modified>
  <dc:subject>pdfbuilder</dc:subject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wqlLaW5nc29mdCBQREYgdG8gV1BTIDcw</vt:lpwstr>
  </property>
  <property fmtid="{D5CDD505-2E9C-101B-9397-08002B2CF9AE}" pid="3" name="Created">
    <vt:filetime>2022-05-27T18:04:23Z</vt:filetime>
  </property>
  <property fmtid="{D5CDD505-2E9C-101B-9397-08002B2CF9AE}" pid="4" name="KSOProductBuildVer">
    <vt:lpwstr>2052-12.1.0.15374</vt:lpwstr>
  </property>
  <property fmtid="{D5CDD505-2E9C-101B-9397-08002B2CF9AE}" pid="5" name="ICV">
    <vt:lpwstr>3FDB5A3062074F2E8AC1ECB23F6A834A</vt:lpwstr>
  </property>
</Properties>
</file>