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7C33" w:rsidRDefault="00000000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2022年度怀化市鹤城区住房和城乡建设局部门预算公开说明</w:t>
      </w:r>
    </w:p>
    <w:p w:rsidR="00F57C33" w:rsidRDefault="00F57C33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F57C33" w:rsidRDefault="00000000">
      <w:pPr>
        <w:spacing w:line="56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目</w:t>
      </w:r>
      <w:r>
        <w:rPr>
          <w:rFonts w:eastAsia="黑体" w:hint="eastAsia"/>
          <w:bCs/>
          <w:kern w:val="0"/>
          <w:sz w:val="32"/>
          <w:szCs w:val="32"/>
        </w:rPr>
        <w:t xml:space="preserve">  </w:t>
      </w:r>
      <w:r>
        <w:rPr>
          <w:rFonts w:eastAsia="黑体" w:hint="eastAsia"/>
          <w:bCs/>
          <w:kern w:val="0"/>
          <w:sz w:val="32"/>
          <w:szCs w:val="32"/>
        </w:rPr>
        <w:t>录</w:t>
      </w:r>
    </w:p>
    <w:p w:rsidR="00F57C33" w:rsidRDefault="00000000">
      <w:pPr>
        <w:spacing w:line="560" w:lineRule="exact"/>
        <w:rPr>
          <w:rFonts w:eastAsia="黑体"/>
          <w:bCs/>
          <w:kern w:val="0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第一部分：2022年部门预算公开说明</w:t>
      </w:r>
    </w:p>
    <w:p w:rsidR="00F57C33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（一）部门职责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（二）机构设置情况</w:t>
      </w:r>
    </w:p>
    <w:p w:rsidR="00F57C33" w:rsidRDefault="0000000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二、部门预算单位构成</w:t>
      </w:r>
    </w:p>
    <w:p w:rsidR="00F57C33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三、部门预算收支总体情况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（1）收入预算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（2）支出预算</w:t>
      </w:r>
    </w:p>
    <w:p w:rsidR="00F57C33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</w:t>
      </w:r>
      <w:r>
        <w:rPr>
          <w:rFonts w:ascii="仿宋_GB2312" w:eastAsia="仿宋_GB2312" w:hint="eastAsia"/>
          <w:b/>
          <w:bCs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年度一般公共预算财政拨款支出情况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（1）基本支出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（2）项目支出</w:t>
      </w:r>
    </w:p>
    <w:p w:rsidR="00F57C33" w:rsidRDefault="00000000">
      <w:pPr>
        <w:tabs>
          <w:tab w:val="left" w:pos="1003"/>
        </w:tabs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五、政府性基金支出</w:t>
      </w:r>
    </w:p>
    <w:p w:rsidR="00F57C33" w:rsidRDefault="00000000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（一）年度“三公”经费预算情况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（二）年度机关运行经费预算情况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（三）一般性支出情况</w:t>
      </w:r>
    </w:p>
    <w:p w:rsidR="00F57C33" w:rsidRDefault="00000000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（四）年度政府采购预算情况</w:t>
      </w:r>
    </w:p>
    <w:p w:rsidR="00F57C33" w:rsidRDefault="0000000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eastAsia="仿宋_GB2312" w:hint="eastAsia"/>
          <w:sz w:val="32"/>
          <w:szCs w:val="32"/>
        </w:rPr>
        <w:t>国有资产占用情况</w:t>
      </w:r>
    </w:p>
    <w:p w:rsidR="00F57C33" w:rsidRDefault="0000000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（六）预算绩效管理情况</w:t>
      </w:r>
    </w:p>
    <w:p w:rsidR="00F57C33" w:rsidRDefault="00000000">
      <w:pPr>
        <w:spacing w:line="560" w:lineRule="exact"/>
        <w:jc w:val="left"/>
        <w:rPr>
          <w:rFonts w:ascii="黑体" w:eastAsia="黑体"/>
          <w:sz w:val="32"/>
          <w:szCs w:val="32"/>
        </w:rPr>
        <w:sectPr w:rsidR="00F57C33">
          <w:footerReference w:type="default" r:id="rId7"/>
          <w:pgSz w:w="11906" w:h="16838"/>
          <w:pgMar w:top="1440" w:right="1780" w:bottom="1440" w:left="1780" w:header="851" w:footer="992" w:gutter="0"/>
          <w:pgNumType w:start="1"/>
          <w:cols w:space="720"/>
          <w:docGrid w:type="lines" w:linePitch="312"/>
        </w:sectPr>
      </w:pPr>
      <w:r>
        <w:rPr>
          <w:rFonts w:ascii="黑体" w:eastAsia="黑体" w:hint="eastAsia"/>
          <w:sz w:val="32"/>
          <w:szCs w:val="32"/>
        </w:rPr>
        <w:t>七、专业名词解释</w:t>
      </w:r>
      <w:r>
        <w:rPr>
          <w:rFonts w:ascii="宋体" w:hAnsi="宋体" w:hint="eastAsia"/>
          <w:b/>
          <w:sz w:val="44"/>
          <w:szCs w:val="44"/>
        </w:rPr>
        <w:t xml:space="preserve"> </w:t>
      </w:r>
      <w:r>
        <w:rPr>
          <w:rFonts w:ascii="黑体" w:eastAsia="黑体" w:hint="eastAsia"/>
          <w:sz w:val="32"/>
          <w:szCs w:val="32"/>
        </w:rPr>
        <w:t xml:space="preserve"> </w:t>
      </w:r>
    </w:p>
    <w:p w:rsidR="00F57C33" w:rsidRDefault="00000000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第二部分：2022年部门预算表</w:t>
      </w:r>
    </w:p>
    <w:p w:rsidR="00F57C33" w:rsidRDefault="00F57C33">
      <w:pPr>
        <w:spacing w:line="560" w:lineRule="exact"/>
        <w:rPr>
          <w:rFonts w:ascii="黑体" w:eastAsia="黑体"/>
          <w:sz w:val="32"/>
          <w:szCs w:val="32"/>
        </w:rPr>
      </w:pPr>
    </w:p>
    <w:p w:rsidR="002D15E2" w:rsidRDefault="002D15E2" w:rsidP="002D15E2">
      <w:pPr>
        <w:spacing w:line="560" w:lineRule="exact"/>
        <w:jc w:val="left"/>
        <w:rPr>
          <w:rFonts w:ascii="仿宋" w:eastAsia="仿宋" w:hAnsi="仿宋" w:cs="仿宋_GB2312"/>
          <w:sz w:val="32"/>
          <w:szCs w:val="32"/>
          <w:lang w:bidi="ar"/>
        </w:rPr>
      </w:pP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1、收支总表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2、收入总表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3、支出总表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4、支出预算分类汇总表（按政府预算经济分类）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5、支出预算分类汇总表（按部门预算经济分类）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6、财政拨款收支总表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7、一般公共预算支出表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8、一般公共预算基本支出表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9、一般公共预算基本支出表--人员经费(工资福利支出)(按政府预算经济分类)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10、一般公共预算基本支出表--人员经费(工资福利支出)(按部门预算经济分类)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11、一般公共预算基本支出表--人员经费(对个人和家庭的补助)(按政府预算经济分类)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12、一般公共预算基本支出表--人员经费(对个人和家庭的补助)（按部门预算经济分类）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13、一般公共预算基本支出表--公用经费(商品和服务支出)（按政府预算经济分类）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14、一般公共预算基本支出表--公用经费(商品和服务支出)(按部门预算经济分类)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15、一般公共预算“三公”经费支出表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16、政府性基金预算支出表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lastRenderedPageBreak/>
        <w:t>17、政府性基金预算支出分类汇总表（按政府预算经济分类）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18、政府性基金预算支出分类汇总表（按部门预算经济分类）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19、国有资本经营预算支出表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20、财政专户管理资金预算支出表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21、专项资金预算汇总表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22、项目支出绩效目标表</w:t>
      </w:r>
      <w:r>
        <w:rPr>
          <w:rFonts w:ascii="仿宋" w:eastAsia="仿宋" w:hAnsi="仿宋" w:hint="eastAsia"/>
          <w:color w:val="171A1D"/>
          <w:sz w:val="32"/>
          <w:szCs w:val="32"/>
        </w:rPr>
        <w:br/>
      </w:r>
      <w:r>
        <w:rPr>
          <w:rFonts w:ascii="仿宋" w:eastAsia="仿宋" w:hAnsi="仿宋" w:hint="eastAsia"/>
          <w:color w:val="171A1D"/>
          <w:sz w:val="32"/>
          <w:szCs w:val="32"/>
          <w:shd w:val="clear" w:color="auto" w:fill="FFFFFF"/>
        </w:rPr>
        <w:t>23、整体支出绩效目标表</w:t>
      </w:r>
    </w:p>
    <w:p w:rsidR="00F57C33" w:rsidRDefault="00000000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注：以上部门预算报表中，空表表示本部门无相关收支情况</w:t>
      </w: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F57C33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</w:p>
    <w:p w:rsidR="00F57C33" w:rsidRDefault="00000000">
      <w:pPr>
        <w:pStyle w:val="a3"/>
        <w:ind w:firstLine="0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int="eastAsia"/>
          <w:sz w:val="36"/>
          <w:szCs w:val="36"/>
        </w:rPr>
        <w:t>第一部分：2022年部门预算公开说明</w:t>
      </w:r>
    </w:p>
    <w:p w:rsidR="00F57C33" w:rsidRDefault="00F57C3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</w:p>
    <w:p w:rsidR="00F57C33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一、部门职责及机构设置情况</w:t>
      </w:r>
    </w:p>
    <w:p w:rsidR="00F57C33" w:rsidRDefault="00000000">
      <w:pPr>
        <w:spacing w:line="56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lastRenderedPageBreak/>
        <w:t>（一）部门职责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负责全区重点建设项目施工阶段计划调度、协调建设工期、工程质量、安全生产等综合管理工作；贯彻执行国家有关工程建设、村镇建设、建筑业、勘察设计咨询业务的方针、政策、规章和管理细则，研究提出实施意见和办法，研究提出相关的发展战略、中长期规划及年度计划并指导实施，进行行业管理等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内设5个股室，分别为办公室（加挂计划财务股、人事教育股牌子）、政策法规股（加挂行政审批股牌子）、房地监管与住房保障股（加挂物业监督管理股）、建筑工程管理股（加挂招标投标监督管理股牌子、燃气管理股牌子）、城乡建设股（科技设计股）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局直属全额拨款事业单位3个，分别为怀化市鹤城区住房和城乡建设事务中心、怀化市鹤城区国有土地上房屋征收服务中心、怀化市鹤城区房产服务中心。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下属事业单位2个，分别为怀化市鹤城区工程建设服务中心、怀化市鹤城区城市建设综合开发公司。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共有行政编制6名，全额拨款事业编制53名。局机关7人，全额事业编制49人。退休33人。</w:t>
      </w:r>
    </w:p>
    <w:p w:rsidR="00F57C33" w:rsidRDefault="00000000">
      <w:pPr>
        <w:spacing w:line="56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（二）机构设置情况</w:t>
      </w:r>
    </w:p>
    <w:p w:rsidR="00F57C33" w:rsidRDefault="00000000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区住房和城乡建设局作为一般部门预算单位，纳入2022年部门预算编制范围的二级部门预算单位包括：内设5</w:t>
      </w:r>
      <w:r>
        <w:rPr>
          <w:rFonts w:ascii="仿宋_GB2312" w:eastAsia="仿宋_GB2312" w:hint="eastAsia"/>
          <w:sz w:val="32"/>
          <w:szCs w:val="32"/>
        </w:rPr>
        <w:lastRenderedPageBreak/>
        <w:t>个股室，分别为办公室（加挂计划财务股、人事教育股牌子）、政策法规股（加挂行政审批股牌子）、房地监管与住房保障股（加挂物业监督管理股）、建筑工程管理股（加挂招标投标监督管理股牌子、燃气管理股牌子）、城乡建设股（科技设计股）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局直属全额拨款事业单位3个，分别为怀化市鹤城区住房和城乡建设事务中心、怀化市鹤城区国有土地上房屋征收服务中心、怀化市鹤城区房产服务中心。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共有行政编制6名，全额拨款事业编制53名。局机关7人，全额事业编制49人。退休33人。</w:t>
      </w:r>
    </w:p>
    <w:p w:rsidR="00F57C33" w:rsidRDefault="00000000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二、部门预算单位构成</w:t>
      </w:r>
    </w:p>
    <w:p w:rsidR="00F57C33" w:rsidRDefault="00000000">
      <w:pPr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本部门预算为汇总预算，纳入编制范围的预算单位包括：</w:t>
      </w:r>
    </w:p>
    <w:p w:rsidR="00F57C33" w:rsidRDefault="00000000">
      <w:pPr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区住房和城乡建设局</w:t>
      </w:r>
      <w:r>
        <w:rPr>
          <w:rFonts w:eastAsia="仿宋_GB2312"/>
          <w:sz w:val="32"/>
          <w:szCs w:val="32"/>
        </w:rPr>
        <w:t>部门本级</w:t>
      </w:r>
      <w:r>
        <w:rPr>
          <w:rFonts w:eastAsia="仿宋_GB2312" w:hint="eastAsia"/>
          <w:sz w:val="32"/>
          <w:szCs w:val="32"/>
        </w:rPr>
        <w:t>。</w:t>
      </w:r>
    </w:p>
    <w:p w:rsidR="00F57C33" w:rsidRDefault="0000000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下属事业单位2个，分别为怀化市鹤城区工程建设服务中心、怀化市鹤城区城市建设综合开发公司。</w:t>
      </w:r>
    </w:p>
    <w:p w:rsidR="00F57C33" w:rsidRDefault="00000000">
      <w:pPr>
        <w:spacing w:line="600" w:lineRule="exact"/>
        <w:ind w:firstLineChars="250" w:firstLine="80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</w:t>
      </w:r>
      <w:r>
        <w:rPr>
          <w:rFonts w:eastAsia="黑体"/>
          <w:bCs/>
          <w:kern w:val="0"/>
          <w:sz w:val="32"/>
          <w:szCs w:val="32"/>
        </w:rPr>
        <w:t>部门收支总体情况</w:t>
      </w:r>
    </w:p>
    <w:p w:rsidR="00F57C33" w:rsidRDefault="00000000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（一）收入预算：</w:t>
      </w:r>
      <w:r>
        <w:rPr>
          <w:rFonts w:ascii="仿宋_GB2312" w:eastAsia="仿宋_GB2312" w:hint="eastAsia"/>
          <w:sz w:val="32"/>
          <w:szCs w:val="32"/>
        </w:rPr>
        <w:t>包括一般公共预算、政府性基金、国有资本经营预算等财政拨款收入，以及经营收入、事业收入等单位资金。2022年本部门收入预算</w:t>
      </w:r>
      <w:r>
        <w:rPr>
          <w:rFonts w:eastAsia="仿宋_GB2312" w:hint="eastAsia"/>
          <w:sz w:val="32"/>
          <w:szCs w:val="32"/>
        </w:rPr>
        <w:t>15585.33</w:t>
      </w:r>
      <w:r>
        <w:rPr>
          <w:rFonts w:ascii="仿宋_GB2312" w:eastAsia="仿宋_GB2312" w:hint="eastAsia"/>
          <w:sz w:val="32"/>
          <w:szCs w:val="32"/>
        </w:rPr>
        <w:t>万元，其中，一般公共预算拨款</w:t>
      </w:r>
      <w:r>
        <w:rPr>
          <w:rFonts w:eastAsia="仿宋_GB2312" w:hint="eastAsia"/>
          <w:sz w:val="32"/>
          <w:szCs w:val="32"/>
        </w:rPr>
        <w:t>15585.33</w:t>
      </w:r>
      <w:r>
        <w:rPr>
          <w:rFonts w:ascii="仿宋_GB2312" w:eastAsia="仿宋_GB2312" w:hint="eastAsia"/>
          <w:sz w:val="32"/>
          <w:szCs w:val="32"/>
        </w:rPr>
        <w:t>万元，政府性基金预算拨款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万元，国有资本经营预算拨款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万元，纳入专户管理的非税收入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万元。收入较去年增加10917.79万元，主要是增加了项目资金。</w:t>
      </w:r>
    </w:p>
    <w:p w:rsidR="00F57C33" w:rsidRDefault="00000000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lastRenderedPageBreak/>
        <w:t>（二）支出预算：</w:t>
      </w:r>
      <w:r>
        <w:rPr>
          <w:rFonts w:ascii="仿宋_GB2312" w:eastAsia="仿宋_GB2312" w:hint="eastAsia"/>
          <w:sz w:val="32"/>
          <w:szCs w:val="32"/>
        </w:rPr>
        <w:t>2022年本部门支出预算</w:t>
      </w:r>
      <w:r>
        <w:rPr>
          <w:rFonts w:eastAsia="仿宋_GB2312" w:hint="eastAsia"/>
          <w:sz w:val="32"/>
          <w:szCs w:val="32"/>
        </w:rPr>
        <w:t>15585.33</w:t>
      </w:r>
      <w:r>
        <w:rPr>
          <w:rFonts w:ascii="仿宋_GB2312" w:eastAsia="仿宋_GB2312" w:hint="eastAsia"/>
          <w:sz w:val="32"/>
          <w:szCs w:val="32"/>
        </w:rPr>
        <w:t>万元，其中，一般公共服务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万元，公共安全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万元，教育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万元，科学技术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万元，社会保障和就业支出189.97万元，卫生健康支出53.25万元，城乡社区支出15308.6万元，住房保障支出33.52万元。支出较去年增加10917.79万元，主要是增加了项目资金。</w:t>
      </w:r>
    </w:p>
    <w:p w:rsidR="00F57C33" w:rsidRDefault="00000000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一般公共预算拨款支出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（一）基本支出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2022年年初预算数为</w:t>
      </w:r>
      <w:r>
        <w:rPr>
          <w:rFonts w:eastAsia="仿宋_GB2312" w:hint="eastAsia"/>
          <w:sz w:val="32"/>
          <w:szCs w:val="32"/>
        </w:rPr>
        <w:t>626.9</w:t>
      </w:r>
      <w:r>
        <w:rPr>
          <w:rFonts w:ascii="仿宋_GB2312" w:eastAsia="仿宋_GB2312" w:hint="eastAsia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（二）项目支出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2022年年初预算数为</w:t>
      </w:r>
      <w:r>
        <w:rPr>
          <w:rFonts w:eastAsia="仿宋_GB2312" w:hint="eastAsia"/>
          <w:sz w:val="32"/>
          <w:szCs w:val="32"/>
        </w:rPr>
        <w:t>14958.43</w:t>
      </w:r>
      <w:r>
        <w:rPr>
          <w:rFonts w:ascii="仿宋_GB2312" w:eastAsia="仿宋_GB2312" w:hint="eastAsia"/>
          <w:sz w:val="32"/>
          <w:szCs w:val="32"/>
        </w:rPr>
        <w:t>万元，是指单位为完成特定行政工作任务或事业发展目标而发生的支出，包括有产业发展引导类0万元、专项业务费用类</w:t>
      </w:r>
      <w:r>
        <w:rPr>
          <w:rFonts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万元、基本建设类</w:t>
      </w:r>
      <w:r>
        <w:rPr>
          <w:rFonts w:eastAsia="仿宋_GB2312" w:hint="eastAsia"/>
          <w:sz w:val="32"/>
          <w:szCs w:val="32"/>
        </w:rPr>
        <w:t>14802.9</w:t>
      </w:r>
      <w:r>
        <w:rPr>
          <w:rFonts w:ascii="仿宋_GB2312" w:eastAsia="仿宋_GB2312" w:hint="eastAsia"/>
          <w:sz w:val="32"/>
          <w:szCs w:val="32"/>
        </w:rPr>
        <w:t>万元、对个人和家庭补助类</w:t>
      </w:r>
      <w:r>
        <w:rPr>
          <w:rFonts w:eastAsia="仿宋_GB2312" w:hint="eastAsia"/>
          <w:sz w:val="32"/>
          <w:szCs w:val="32"/>
        </w:rPr>
        <w:t>137.53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57C33" w:rsidRDefault="00000000">
      <w:pPr>
        <w:spacing w:line="600" w:lineRule="exact"/>
        <w:ind w:firstLineChars="200" w:firstLine="6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五、政府性基金支出</w:t>
      </w:r>
    </w:p>
    <w:p w:rsidR="00F57C33" w:rsidRDefault="00000000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2022年本部门没有政府性基金预算收入，相应没有安排政府性基金预算支出。</w:t>
      </w:r>
    </w:p>
    <w:p w:rsidR="00F57C33" w:rsidRDefault="00000000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（一）“三公”经费预算：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2022年“三公”经费预算数为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万元，其中，公务接待</w:t>
      </w:r>
      <w:r>
        <w:rPr>
          <w:rFonts w:ascii="仿宋_GB2312" w:eastAsia="仿宋_GB2312" w:hint="eastAsia"/>
          <w:sz w:val="32"/>
          <w:szCs w:val="32"/>
        </w:rPr>
        <w:lastRenderedPageBreak/>
        <w:t>费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万元，公务用车购置及运行费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万元（其中：公务用车购置费是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万元，公务用车运行费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万元），因公出国（境）费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万元。2022年“三公”经费预算较2021年预算数减少</w:t>
      </w:r>
      <w:r>
        <w:rPr>
          <w:rFonts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89</w:t>
      </w:r>
      <w:r>
        <w:rPr>
          <w:rFonts w:ascii="仿宋_GB2312" w:eastAsia="仿宋_GB2312" w:hint="eastAsia"/>
          <w:sz w:val="32"/>
          <w:szCs w:val="32"/>
        </w:rPr>
        <w:t>%，主要原因是根据财政要求，本着厉行节约，严格控制“三公”经费支出。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（二）年度机关运行经费预算情况：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</w:t>
      </w:r>
      <w:r>
        <w:rPr>
          <w:rFonts w:eastAsia="仿宋_GB2312" w:hint="eastAsia"/>
          <w:sz w:val="32"/>
          <w:szCs w:val="32"/>
        </w:rPr>
        <w:t>鹤城区住房和城乡建设</w:t>
      </w:r>
      <w:r>
        <w:rPr>
          <w:rFonts w:ascii="仿宋_GB2312" w:eastAsia="仿宋_GB2312" w:hint="eastAsia"/>
          <w:sz w:val="32"/>
          <w:szCs w:val="32"/>
        </w:rPr>
        <w:t>局机关运行经费一般公共预算拨款</w:t>
      </w:r>
      <w:r>
        <w:rPr>
          <w:rFonts w:eastAsia="仿宋_GB2312" w:hint="eastAsia"/>
          <w:sz w:val="32"/>
          <w:szCs w:val="32"/>
        </w:rPr>
        <w:t>56.76</w:t>
      </w:r>
      <w:r>
        <w:rPr>
          <w:rFonts w:ascii="仿宋_GB2312" w:eastAsia="仿宋_GB2312" w:hint="eastAsia"/>
          <w:sz w:val="32"/>
          <w:szCs w:val="32"/>
        </w:rPr>
        <w:t>万元（其中：办公费</w:t>
      </w:r>
      <w:r>
        <w:rPr>
          <w:rFonts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万元、印刷费</w:t>
      </w:r>
      <w:r>
        <w:rPr>
          <w:rFonts w:eastAsia="仿宋_GB2312" w:hint="eastAsia"/>
          <w:sz w:val="32"/>
          <w:szCs w:val="32"/>
        </w:rPr>
        <w:t>9.4</w:t>
      </w:r>
      <w:r>
        <w:rPr>
          <w:rFonts w:ascii="仿宋_GB2312" w:eastAsia="仿宋_GB2312" w:hint="eastAsia"/>
          <w:sz w:val="32"/>
          <w:szCs w:val="32"/>
        </w:rPr>
        <w:t>万元，维护费</w:t>
      </w:r>
      <w:r>
        <w:rPr>
          <w:rFonts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万元，公务接待费1万元，电费3万元，差旅费10万元，工会经费13.41万元，会议费6.96万元），相比2021年预算数减少115.55万元，下降67%。主要是厉行节约。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（三）一般性支出情况</w:t>
      </w:r>
    </w:p>
    <w:p w:rsidR="00F57C33" w:rsidRDefault="00000000">
      <w:pPr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2022</w:t>
      </w:r>
      <w:r>
        <w:rPr>
          <w:rFonts w:eastAsia="仿宋_GB2312"/>
          <w:kern w:val="0"/>
          <w:sz w:val="32"/>
          <w:szCs w:val="32"/>
        </w:rPr>
        <w:t>年本部门会议费预算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次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eastAsia="仿宋_GB2312" w:hint="eastAsia"/>
          <w:sz w:val="32"/>
          <w:szCs w:val="32"/>
        </w:rPr>
        <w:t>160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 w:hint="eastAsia"/>
          <w:kern w:val="0"/>
          <w:sz w:val="32"/>
          <w:szCs w:val="32"/>
        </w:rPr>
        <w:t>无物管小区治理、政府投资项目可研评估、等各类业务工作会议及省、市级部门电视电话会议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eastAsia="仿宋_GB2312" w:hint="eastAsia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ascii="仿宋_GB2312" w:eastAsia="仿宋_GB2312" w:hint="eastAsia"/>
          <w:sz w:val="32"/>
          <w:szCs w:val="32"/>
        </w:rPr>
        <w:t>0次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人；拟举办等节庆、晚会、论坛、赛事活动，经费预算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（四）年度政府采购支出预算情况</w:t>
      </w:r>
    </w:p>
    <w:p w:rsidR="00F57C33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</w:t>
      </w:r>
      <w:r>
        <w:rPr>
          <w:rFonts w:eastAsia="仿宋_GB2312" w:hint="eastAsia"/>
          <w:sz w:val="32"/>
          <w:szCs w:val="32"/>
        </w:rPr>
        <w:t>鹤城区住房和城乡建设</w:t>
      </w:r>
      <w:r>
        <w:rPr>
          <w:rFonts w:ascii="仿宋_GB2312" w:eastAsia="仿宋_GB2312" w:hint="eastAsia"/>
          <w:sz w:val="32"/>
          <w:szCs w:val="32"/>
        </w:rPr>
        <w:t>局单位政府采购预算总额</w:t>
      </w:r>
      <w:r>
        <w:rPr>
          <w:rFonts w:eastAsia="仿宋_GB2312" w:hint="eastAsia"/>
          <w:sz w:val="32"/>
          <w:szCs w:val="32"/>
        </w:rPr>
        <w:t>7511.8</w:t>
      </w:r>
      <w:r>
        <w:rPr>
          <w:rFonts w:ascii="仿宋_GB2312" w:eastAsia="仿宋_GB2312" w:hint="eastAsia"/>
          <w:sz w:val="32"/>
          <w:szCs w:val="32"/>
        </w:rPr>
        <w:t>万元，其中，政府采购货物预算</w:t>
      </w:r>
      <w:r>
        <w:rPr>
          <w:rFonts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万元，政府采购工程预算0万元、政府购买服务预算</w:t>
      </w:r>
      <w:r>
        <w:rPr>
          <w:rFonts w:eastAsia="仿宋_GB2312" w:hint="eastAsia"/>
          <w:sz w:val="32"/>
          <w:szCs w:val="32"/>
        </w:rPr>
        <w:t>7501.8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</w:t>
      </w:r>
    </w:p>
    <w:p w:rsidR="00F57C33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1、截至2021年12月31日，本部门无车辆，其中，一般公务用车0辆、一般执法执勤用车0辆、特种专业技术用车0辆、其他用车0辆。单位价值50 万元以上通用设备0台（套），单价100 万元以上专用设备0台（套）。</w:t>
      </w:r>
    </w:p>
    <w:p w:rsidR="00F57C33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截至2021年12月31日，本部门无车辆，无50万元以上的专用设备。</w:t>
      </w:r>
    </w:p>
    <w:p w:rsidR="00F57C33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2、2022年，本部门拟新增资产具体为：公务用车0辆，价值0万元；单价50万元以上通用设备0台（套）；单价100万元以上的专用设备0台（套）。</w:t>
      </w:r>
    </w:p>
    <w:p w:rsidR="00F57C33" w:rsidRDefault="00000000">
      <w:pPr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截至2022年，本部门无新增车辆，无新增50万元以上的通用设备和专用设备。</w:t>
      </w:r>
    </w:p>
    <w:p w:rsidR="00F57C33" w:rsidRDefault="00000000">
      <w:pPr>
        <w:spacing w:line="600" w:lineRule="exact"/>
        <w:ind w:firstLineChars="200" w:firstLine="643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（六）预算绩效管理情况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按照我区预算绩效管理工作的总体要求，2022年我单位整体支出</w:t>
      </w:r>
      <w:r>
        <w:rPr>
          <w:rFonts w:eastAsia="仿宋_GB2312"/>
          <w:sz w:val="32"/>
          <w:szCs w:val="32"/>
        </w:rPr>
        <w:t>15585.33</w:t>
      </w:r>
      <w:r>
        <w:rPr>
          <w:rFonts w:ascii="仿宋_GB2312" w:eastAsia="仿宋_GB2312" w:hint="eastAsia"/>
          <w:sz w:val="32"/>
          <w:szCs w:val="32"/>
        </w:rPr>
        <w:t>万元，全部实行整体支出绩效目标管理，编报绩效目标的项目</w:t>
      </w:r>
      <w:r>
        <w:rPr>
          <w:rFonts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个，涉及项目支出</w:t>
      </w:r>
      <w:r>
        <w:rPr>
          <w:rFonts w:eastAsia="仿宋_GB2312" w:hint="eastAsia"/>
          <w:sz w:val="32"/>
          <w:szCs w:val="32"/>
        </w:rPr>
        <w:t>14985.43</w:t>
      </w:r>
      <w:r>
        <w:rPr>
          <w:rFonts w:ascii="仿宋_GB2312" w:eastAsia="仿宋_GB2312" w:hint="eastAsia"/>
          <w:sz w:val="32"/>
          <w:szCs w:val="32"/>
        </w:rPr>
        <w:t>万元，其中专项业务费用类项目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万元，基本建设类项目</w:t>
      </w:r>
      <w:r>
        <w:rPr>
          <w:rFonts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14802.9</w:t>
      </w:r>
      <w:r>
        <w:rPr>
          <w:rFonts w:ascii="仿宋_GB2312" w:eastAsia="仿宋_GB2312" w:hint="eastAsia"/>
          <w:sz w:val="32"/>
          <w:szCs w:val="32"/>
        </w:rPr>
        <w:t>万元，对个人和家庭补助类项目</w:t>
      </w:r>
      <w:r>
        <w:rPr>
          <w:rFonts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137.53</w:t>
      </w:r>
      <w:r>
        <w:rPr>
          <w:rFonts w:ascii="仿宋_GB2312" w:eastAsia="仿宋_GB2312" w:hint="eastAsia"/>
          <w:sz w:val="32"/>
          <w:szCs w:val="32"/>
        </w:rPr>
        <w:t>万元，产业发展引导类项目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个，共</w:t>
      </w:r>
      <w:r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万元，全部实行项目支出绩效目标管理。</w:t>
      </w:r>
    </w:p>
    <w:p w:rsidR="00F57C33" w:rsidRDefault="00000000">
      <w:pPr>
        <w:spacing w:line="60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七、专业名词解释</w:t>
      </w:r>
    </w:p>
    <w:p w:rsidR="00F57C33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</w:t>
      </w:r>
      <w:r>
        <w:rPr>
          <w:rFonts w:ascii="仿宋_GB2312" w:eastAsia="仿宋_GB2312" w:hint="eastAsia"/>
          <w:sz w:val="32"/>
          <w:szCs w:val="32"/>
        </w:rPr>
        <w:lastRenderedPageBreak/>
        <w:t>旅费、会议费、福利费、日常维修费、办公用房水电费、办公用房取暖费、办公用房物业管理费、公务用车运行维护费以及其他费用。</w:t>
      </w:r>
    </w:p>
    <w:p w:rsidR="00F57C33" w:rsidRDefault="00000000">
      <w:pPr>
        <w:adjustRightIn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2、“三公”经费：纳入财政预算管理的“三公”经费，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 w:rsidR="00F57C33" w:rsidRDefault="00000000">
      <w:pPr>
        <w:adjustRightIn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3、本部门（单位）的相关专业名词解释。</w:t>
      </w:r>
    </w:p>
    <w:p w:rsidR="00F57C33" w:rsidRDefault="00F57C33">
      <w:pPr>
        <w:adjustRightInd w:val="0"/>
        <w:spacing w:line="600" w:lineRule="exact"/>
        <w:rPr>
          <w:rFonts w:ascii="仿宋_GB2312" w:eastAsia="仿宋_GB2312"/>
          <w:sz w:val="32"/>
          <w:szCs w:val="32"/>
        </w:rPr>
      </w:pPr>
    </w:p>
    <w:p w:rsidR="00F57C33" w:rsidRDefault="00F57C33">
      <w:pPr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F57C33" w:rsidRDefault="00F57C33"/>
    <w:sectPr w:rsidR="00F57C3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56F4" w:rsidRDefault="002D56F4">
      <w:r>
        <w:separator/>
      </w:r>
    </w:p>
  </w:endnote>
  <w:endnote w:type="continuationSeparator" w:id="0">
    <w:p w:rsidR="002D56F4" w:rsidRDefault="002D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C33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F57C33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" filled="f" stroked="f">
              <v:textbox style="mso-fit-shape-to-text:t" inset="0,0,0,0">
                <w:txbxContent>
                  <w:p w:rsidR="00F57C33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C33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F57C33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L4J7OowBAAAu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:rsidR="00F57C33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56F4" w:rsidRDefault="002D56F4">
      <w:r>
        <w:separator/>
      </w:r>
    </w:p>
  </w:footnote>
  <w:footnote w:type="continuationSeparator" w:id="0">
    <w:p w:rsidR="002D56F4" w:rsidRDefault="002D5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U0Mjc3ZDVhOTM0NTczYTJiNzUyZTVkM2Y3OTA1OGQifQ=="/>
  </w:docVars>
  <w:rsids>
    <w:rsidRoot w:val="009D7FB3"/>
    <w:rsid w:val="000024DD"/>
    <w:rsid w:val="000A4994"/>
    <w:rsid w:val="000B64AE"/>
    <w:rsid w:val="00137637"/>
    <w:rsid w:val="002D15E2"/>
    <w:rsid w:val="002D56F4"/>
    <w:rsid w:val="005D5E5B"/>
    <w:rsid w:val="006A0EEE"/>
    <w:rsid w:val="007A5E25"/>
    <w:rsid w:val="007B6803"/>
    <w:rsid w:val="00850E42"/>
    <w:rsid w:val="009968D2"/>
    <w:rsid w:val="009D7FB3"/>
    <w:rsid w:val="00B9532C"/>
    <w:rsid w:val="00BC3679"/>
    <w:rsid w:val="00E92EA2"/>
    <w:rsid w:val="00ED471D"/>
    <w:rsid w:val="00F26A75"/>
    <w:rsid w:val="00F57C33"/>
    <w:rsid w:val="00F669BF"/>
    <w:rsid w:val="07543005"/>
    <w:rsid w:val="0BCF5F38"/>
    <w:rsid w:val="103A226A"/>
    <w:rsid w:val="11800AC9"/>
    <w:rsid w:val="14DF7455"/>
    <w:rsid w:val="188546BA"/>
    <w:rsid w:val="1EAF0D15"/>
    <w:rsid w:val="234C5C0A"/>
    <w:rsid w:val="2ACC4517"/>
    <w:rsid w:val="32D14AC0"/>
    <w:rsid w:val="3A687D17"/>
    <w:rsid w:val="3F84149A"/>
    <w:rsid w:val="422056C1"/>
    <w:rsid w:val="47555055"/>
    <w:rsid w:val="499060D4"/>
    <w:rsid w:val="52F2466F"/>
    <w:rsid w:val="58023023"/>
    <w:rsid w:val="598355C8"/>
    <w:rsid w:val="5BC92DFA"/>
    <w:rsid w:val="5F0441B1"/>
    <w:rsid w:val="612E4AA0"/>
    <w:rsid w:val="63C70247"/>
    <w:rsid w:val="669870E7"/>
    <w:rsid w:val="68AD09A1"/>
    <w:rsid w:val="6EF741BE"/>
    <w:rsid w:val="70F63843"/>
    <w:rsid w:val="780B7492"/>
    <w:rsid w:val="7EE4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FBCE3A87-33F3-4C39-B4E5-B05938C6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annotation text"/>
    <w:basedOn w:val="a"/>
    <w:uiPriority w:val="99"/>
    <w:semiHidden/>
    <w:unhideWhenUsed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3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子萱 康</cp:lastModifiedBy>
  <cp:revision>3</cp:revision>
  <cp:lastPrinted>2022-05-30T08:28:00Z</cp:lastPrinted>
  <dcterms:created xsi:type="dcterms:W3CDTF">2022-05-27T03:45:00Z</dcterms:created>
  <dcterms:modified xsi:type="dcterms:W3CDTF">2023-09-28T14:51:00Z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95735F74DD4344AFADC9DD1DE422C1B8_13</vt:lpwstr>
  </property>
</Properties>
</file>