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40D" w:rsidRDefault="00E4240D">
      <w:pPr>
        <w:pStyle w:val="Default"/>
        <w:jc w:val="center"/>
        <w:rPr>
          <w:sz w:val="56"/>
          <w:szCs w:val="56"/>
        </w:rPr>
      </w:pPr>
    </w:p>
    <w:p w:rsidR="00E4240D" w:rsidRDefault="00E4240D">
      <w:pPr>
        <w:pStyle w:val="Default"/>
        <w:jc w:val="center"/>
        <w:rPr>
          <w:sz w:val="56"/>
          <w:szCs w:val="56"/>
        </w:rPr>
      </w:pPr>
    </w:p>
    <w:p w:rsidR="00E4240D" w:rsidRDefault="00E4240D">
      <w:pPr>
        <w:pStyle w:val="Default"/>
        <w:jc w:val="center"/>
        <w:rPr>
          <w:sz w:val="84"/>
          <w:szCs w:val="84"/>
        </w:rPr>
      </w:pPr>
    </w:p>
    <w:p w:rsidR="00E4240D" w:rsidRDefault="00E4240D">
      <w:pPr>
        <w:pStyle w:val="Default"/>
        <w:jc w:val="center"/>
        <w:rPr>
          <w:sz w:val="84"/>
          <w:szCs w:val="84"/>
        </w:rPr>
      </w:pPr>
    </w:p>
    <w:p w:rsidR="00E4240D" w:rsidRDefault="00095185">
      <w:pPr>
        <w:pStyle w:val="Default"/>
        <w:jc w:val="center"/>
        <w:rPr>
          <w:sz w:val="84"/>
          <w:szCs w:val="84"/>
        </w:rPr>
      </w:pPr>
      <w:r>
        <w:rPr>
          <w:rFonts w:hint="eastAsia"/>
          <w:sz w:val="84"/>
          <w:szCs w:val="84"/>
        </w:rPr>
        <w:t>2020年度</w:t>
      </w:r>
    </w:p>
    <w:p w:rsidR="00E4240D" w:rsidRDefault="00095185">
      <w:pPr>
        <w:pStyle w:val="Default"/>
        <w:jc w:val="center"/>
        <w:rPr>
          <w:sz w:val="84"/>
          <w:szCs w:val="84"/>
        </w:rPr>
      </w:pPr>
      <w:r>
        <w:rPr>
          <w:rFonts w:hint="eastAsia"/>
          <w:sz w:val="84"/>
          <w:szCs w:val="84"/>
        </w:rPr>
        <w:t>鹤城区融媒体中心部门决算</w:t>
      </w:r>
    </w:p>
    <w:p w:rsidR="00E4240D" w:rsidRDefault="00E4240D">
      <w:pPr>
        <w:pStyle w:val="Default"/>
        <w:jc w:val="center"/>
        <w:rPr>
          <w:sz w:val="56"/>
          <w:szCs w:val="56"/>
        </w:rPr>
      </w:pPr>
    </w:p>
    <w:p w:rsidR="00E4240D" w:rsidRDefault="00E4240D">
      <w:pPr>
        <w:pStyle w:val="Default"/>
        <w:jc w:val="center"/>
        <w:rPr>
          <w:sz w:val="56"/>
          <w:szCs w:val="56"/>
        </w:rPr>
      </w:pPr>
    </w:p>
    <w:p w:rsidR="00E4240D" w:rsidRDefault="00E4240D">
      <w:pPr>
        <w:pStyle w:val="Default"/>
        <w:jc w:val="center"/>
        <w:rPr>
          <w:sz w:val="56"/>
          <w:szCs w:val="56"/>
        </w:rPr>
      </w:pPr>
    </w:p>
    <w:p w:rsidR="00E4240D" w:rsidRDefault="00E4240D">
      <w:pPr>
        <w:pStyle w:val="Default"/>
        <w:jc w:val="center"/>
        <w:rPr>
          <w:sz w:val="32"/>
          <w:szCs w:val="32"/>
        </w:rPr>
      </w:pPr>
    </w:p>
    <w:p w:rsidR="00E4240D" w:rsidRDefault="00E4240D">
      <w:pPr>
        <w:pStyle w:val="Default"/>
        <w:jc w:val="center"/>
        <w:rPr>
          <w:sz w:val="32"/>
          <w:szCs w:val="32"/>
        </w:rPr>
      </w:pPr>
    </w:p>
    <w:p w:rsidR="00E4240D" w:rsidRDefault="00E4240D">
      <w:pPr>
        <w:pStyle w:val="Default"/>
        <w:jc w:val="center"/>
        <w:rPr>
          <w:sz w:val="32"/>
          <w:szCs w:val="32"/>
        </w:rPr>
      </w:pPr>
    </w:p>
    <w:p w:rsidR="00E4240D" w:rsidRDefault="00E4240D">
      <w:pPr>
        <w:pStyle w:val="Default"/>
        <w:jc w:val="center"/>
        <w:rPr>
          <w:sz w:val="32"/>
          <w:szCs w:val="32"/>
        </w:rPr>
      </w:pPr>
    </w:p>
    <w:p w:rsidR="00E4240D" w:rsidRDefault="00E4240D">
      <w:pPr>
        <w:pStyle w:val="Default"/>
        <w:jc w:val="center"/>
        <w:rPr>
          <w:sz w:val="32"/>
          <w:szCs w:val="32"/>
        </w:rPr>
      </w:pPr>
    </w:p>
    <w:p w:rsidR="00E4240D" w:rsidRDefault="00E4240D">
      <w:pPr>
        <w:pStyle w:val="Default"/>
        <w:jc w:val="center"/>
        <w:rPr>
          <w:sz w:val="32"/>
          <w:szCs w:val="32"/>
        </w:rPr>
      </w:pPr>
    </w:p>
    <w:p w:rsidR="00E4240D" w:rsidRDefault="00E4240D">
      <w:pPr>
        <w:pStyle w:val="Default"/>
        <w:spacing w:line="540" w:lineRule="exact"/>
        <w:jc w:val="center"/>
        <w:rPr>
          <w:sz w:val="56"/>
          <w:szCs w:val="56"/>
        </w:rPr>
      </w:pPr>
    </w:p>
    <w:p w:rsidR="00E4240D" w:rsidRDefault="00E4240D">
      <w:pPr>
        <w:pStyle w:val="Default"/>
        <w:spacing w:line="500" w:lineRule="exact"/>
        <w:jc w:val="center"/>
        <w:rPr>
          <w:b/>
          <w:sz w:val="36"/>
          <w:szCs w:val="28"/>
        </w:rPr>
      </w:pPr>
    </w:p>
    <w:p w:rsidR="00E4240D" w:rsidRDefault="00E4240D">
      <w:pPr>
        <w:pStyle w:val="Default"/>
        <w:spacing w:line="500" w:lineRule="exact"/>
        <w:jc w:val="center"/>
        <w:rPr>
          <w:b/>
          <w:sz w:val="36"/>
          <w:szCs w:val="28"/>
        </w:rPr>
      </w:pPr>
    </w:p>
    <w:p w:rsidR="00E4240D" w:rsidRDefault="00095185">
      <w:pPr>
        <w:pStyle w:val="Default"/>
        <w:spacing w:line="500" w:lineRule="exact"/>
        <w:jc w:val="center"/>
        <w:rPr>
          <w:b/>
          <w:sz w:val="36"/>
          <w:szCs w:val="28"/>
        </w:rPr>
      </w:pPr>
      <w:r>
        <w:rPr>
          <w:rFonts w:hint="eastAsia"/>
          <w:b/>
          <w:sz w:val="36"/>
          <w:szCs w:val="28"/>
        </w:rPr>
        <w:lastRenderedPageBreak/>
        <w:t>目录</w:t>
      </w:r>
    </w:p>
    <w:p w:rsidR="00E4240D" w:rsidRDefault="00095185">
      <w:pPr>
        <w:pStyle w:val="Default"/>
        <w:spacing w:line="500" w:lineRule="exact"/>
        <w:rPr>
          <w:rFonts w:ascii="仿宋_GB2312" w:hAnsi="仿宋_GB2312" w:cs="仿宋_GB2312"/>
          <w:b/>
          <w:sz w:val="28"/>
          <w:szCs w:val="28"/>
        </w:rPr>
      </w:pPr>
      <w:r>
        <w:rPr>
          <w:rFonts w:hint="eastAsia"/>
          <w:b/>
          <w:sz w:val="28"/>
          <w:szCs w:val="28"/>
        </w:rPr>
        <w:t>第一部分鹤城区融媒体中心概况</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E4240D" w:rsidRDefault="00095185">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E4240D" w:rsidRDefault="00095185">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E4240D" w:rsidRDefault="0009518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E4240D" w:rsidRDefault="00095185">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E4240D" w:rsidRDefault="0009518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E4240D" w:rsidRDefault="0009518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E4240D" w:rsidRDefault="0009518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E4240D" w:rsidRDefault="00095185">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E4240D" w:rsidRDefault="00095185">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rPr>
          <w:sz w:val="72"/>
          <w:szCs w:val="72"/>
        </w:rPr>
      </w:pPr>
    </w:p>
    <w:p w:rsidR="00E4240D" w:rsidRDefault="00095185">
      <w:pPr>
        <w:pStyle w:val="Default"/>
        <w:jc w:val="center"/>
        <w:rPr>
          <w:sz w:val="84"/>
          <w:szCs w:val="84"/>
        </w:rPr>
      </w:pPr>
      <w:r>
        <w:rPr>
          <w:rFonts w:hint="eastAsia"/>
          <w:sz w:val="84"/>
          <w:szCs w:val="84"/>
        </w:rPr>
        <w:t>第一部分</w:t>
      </w:r>
    </w:p>
    <w:p w:rsidR="00E4240D" w:rsidRDefault="00E4240D">
      <w:pPr>
        <w:pStyle w:val="Default"/>
        <w:jc w:val="center"/>
        <w:rPr>
          <w:sz w:val="84"/>
          <w:szCs w:val="84"/>
        </w:rPr>
      </w:pPr>
    </w:p>
    <w:p w:rsidR="00E4240D" w:rsidRDefault="00095185">
      <w:pPr>
        <w:pStyle w:val="Default"/>
        <w:jc w:val="center"/>
        <w:rPr>
          <w:sz w:val="84"/>
          <w:szCs w:val="84"/>
        </w:rPr>
      </w:pPr>
      <w:r>
        <w:rPr>
          <w:rFonts w:hint="eastAsia"/>
          <w:sz w:val="84"/>
          <w:szCs w:val="84"/>
        </w:rPr>
        <w:t>鹤城区融媒体中心概况</w:t>
      </w: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pStyle w:val="a6"/>
        <w:ind w:left="720" w:firstLineChars="0" w:firstLine="0"/>
        <w:jc w:val="left"/>
        <w:rPr>
          <w:rFonts w:ascii="黑体" w:eastAsia="黑体" w:hAnsi="黑体"/>
          <w:sz w:val="32"/>
          <w:szCs w:val="32"/>
        </w:rPr>
      </w:pPr>
    </w:p>
    <w:p w:rsidR="00E4240D" w:rsidRDefault="00E4240D">
      <w:pPr>
        <w:pStyle w:val="a6"/>
        <w:ind w:left="720" w:firstLineChars="0" w:firstLine="0"/>
        <w:jc w:val="left"/>
        <w:rPr>
          <w:rFonts w:ascii="黑体" w:eastAsia="黑体" w:hAnsi="黑体"/>
          <w:sz w:val="32"/>
          <w:szCs w:val="32"/>
        </w:rPr>
      </w:pPr>
    </w:p>
    <w:p w:rsidR="00E4240D" w:rsidRDefault="00E4240D">
      <w:pPr>
        <w:pStyle w:val="a6"/>
        <w:ind w:left="720" w:firstLineChars="0" w:firstLine="0"/>
        <w:jc w:val="left"/>
        <w:rPr>
          <w:rFonts w:ascii="黑体" w:eastAsia="黑体" w:hAnsi="黑体"/>
          <w:sz w:val="32"/>
          <w:szCs w:val="32"/>
        </w:rPr>
      </w:pPr>
    </w:p>
    <w:p w:rsidR="00E4240D" w:rsidRDefault="00095185">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E4240D" w:rsidRDefault="00095185">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1）负责贯彻执行党和国家有关新闻宣传工作的路线、方针、政策，根据国家、省、市相关要求，拟定全区融媒体事业发展规划、计划，经批准后组织实施。（2）全面准确及时宣传党中央决策部署，宣传党的创新理论和社会主义核心价值观，宣传本地党委和政府工作，传播本地政经资讯，巩固宣传思想文化阵地，壮大主流思想舆论。（3）拟订阶段性宣传重点和宣传报道方案，负责典型宣传、热点引导、舆论监督，组织好重大活动和重大事件的宣传报道，开展新闻直播等宣传服务，把握好舆论导向。（4）参与提供政务服务、生活服务、社交传播、教育培训等综合服务；面向人口聚集的大型社区、村镇提供精准化的生活资讯服务；面向社会提供各类群众性文化、体育、科普、公益活动和各类商务、会展、节庆活动组织策划等服务。（5）负责管理所属电视栏目、广播、报纸、网站、客户端、手机报、微信公众号、今日头条号、新湖南鹤城频道、时刻鹤城频道、抖音号等宣传平台。（6）负责贯彻执行行业有关管理规定，加强广播电视节目、网络视听节目、互联网信息的优质安全传输、播出和设备设施安全防范等工作。（7）完成区委、区政府交办的其他任务。</w:t>
      </w:r>
    </w:p>
    <w:p w:rsidR="00E4240D" w:rsidRDefault="00095185">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E4240D" w:rsidRDefault="00095185">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（一）内设机构设置。鹤城区融媒体中心内设机构包括：办公室、总编室、新闻采访部、编辑制作部、技术安全部、活动策划部。</w:t>
      </w:r>
    </w:p>
    <w:p w:rsidR="00E4240D" w:rsidRDefault="00095185">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（二）决算单位构成。鹤城区融媒体中心</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20年部门决算汇总公开单位构成包括：鹤城区融媒体中心本级。</w:t>
      </w:r>
    </w:p>
    <w:p w:rsidR="00E4240D" w:rsidRDefault="00E4240D">
      <w:pPr>
        <w:jc w:val="left"/>
        <w:rPr>
          <w:rFonts w:ascii="仿宋_GB2312" w:eastAsia="仿宋_GB2312" w:hAnsiTheme="minorEastAsia"/>
          <w:sz w:val="28"/>
          <w:szCs w:val="32"/>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rFonts w:ascii="黑体" w:eastAsia="黑体" w:hAnsi="黑体"/>
          <w:sz w:val="28"/>
          <w:szCs w:val="28"/>
        </w:rPr>
      </w:pPr>
    </w:p>
    <w:p w:rsidR="00E4240D" w:rsidRDefault="00E4240D">
      <w:pPr>
        <w:jc w:val="center"/>
        <w:rPr>
          <w:sz w:val="72"/>
          <w:szCs w:val="72"/>
        </w:rPr>
      </w:pPr>
    </w:p>
    <w:p w:rsidR="00E4240D" w:rsidRDefault="00E4240D">
      <w:pPr>
        <w:jc w:val="center"/>
        <w:rPr>
          <w:sz w:val="72"/>
          <w:szCs w:val="72"/>
        </w:rPr>
      </w:pPr>
    </w:p>
    <w:p w:rsidR="00E4240D" w:rsidRDefault="00095185">
      <w:pPr>
        <w:jc w:val="center"/>
        <w:rPr>
          <w:sz w:val="72"/>
          <w:szCs w:val="72"/>
        </w:rPr>
      </w:pPr>
      <w:r>
        <w:rPr>
          <w:rFonts w:hint="eastAsia"/>
          <w:sz w:val="72"/>
          <w:szCs w:val="72"/>
        </w:rPr>
        <w:t>第二部分</w:t>
      </w:r>
    </w:p>
    <w:p w:rsidR="00E4240D" w:rsidRDefault="00E4240D">
      <w:pPr>
        <w:jc w:val="center"/>
        <w:rPr>
          <w:sz w:val="72"/>
          <w:szCs w:val="72"/>
        </w:rPr>
      </w:pPr>
    </w:p>
    <w:p w:rsidR="00E4240D" w:rsidRDefault="00095185">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center"/>
        <w:rPr>
          <w:sz w:val="72"/>
          <w:szCs w:val="72"/>
        </w:rPr>
      </w:pPr>
    </w:p>
    <w:p w:rsidR="00E4240D" w:rsidRDefault="00E4240D">
      <w:pPr>
        <w:jc w:val="left"/>
        <w:rPr>
          <w:sz w:val="32"/>
          <w:szCs w:val="32"/>
        </w:rPr>
      </w:pPr>
    </w:p>
    <w:p w:rsidR="00E4240D" w:rsidRDefault="00E4240D">
      <w:pPr>
        <w:jc w:val="left"/>
        <w:rPr>
          <w:rFonts w:asciiTheme="minorEastAsia" w:hAnsiTheme="minorEastAsia"/>
          <w:sz w:val="32"/>
          <w:szCs w:val="32"/>
        </w:rPr>
        <w:sectPr w:rsidR="00E4240D">
          <w:pgSz w:w="11906" w:h="16838"/>
          <w:pgMar w:top="720" w:right="720" w:bottom="720" w:left="720" w:header="851" w:footer="992" w:gutter="0"/>
          <w:cols w:space="425"/>
          <w:docGrid w:type="lines" w:linePitch="312"/>
        </w:sectPr>
      </w:pPr>
    </w:p>
    <w:p w:rsidR="00E4240D" w:rsidRDefault="00E4240D">
      <w:pPr>
        <w:pStyle w:val="Default"/>
        <w:rPr>
          <w:sz w:val="72"/>
          <w:szCs w:val="72"/>
        </w:rPr>
      </w:pPr>
    </w:p>
    <w:p w:rsidR="00E4240D" w:rsidRDefault="00E4240D">
      <w:pPr>
        <w:pStyle w:val="Default"/>
        <w:rPr>
          <w:sz w:val="72"/>
          <w:szCs w:val="72"/>
        </w:rPr>
      </w:pPr>
    </w:p>
    <w:p w:rsidR="00E4240D" w:rsidRDefault="00E4240D">
      <w:pPr>
        <w:pStyle w:val="Default"/>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095185">
      <w:pPr>
        <w:pStyle w:val="Default"/>
        <w:jc w:val="center"/>
        <w:rPr>
          <w:sz w:val="72"/>
          <w:szCs w:val="72"/>
        </w:rPr>
      </w:pPr>
      <w:r>
        <w:rPr>
          <w:rFonts w:hint="eastAsia"/>
          <w:sz w:val="72"/>
          <w:szCs w:val="72"/>
        </w:rPr>
        <w:t>第三部分</w:t>
      </w:r>
    </w:p>
    <w:p w:rsidR="00E4240D" w:rsidRDefault="00E4240D">
      <w:pPr>
        <w:pStyle w:val="Default"/>
        <w:jc w:val="center"/>
        <w:rPr>
          <w:sz w:val="70"/>
          <w:szCs w:val="70"/>
        </w:rPr>
      </w:pPr>
    </w:p>
    <w:p w:rsidR="00E4240D" w:rsidRDefault="00095185">
      <w:pPr>
        <w:pStyle w:val="Default"/>
        <w:jc w:val="center"/>
        <w:rPr>
          <w:sz w:val="70"/>
          <w:szCs w:val="70"/>
        </w:rPr>
      </w:pPr>
      <w:r>
        <w:rPr>
          <w:sz w:val="70"/>
          <w:szCs w:val="70"/>
        </w:rPr>
        <w:t>20</w:t>
      </w:r>
      <w:r>
        <w:rPr>
          <w:rFonts w:hint="eastAsia"/>
          <w:sz w:val="70"/>
          <w:szCs w:val="70"/>
        </w:rPr>
        <w:t>20年度部门决算情况说明</w:t>
      </w:r>
    </w:p>
    <w:p w:rsidR="00E4240D" w:rsidRDefault="00095185">
      <w:pPr>
        <w:widowControl/>
        <w:jc w:val="left"/>
        <w:rPr>
          <w:rFonts w:ascii="黑体" w:eastAsia="黑体" w:cs="黑体"/>
          <w:color w:val="000000"/>
          <w:kern w:val="0"/>
          <w:sz w:val="70"/>
          <w:szCs w:val="70"/>
        </w:rPr>
      </w:pPr>
      <w:r>
        <w:rPr>
          <w:sz w:val="70"/>
          <w:szCs w:val="70"/>
        </w:rPr>
        <w:br w:type="page"/>
      </w:r>
    </w:p>
    <w:p w:rsidR="00E4240D" w:rsidRDefault="00E4240D">
      <w:pPr>
        <w:pStyle w:val="Default"/>
        <w:rPr>
          <w:rFonts w:asciiTheme="minorEastAsia" w:eastAsiaTheme="minorEastAsia" w:hAnsiTheme="minorEastAsia"/>
          <w:sz w:val="32"/>
          <w:szCs w:val="32"/>
        </w:rPr>
      </w:pPr>
    </w:p>
    <w:p w:rsidR="00E4240D" w:rsidRDefault="00095185">
      <w:pPr>
        <w:pStyle w:val="Default"/>
        <w:rPr>
          <w:rFonts w:hAnsi="黑体"/>
          <w:b/>
          <w:sz w:val="32"/>
          <w:szCs w:val="32"/>
        </w:rPr>
      </w:pPr>
      <w:r>
        <w:rPr>
          <w:rFonts w:hAnsi="黑体" w:hint="eastAsia"/>
          <w:b/>
          <w:sz w:val="32"/>
          <w:szCs w:val="32"/>
        </w:rPr>
        <w:t>一、收入支出决算总体情况说明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2020年度收入合计485.39万元。与上年相比，增加222.89万元，增长84.91%，主要是因为本单位2019年下半年成立，2019年基数小。</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2020年度支出合计449.47万元。与上年相比，增加187.48万元，增长71.56%，主要是因为本单位2019年下半年成立，2019年基数小。</w:t>
      </w:r>
    </w:p>
    <w:p w:rsidR="00E4240D" w:rsidRDefault="00095185">
      <w:pPr>
        <w:pStyle w:val="Default"/>
        <w:rPr>
          <w:rFonts w:hAnsi="黑体"/>
          <w:b/>
          <w:sz w:val="32"/>
          <w:szCs w:val="32"/>
        </w:rPr>
      </w:pPr>
      <w:r>
        <w:rPr>
          <w:rFonts w:hAnsi="黑体" w:hint="eastAsia"/>
          <w:b/>
          <w:sz w:val="32"/>
          <w:szCs w:val="32"/>
        </w:rPr>
        <w:t>二、收入决算情况说明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本年收入合计485.39万元，其中：财政拨款收入485.39万元，占100%；上级补助收入0万元，占0%；事业收入0万元，占0%；经营收入0万元，占0%；附属单位上缴收入0万元，占0%；其他收入0万元，占0%。</w:t>
      </w:r>
    </w:p>
    <w:p w:rsidR="00E4240D" w:rsidRDefault="00095185">
      <w:pPr>
        <w:pStyle w:val="Default"/>
        <w:rPr>
          <w:rFonts w:hAnsi="黑体"/>
          <w:b/>
          <w:sz w:val="32"/>
          <w:szCs w:val="32"/>
        </w:rPr>
      </w:pPr>
      <w:r>
        <w:rPr>
          <w:rFonts w:hAnsi="黑体" w:hint="eastAsia"/>
          <w:b/>
          <w:sz w:val="32"/>
          <w:szCs w:val="32"/>
        </w:rPr>
        <w:t>三、支出决算情况说明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本年支出合计449.47万元，其中：基本支出227.48万元，占50.61%；项目支出221.99万元，占49.39%；上缴上级支出0万元，占0%；经营支出0万元，占0%；对附属单位补助支出0万元，占0%。</w:t>
      </w:r>
    </w:p>
    <w:p w:rsidR="00E4240D" w:rsidRDefault="00095185">
      <w:pPr>
        <w:pStyle w:val="Default"/>
        <w:rPr>
          <w:rFonts w:hAnsi="黑体"/>
          <w:b/>
          <w:sz w:val="32"/>
          <w:szCs w:val="32"/>
        </w:rPr>
      </w:pPr>
      <w:r>
        <w:rPr>
          <w:rFonts w:hAnsi="黑体" w:hint="eastAsia"/>
          <w:b/>
          <w:sz w:val="32"/>
          <w:szCs w:val="32"/>
        </w:rPr>
        <w:t>四、财政拨款收入支出决算总体情况说明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2020年度财政拨款收入总计489.81万元。与上年相比，增加223.4万元，增长83.4%，主要是因为本单位2019年下半年成立，2019年基数小。</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2020年度财政拨款支出总计489.81万元。与上年相比，增加223.4万元，增长83.4%，主要是因为本单位2019年下半年成立，2019年基数小。</w:t>
      </w:r>
    </w:p>
    <w:p w:rsidR="00E4240D" w:rsidRDefault="00095185">
      <w:pPr>
        <w:pStyle w:val="Default"/>
        <w:rPr>
          <w:rFonts w:hAnsi="黑体"/>
          <w:b/>
          <w:sz w:val="32"/>
          <w:szCs w:val="32"/>
        </w:rPr>
      </w:pPr>
      <w:r>
        <w:rPr>
          <w:rFonts w:hAnsi="黑体" w:hint="eastAsia"/>
          <w:b/>
          <w:sz w:val="32"/>
          <w:szCs w:val="32"/>
        </w:rPr>
        <w:t>五、一般公共预算财政拨款支出决算情况说明</w:t>
      </w:r>
    </w:p>
    <w:p w:rsidR="00E4240D" w:rsidRDefault="00095185" w:rsidP="00EA7CB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2020年度财政拨款支出449.47万元，占本年支出合计的100%，与上年相比，财政拨款支出增加187.48万元，增长71.56%，主要是因为本单位2019年下半年成立，2019年基数小。</w:t>
      </w:r>
    </w:p>
    <w:p w:rsidR="00E4240D" w:rsidRDefault="00095185" w:rsidP="00EA7CBB">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2020年度财政拨款支出449.47万元，主要用于以下方面：文化旅游体育与传媒（类）支出423.66万元，占94%；社会保障和就业（类）支出8.41万元，占2%;卫生健康（类）支出17.39万元，占4%。</w:t>
      </w:r>
    </w:p>
    <w:p w:rsidR="00E4240D" w:rsidRDefault="00095185" w:rsidP="00EA7CBB">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2020年度财政拨款支出年初预算数为369.56万元，支出决算数为449.47万元，完成年初预算的121.62%，其中：</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1、文化旅游体育与传媒支出（类）广播电视（款）电视（项）。</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年初预算为0万元，支出决算为4.42万元，完成年初预算的100%，决算数大于年初预算数的主要原因是：追加的专项资金。</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2、文化旅游体育与传媒支出（类）其他文化旅游体育与传媒支出（款）其他文化旅游体育与传媒支出（项）。</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年初预算为347.76万元，支出决算为419.24万元，完成年初预算的120.55%，决算数大于年初预算数的主要原因是：追加了预算。</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3、社会保障和就业支出（类）行政事业单位养老支出（款）机关事业单位基本养老保险缴费支出（项）。</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年初预算为9.69万元，支出决算为8.41万元，完成年初预算的86.79%，决算数小于年初预算数的主要原因是：计算基数不一致。</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4、卫生健康支出（类）公共卫生（款）突发公共卫生事件应急处理（项）。</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年初预算为0万元，支出决算为12.01万元，完成年初预算的100%，决算数大于年初预算数的主要原因是：突发疫情下拨资金。</w:t>
      </w:r>
      <w:bookmarkStart w:id="0" w:name="_GoBack"/>
      <w:bookmarkEnd w:id="0"/>
    </w:p>
    <w:p w:rsidR="00E4240D" w:rsidRDefault="00095185">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卫生健康支出（类）行政事业单位医疗（款）事业单位医疗（项）。</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年初预算为4.85万元，支出决算为5.39万元，完成年初预算的111%，决算数大于年初预算数的主要原因是：计算基数不一致。</w:t>
      </w:r>
    </w:p>
    <w:p w:rsidR="00E4240D" w:rsidRDefault="00095185">
      <w:pPr>
        <w:pStyle w:val="Default"/>
        <w:rPr>
          <w:rFonts w:hAnsi="黑体"/>
          <w:b/>
          <w:sz w:val="32"/>
          <w:szCs w:val="32"/>
        </w:rPr>
      </w:pPr>
      <w:r>
        <w:rPr>
          <w:rFonts w:hAnsi="黑体" w:hint="eastAsia"/>
          <w:b/>
          <w:sz w:val="32"/>
          <w:szCs w:val="32"/>
        </w:rPr>
        <w:lastRenderedPageBreak/>
        <w:t>六、一般公共预算财政拨款基本支出决算情况说明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227.48万元，其中：人员经费170.58万元，占基本支出的75%,主要包括基本工资、津贴补贴、奖金、伙食补助费、机关事业单位基本养老保险缴费、其他社会保障缴费等；公用经费56.9万元，占基本支出的25%，主要包括办公费、印刷费、电费、邮电费、差旅费、会议费、培训费、公务接待费、专用材料费等。</w:t>
      </w:r>
    </w:p>
    <w:p w:rsidR="00E4240D" w:rsidRDefault="00095185">
      <w:pPr>
        <w:pStyle w:val="Default"/>
        <w:rPr>
          <w:rFonts w:hAnsi="黑体"/>
          <w:b/>
          <w:sz w:val="32"/>
          <w:szCs w:val="32"/>
        </w:rPr>
      </w:pPr>
      <w:r>
        <w:rPr>
          <w:rFonts w:hAnsi="黑体" w:hint="eastAsia"/>
          <w:b/>
          <w:sz w:val="32"/>
          <w:szCs w:val="32"/>
        </w:rPr>
        <w:t>七、一般公共预算财政拨款三公经费支出决算情况说明</w:t>
      </w:r>
    </w:p>
    <w:p w:rsidR="00E4240D" w:rsidRDefault="0009518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“三公”经费财政拨款支出预算为2万元，支出决算为0.24万元，完成预算的12%，其中：</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因公出国（境）费支出预算为0万元，支出决算为0万元，完成预算的0%，决算数与预算数持平，与上年相比持平。</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公务接待费支出预算为2万元，支出决算为0.24万元，完成预算的12%，决算数小于预算数的主要原因是严格控制三公经费，与上年相比增加0.13万元，增长124%,增长的主要原因是我单位2019年度成立，上年度基数小。</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公务用车购置费及运行维护费支出预算为0万元，支出决算为0万元，完成预算的0%，决算数与预算数持平，与上年相比持平。</w:t>
      </w:r>
    </w:p>
    <w:p w:rsidR="00E4240D" w:rsidRDefault="0009518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2020年度“三公”经费财政拨款支出决算中，公务接待费支出决算0.24万元，占100%,因公出国（境）费支出决算0万元，占0%,公务用车购置费及运行维护费支出决算0万元，占0%。其中：</w:t>
      </w:r>
    </w:p>
    <w:p w:rsidR="00E4240D" w:rsidRDefault="00095185">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1、因公出国（境）费支出决算为0万元，全年安排因公出国（境）团组0个，累计0人次,开支内容包括：</w:t>
      </w:r>
    </w:p>
    <w:p w:rsidR="00E4240D" w:rsidRDefault="0009518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2、公务接待费支出决算为0万元，全年共接待来访团组4个、来宾35</w:t>
      </w:r>
      <w:r>
        <w:rPr>
          <w:rFonts w:asciiTheme="minorEastAsia" w:eastAsiaTheme="minorEastAsia" w:hAnsiTheme="minorEastAsia" w:hint="eastAsia"/>
          <w:sz w:val="32"/>
          <w:szCs w:val="32"/>
        </w:rPr>
        <w:lastRenderedPageBreak/>
        <w:t>人次，主要是公务交流发生的接待支出。</w:t>
      </w:r>
    </w:p>
    <w:p w:rsidR="00E4240D" w:rsidRDefault="00095185">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3、公务用车购置费及运行维护费支出决算为0万元，其中：公务用车购置费0万元，鹤城区融媒体中心更新公务用车0辆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公务用车运行维护费0万元，截止2020年12月31日，我单位开支财政拨款的公务用车保有量为0辆。</w:t>
      </w:r>
    </w:p>
    <w:p w:rsidR="00E4240D" w:rsidRDefault="00095185">
      <w:pPr>
        <w:pStyle w:val="Default"/>
        <w:rPr>
          <w:rFonts w:hAnsi="黑体"/>
          <w:b/>
          <w:sz w:val="32"/>
          <w:szCs w:val="32"/>
        </w:rPr>
      </w:pPr>
      <w:r>
        <w:rPr>
          <w:rFonts w:hAnsi="黑体" w:hint="eastAsia"/>
          <w:b/>
          <w:sz w:val="32"/>
          <w:szCs w:val="32"/>
        </w:rPr>
        <w:t>八、政府性基金预算收入支出决算情况</w:t>
      </w:r>
    </w:p>
    <w:p w:rsidR="00E4240D" w:rsidRDefault="00095185">
      <w:pPr>
        <w:pStyle w:val="Default"/>
        <w:rPr>
          <w:rFonts w:asciiTheme="minorEastAsia" w:eastAsiaTheme="minorEastAsia" w:hAnsiTheme="minorEastAsia" w:cstheme="minorBidi"/>
          <w:color w:val="auto"/>
          <w:kern w:val="2"/>
          <w:sz w:val="32"/>
          <w:szCs w:val="32"/>
        </w:rPr>
      </w:pPr>
      <w:r>
        <w:rPr>
          <w:rFonts w:asciiTheme="minorEastAsia" w:eastAsiaTheme="minorEastAsia" w:hAnsiTheme="minorEastAsia" w:cstheme="minorBidi" w:hint="eastAsia"/>
          <w:color w:val="auto"/>
          <w:kern w:val="2"/>
          <w:sz w:val="32"/>
          <w:szCs w:val="32"/>
        </w:rPr>
        <w:t xml:space="preserve">     本单位无政府性基金收支。</w:t>
      </w:r>
    </w:p>
    <w:p w:rsidR="00E4240D" w:rsidRDefault="00095185">
      <w:pPr>
        <w:pStyle w:val="Default"/>
        <w:rPr>
          <w:rFonts w:hAnsi="黑体"/>
          <w:b/>
          <w:sz w:val="32"/>
          <w:szCs w:val="32"/>
        </w:rPr>
      </w:pPr>
      <w:r>
        <w:rPr>
          <w:rFonts w:hAnsi="黑体" w:hint="eastAsia"/>
          <w:b/>
          <w:sz w:val="32"/>
          <w:szCs w:val="32"/>
        </w:rPr>
        <w:t>九、关于机关运行经费支出说明</w:t>
      </w:r>
    </w:p>
    <w:p w:rsidR="00E4240D" w:rsidRDefault="00095185">
      <w:pPr>
        <w:ind w:firstLineChars="200" w:firstLine="640"/>
        <w:rPr>
          <w:sz w:val="32"/>
          <w:szCs w:val="32"/>
        </w:rPr>
      </w:pPr>
      <w:r>
        <w:rPr>
          <w:rFonts w:asciiTheme="minorEastAsia" w:hAnsiTheme="minorEastAsia" w:cs="黑体" w:hint="eastAsia"/>
          <w:color w:val="000000"/>
          <w:kern w:val="0"/>
          <w:sz w:val="32"/>
          <w:szCs w:val="32"/>
        </w:rPr>
        <w:t>本部门2020 年度机关运行经费支出0万元，</w:t>
      </w:r>
      <w:r>
        <w:rPr>
          <w:rFonts w:hint="eastAsia"/>
          <w:sz w:val="32"/>
          <w:szCs w:val="32"/>
        </w:rPr>
        <w:t>本单位为事业单位，无机关运行费。</w:t>
      </w:r>
    </w:p>
    <w:p w:rsidR="00E4240D" w:rsidRDefault="00095185">
      <w:pPr>
        <w:pStyle w:val="Default"/>
        <w:rPr>
          <w:rFonts w:hAnsi="黑体"/>
          <w:b/>
          <w:sz w:val="32"/>
          <w:szCs w:val="32"/>
        </w:rPr>
      </w:pPr>
      <w:r>
        <w:rPr>
          <w:rFonts w:hAnsi="黑体" w:hint="eastAsia"/>
          <w:b/>
          <w:sz w:val="32"/>
          <w:szCs w:val="32"/>
        </w:rPr>
        <w:t>十、一般性支出情况</w:t>
      </w:r>
    </w:p>
    <w:p w:rsidR="00E4240D" w:rsidRDefault="00095185">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年本部门开支会议费0.16万元，用于召开业务培训会议，人数31人，内容为无人机拍摄培训；开支培训费0.29万元，用于开展业务技能培训，人数31人，内容为摄像机、相机拍摄、照片调色等技能培训；无举办等节庆、晚会、论坛、赛事活动。</w:t>
      </w:r>
    </w:p>
    <w:p w:rsidR="00E4240D" w:rsidRDefault="00095185">
      <w:pPr>
        <w:pStyle w:val="Default"/>
        <w:rPr>
          <w:rFonts w:hAnsi="黑体"/>
          <w:b/>
          <w:sz w:val="32"/>
          <w:szCs w:val="32"/>
        </w:rPr>
      </w:pPr>
      <w:r>
        <w:rPr>
          <w:rFonts w:hAnsi="黑体" w:hint="eastAsia"/>
          <w:b/>
          <w:sz w:val="32"/>
          <w:szCs w:val="32"/>
        </w:rPr>
        <w:t>十一、关于政府采购支出说明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rsidR="00E4240D" w:rsidRDefault="00095185">
      <w:pPr>
        <w:pStyle w:val="Default"/>
        <w:rPr>
          <w:rFonts w:hAnsi="黑体"/>
          <w:b/>
          <w:sz w:val="32"/>
          <w:szCs w:val="32"/>
        </w:rPr>
      </w:pPr>
      <w:r>
        <w:rPr>
          <w:rFonts w:hAnsi="黑体" w:hint="eastAsia"/>
          <w:b/>
          <w:sz w:val="32"/>
          <w:szCs w:val="32"/>
        </w:rPr>
        <w:t>十二、关于国有资产占用情况说明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w:t>
      </w:r>
      <w:r>
        <w:rPr>
          <w:rFonts w:asciiTheme="minorEastAsia" w:eastAsiaTheme="minorEastAsia" w:hAnsiTheme="minorEastAsia" w:hint="eastAsia"/>
          <w:sz w:val="32"/>
          <w:szCs w:val="32"/>
        </w:rPr>
        <w:lastRenderedPageBreak/>
        <w:t>价值100万元以上专用设备0台（套）。</w:t>
      </w:r>
    </w:p>
    <w:p w:rsidR="00E4240D" w:rsidRDefault="00095185">
      <w:pPr>
        <w:pStyle w:val="Default"/>
        <w:rPr>
          <w:rFonts w:hAnsi="黑体"/>
          <w:b/>
          <w:sz w:val="32"/>
          <w:szCs w:val="32"/>
        </w:rPr>
      </w:pPr>
      <w:r>
        <w:rPr>
          <w:rFonts w:hAnsi="黑体" w:hint="eastAsia"/>
          <w:b/>
          <w:sz w:val="32"/>
          <w:szCs w:val="32"/>
        </w:rPr>
        <w:t>十三、关于2020年度预算绩效情况的说明</w:t>
      </w:r>
    </w:p>
    <w:p w:rsidR="00E4240D" w:rsidRDefault="000951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本部门2020年按财政局要求认真开展落实绩效管理工作，切实完成年度绩效目标和绩效评价工作。自评报告见附件。</w:t>
      </w:r>
    </w:p>
    <w:p w:rsidR="00E4240D" w:rsidRDefault="00E4240D">
      <w:pPr>
        <w:pStyle w:val="Default"/>
        <w:rPr>
          <w:rFonts w:hAnsi="黑体"/>
          <w:b/>
          <w:sz w:val="32"/>
          <w:szCs w:val="3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095185">
      <w:pPr>
        <w:pStyle w:val="Default"/>
        <w:jc w:val="center"/>
        <w:rPr>
          <w:sz w:val="72"/>
          <w:szCs w:val="72"/>
        </w:rPr>
      </w:pPr>
      <w:r>
        <w:rPr>
          <w:rFonts w:hint="eastAsia"/>
          <w:sz w:val="72"/>
          <w:szCs w:val="72"/>
        </w:rPr>
        <w:t>第四部分</w:t>
      </w:r>
    </w:p>
    <w:p w:rsidR="00E4240D" w:rsidRDefault="00E4240D">
      <w:pPr>
        <w:jc w:val="center"/>
        <w:rPr>
          <w:rFonts w:ascii="黑体" w:eastAsia="黑体" w:cs="黑体"/>
          <w:color w:val="000000"/>
          <w:kern w:val="0"/>
          <w:sz w:val="70"/>
          <w:szCs w:val="70"/>
        </w:rPr>
      </w:pPr>
    </w:p>
    <w:p w:rsidR="00E4240D" w:rsidRDefault="00095185">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E4240D" w:rsidRDefault="0009518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4240D" w:rsidRDefault="00E4240D">
      <w:pPr>
        <w:ind w:firstLineChars="200" w:firstLine="640"/>
        <w:jc w:val="left"/>
        <w:rPr>
          <w:rFonts w:asciiTheme="minorEastAsia" w:hAnsiTheme="minorEastAsia" w:cs="黑体"/>
          <w:color w:val="000000"/>
          <w:kern w:val="0"/>
          <w:sz w:val="32"/>
          <w:szCs w:val="32"/>
        </w:rPr>
      </w:pPr>
    </w:p>
    <w:p w:rsidR="00E4240D" w:rsidRDefault="00095185">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E4240D" w:rsidRDefault="00095185">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E4240D">
      <w:pPr>
        <w:pStyle w:val="Default"/>
        <w:jc w:val="center"/>
        <w:rPr>
          <w:sz w:val="72"/>
          <w:szCs w:val="72"/>
        </w:rPr>
      </w:pPr>
    </w:p>
    <w:p w:rsidR="00E4240D" w:rsidRDefault="00095185">
      <w:pPr>
        <w:pStyle w:val="Default"/>
        <w:jc w:val="center"/>
        <w:rPr>
          <w:sz w:val="72"/>
          <w:szCs w:val="72"/>
        </w:rPr>
      </w:pPr>
      <w:r>
        <w:rPr>
          <w:rFonts w:hint="eastAsia"/>
          <w:sz w:val="72"/>
          <w:szCs w:val="72"/>
        </w:rPr>
        <w:t>第五部分</w:t>
      </w:r>
    </w:p>
    <w:p w:rsidR="00E4240D" w:rsidRDefault="00E4240D">
      <w:pPr>
        <w:jc w:val="center"/>
        <w:rPr>
          <w:rFonts w:ascii="黑体" w:eastAsia="黑体" w:cs="黑体"/>
          <w:color w:val="000000"/>
          <w:kern w:val="0"/>
          <w:sz w:val="70"/>
          <w:szCs w:val="70"/>
        </w:rPr>
      </w:pPr>
    </w:p>
    <w:p w:rsidR="00E4240D" w:rsidRDefault="00095185">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4240D" w:rsidRDefault="0009518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4240D" w:rsidRDefault="00E4240D">
      <w:pPr>
        <w:jc w:val="center"/>
        <w:rPr>
          <w:rFonts w:ascii="黑体" w:eastAsia="黑体" w:cs="黑体"/>
          <w:color w:val="000000"/>
          <w:kern w:val="0"/>
          <w:sz w:val="70"/>
          <w:szCs w:val="70"/>
        </w:rPr>
      </w:pPr>
    </w:p>
    <w:p w:rsidR="00E4240D" w:rsidRDefault="00095185" w:rsidP="00EA7CBB">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E4240D" w:rsidRDefault="0009518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E4240D" w:rsidRDefault="0009518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1.</w:t>
      </w:r>
      <w:r>
        <w:rPr>
          <w:rFonts w:ascii="Times New Roman" w:eastAsia="黑体" w:hAnsi="Times New Roman" w:hint="eastAsia"/>
          <w:sz w:val="32"/>
          <w:szCs w:val="32"/>
        </w:rPr>
        <w:t>部门职责</w:t>
      </w:r>
    </w:p>
    <w:p w:rsidR="00E4240D" w:rsidRDefault="00095185">
      <w:pPr>
        <w:widowControl/>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）负责贯彻执行党和国家有关新闻宣传工作的路线、方针、政策，根据国家、省、市相关要求，拟定全区融媒体事业发展规划、计划，经批准后组织实施。（</w:t>
      </w:r>
      <w:r>
        <w:rPr>
          <w:rFonts w:eastAsia="仿宋_GB2312" w:hint="eastAsia"/>
          <w:sz w:val="32"/>
          <w:szCs w:val="32"/>
        </w:rPr>
        <w:t>2</w:t>
      </w:r>
      <w:r>
        <w:rPr>
          <w:rFonts w:eastAsia="仿宋_GB2312" w:hint="eastAsia"/>
          <w:sz w:val="32"/>
          <w:szCs w:val="32"/>
        </w:rPr>
        <w:t>）全面准确及时宣传党中央决策部署，宣传党的创新理论和社会主义核心价值观，宣传本地党委和政府工作，传播本地政经资讯，巩固宣传思想文化阵地，壮大主流思想舆论。（</w:t>
      </w:r>
      <w:r>
        <w:rPr>
          <w:rFonts w:eastAsia="仿宋_GB2312" w:hint="eastAsia"/>
          <w:sz w:val="32"/>
          <w:szCs w:val="32"/>
        </w:rPr>
        <w:t>3</w:t>
      </w:r>
      <w:r>
        <w:rPr>
          <w:rFonts w:eastAsia="仿宋_GB2312" w:hint="eastAsia"/>
          <w:sz w:val="32"/>
          <w:szCs w:val="32"/>
        </w:rPr>
        <w:t>）拟订阶段性宣传重点和宣传报道方案，负责典型宣传、热点引导、舆论监督，组织好重大活动和重大事件的宣传报道，开展新闻直播等宣传服务，把握好舆论导向。（</w:t>
      </w:r>
      <w:r>
        <w:rPr>
          <w:rFonts w:eastAsia="仿宋_GB2312" w:hint="eastAsia"/>
          <w:sz w:val="32"/>
          <w:szCs w:val="32"/>
        </w:rPr>
        <w:t>4</w:t>
      </w:r>
      <w:r>
        <w:rPr>
          <w:rFonts w:eastAsia="仿宋_GB2312" w:hint="eastAsia"/>
          <w:sz w:val="32"/>
          <w:szCs w:val="32"/>
        </w:rPr>
        <w:t>）参与提供政务服务、生活服务、社交传播、教育培训等综合服务；面向人口聚集的大型社区、村镇提供精准化的生活资讯服务；面向社会提供各类群众性文化、体育、科普、公益活动和各类商务、会展、节庆活动组织策划等服务。（</w:t>
      </w:r>
      <w:r>
        <w:rPr>
          <w:rFonts w:eastAsia="仿宋_GB2312" w:hint="eastAsia"/>
          <w:sz w:val="32"/>
          <w:szCs w:val="32"/>
        </w:rPr>
        <w:t>5</w:t>
      </w:r>
      <w:r>
        <w:rPr>
          <w:rFonts w:eastAsia="仿宋_GB2312" w:hint="eastAsia"/>
          <w:sz w:val="32"/>
          <w:szCs w:val="32"/>
        </w:rPr>
        <w:t>）负责管理所属电视栏目、广播、报纸、网站、客户端、手机报、微信公众号、今日头条号、新湖南鹤城频道、时刻鹤城频道、抖音号等宣传平台。（</w:t>
      </w:r>
      <w:r>
        <w:rPr>
          <w:rFonts w:eastAsia="仿宋_GB2312" w:hint="eastAsia"/>
          <w:sz w:val="32"/>
          <w:szCs w:val="32"/>
        </w:rPr>
        <w:t>6</w:t>
      </w:r>
      <w:r>
        <w:rPr>
          <w:rFonts w:eastAsia="仿宋_GB2312" w:hint="eastAsia"/>
          <w:sz w:val="32"/>
          <w:szCs w:val="32"/>
        </w:rPr>
        <w:t>）负责贯彻执行行业有关管理规定，加强广播电视节目、网络视听节目、互联网信息的优质安全传输、播出和设备设施安全防范等工作。（</w:t>
      </w:r>
      <w:r>
        <w:rPr>
          <w:rFonts w:eastAsia="仿宋_GB2312" w:hint="eastAsia"/>
          <w:sz w:val="32"/>
          <w:szCs w:val="32"/>
        </w:rPr>
        <w:t>7</w:t>
      </w:r>
      <w:r>
        <w:rPr>
          <w:rFonts w:eastAsia="仿宋_GB2312" w:hint="eastAsia"/>
          <w:sz w:val="32"/>
          <w:szCs w:val="32"/>
        </w:rPr>
        <w:t>）完成区委、区政府交办的其他任务。</w:t>
      </w:r>
    </w:p>
    <w:p w:rsidR="00E4240D" w:rsidRDefault="00095185">
      <w:pPr>
        <w:pStyle w:val="a6"/>
        <w:widowControl/>
        <w:spacing w:line="600" w:lineRule="exact"/>
        <w:ind w:left="640" w:firstLineChars="0" w:firstLine="0"/>
        <w:rPr>
          <w:rFonts w:ascii="Times New Roman" w:eastAsia="黑体" w:hAnsi="Times New Roman"/>
          <w:sz w:val="32"/>
          <w:szCs w:val="32"/>
        </w:rPr>
      </w:pPr>
      <w:r>
        <w:rPr>
          <w:rFonts w:ascii="黑体" w:eastAsia="黑体" w:hAnsi="黑体" w:hint="eastAsia"/>
          <w:bCs/>
          <w:kern w:val="0"/>
          <w:sz w:val="32"/>
          <w:szCs w:val="32"/>
        </w:rPr>
        <w:t>2.机构设置及人员编制</w:t>
      </w:r>
    </w:p>
    <w:p w:rsidR="00E4240D" w:rsidRDefault="00095185">
      <w:pPr>
        <w:widowControl/>
        <w:spacing w:line="600" w:lineRule="exact"/>
        <w:ind w:firstLineChars="200" w:firstLine="640"/>
        <w:jc w:val="left"/>
        <w:rPr>
          <w:rFonts w:eastAsia="仿宋_GB2312"/>
          <w:sz w:val="32"/>
          <w:szCs w:val="32"/>
        </w:rPr>
      </w:pPr>
      <w:r>
        <w:rPr>
          <w:rFonts w:eastAsia="仿宋_GB2312" w:hint="eastAsia"/>
          <w:sz w:val="32"/>
          <w:szCs w:val="32"/>
        </w:rPr>
        <w:t>鹤城区融媒体中心内设机构包括：办公室、总编室、新闻采访部、编辑制作部、技术安全部、活动策划部。</w:t>
      </w:r>
      <w:r>
        <w:rPr>
          <w:rFonts w:eastAsia="仿宋_GB2312" w:hint="eastAsia"/>
          <w:sz w:val="32"/>
          <w:szCs w:val="32"/>
        </w:rPr>
        <w:t>2020</w:t>
      </w:r>
      <w:r>
        <w:rPr>
          <w:rFonts w:eastAsia="仿宋_GB2312" w:hint="eastAsia"/>
          <w:sz w:val="32"/>
          <w:szCs w:val="32"/>
        </w:rPr>
        <w:t>年底人员编制</w:t>
      </w:r>
      <w:r>
        <w:rPr>
          <w:rFonts w:eastAsia="仿宋_GB2312" w:hint="eastAsia"/>
          <w:sz w:val="32"/>
          <w:szCs w:val="32"/>
        </w:rPr>
        <w:t>14</w:t>
      </w:r>
      <w:r>
        <w:rPr>
          <w:rFonts w:eastAsia="仿宋_GB2312" w:hint="eastAsia"/>
          <w:sz w:val="32"/>
          <w:szCs w:val="32"/>
        </w:rPr>
        <w:t>个，其中</w:t>
      </w:r>
      <w:r>
        <w:rPr>
          <w:rFonts w:eastAsia="仿宋_GB2312" w:hint="eastAsia"/>
          <w:sz w:val="32"/>
          <w:szCs w:val="32"/>
        </w:rPr>
        <w:t>2</w:t>
      </w:r>
      <w:r>
        <w:rPr>
          <w:rFonts w:eastAsia="仿宋_GB2312" w:hint="eastAsia"/>
          <w:sz w:val="32"/>
          <w:szCs w:val="32"/>
        </w:rPr>
        <w:t>个参公事业编，</w:t>
      </w:r>
      <w:r>
        <w:rPr>
          <w:rFonts w:eastAsia="仿宋_GB2312" w:hint="eastAsia"/>
          <w:sz w:val="32"/>
          <w:szCs w:val="32"/>
        </w:rPr>
        <w:t>12</w:t>
      </w:r>
      <w:r>
        <w:rPr>
          <w:rFonts w:eastAsia="仿宋_GB2312" w:hint="eastAsia"/>
          <w:sz w:val="32"/>
          <w:szCs w:val="32"/>
        </w:rPr>
        <w:t>个事业编制；在职人员</w:t>
      </w:r>
      <w:r>
        <w:rPr>
          <w:rFonts w:eastAsia="仿宋_GB2312" w:hint="eastAsia"/>
          <w:sz w:val="32"/>
          <w:szCs w:val="32"/>
        </w:rPr>
        <w:t>14</w:t>
      </w:r>
      <w:r>
        <w:rPr>
          <w:rFonts w:eastAsia="仿宋_GB2312" w:hint="eastAsia"/>
          <w:sz w:val="32"/>
          <w:szCs w:val="32"/>
        </w:rPr>
        <w:t>个，其中</w:t>
      </w:r>
      <w:r>
        <w:rPr>
          <w:rFonts w:eastAsia="仿宋_GB2312" w:hint="eastAsia"/>
          <w:sz w:val="32"/>
          <w:szCs w:val="32"/>
        </w:rPr>
        <w:t>2</w:t>
      </w:r>
      <w:r>
        <w:rPr>
          <w:rFonts w:eastAsia="仿宋_GB2312" w:hint="eastAsia"/>
          <w:sz w:val="32"/>
          <w:szCs w:val="32"/>
        </w:rPr>
        <w:t>个参公事业编，</w:t>
      </w:r>
      <w:r>
        <w:rPr>
          <w:rFonts w:eastAsia="仿宋_GB2312" w:hint="eastAsia"/>
          <w:sz w:val="32"/>
          <w:szCs w:val="32"/>
        </w:rPr>
        <w:t>12</w:t>
      </w:r>
      <w:r>
        <w:rPr>
          <w:rFonts w:eastAsia="仿宋_GB2312" w:hint="eastAsia"/>
          <w:sz w:val="32"/>
          <w:szCs w:val="32"/>
        </w:rPr>
        <w:t>个事业编制。</w:t>
      </w:r>
    </w:p>
    <w:p w:rsidR="00E4240D" w:rsidRDefault="0009518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E4240D" w:rsidRDefault="0009518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lastRenderedPageBreak/>
        <w:t>（一）</w:t>
      </w:r>
      <w:r>
        <w:rPr>
          <w:rFonts w:ascii="Times New Roman" w:eastAsia="黑体" w:hAnsi="Times New Roman"/>
          <w:sz w:val="32"/>
          <w:szCs w:val="32"/>
        </w:rPr>
        <w:t>基本支出情况</w:t>
      </w:r>
    </w:p>
    <w:p w:rsidR="00E4240D" w:rsidRDefault="00095185">
      <w:pPr>
        <w:widowControl/>
        <w:shd w:val="clear" w:color="auto" w:fill="FFFFFF"/>
        <w:spacing w:line="600" w:lineRule="atLeast"/>
        <w:ind w:firstLine="640"/>
        <w:rPr>
          <w:rFonts w:ascii="仿宋" w:eastAsia="仿宋" w:hAnsi="仿宋" w:cs="Times New Roman"/>
          <w:spacing w:val="-2"/>
          <w:sz w:val="32"/>
          <w:szCs w:val="32"/>
        </w:rPr>
      </w:pPr>
      <w:r>
        <w:rPr>
          <w:rFonts w:ascii="仿宋" w:eastAsia="仿宋" w:hAnsi="仿宋" w:cs="Times New Roman" w:hint="eastAsia"/>
          <w:spacing w:val="-2"/>
          <w:sz w:val="32"/>
          <w:szCs w:val="32"/>
        </w:rPr>
        <w:t>基本支出主要用于保障单位机构正常运转、完成日常工作任务而发生的各项支出金额，主要包括工资福利支出、商品和服务支出、资本性支出。其中：</w:t>
      </w:r>
    </w:p>
    <w:p w:rsidR="00E4240D" w:rsidRDefault="00095185">
      <w:pPr>
        <w:widowControl/>
        <w:numPr>
          <w:ilvl w:val="0"/>
          <w:numId w:val="3"/>
        </w:numPr>
        <w:shd w:val="clear" w:color="auto" w:fill="FFFFFF"/>
        <w:spacing w:line="600" w:lineRule="atLeast"/>
        <w:ind w:firstLine="640"/>
        <w:rPr>
          <w:rFonts w:ascii="仿宋" w:eastAsia="仿宋" w:hAnsi="仿宋" w:cs="Times New Roman"/>
          <w:spacing w:val="-2"/>
          <w:sz w:val="32"/>
          <w:szCs w:val="32"/>
        </w:rPr>
      </w:pPr>
      <w:r>
        <w:rPr>
          <w:rFonts w:ascii="仿宋" w:eastAsia="仿宋" w:hAnsi="仿宋" w:cs="Times New Roman" w:hint="eastAsia"/>
          <w:spacing w:val="-2"/>
          <w:sz w:val="32"/>
          <w:szCs w:val="32"/>
        </w:rPr>
        <w:t>资福利支出170.58万元，主要包括：基本工资、津贴补贴、奖金、其他社会保障缴费、机关事业单位基本养老保险缴费、其他工资福利支出。</w:t>
      </w:r>
    </w:p>
    <w:p w:rsidR="00E4240D" w:rsidRDefault="00095185">
      <w:pPr>
        <w:widowControl/>
        <w:numPr>
          <w:ilvl w:val="0"/>
          <w:numId w:val="3"/>
        </w:numPr>
        <w:shd w:val="clear" w:color="auto" w:fill="FFFFFF"/>
        <w:spacing w:line="600" w:lineRule="atLeast"/>
        <w:ind w:firstLine="640"/>
        <w:rPr>
          <w:rFonts w:ascii="仿宋" w:eastAsia="仿宋" w:hAnsi="仿宋" w:cs="Times New Roman"/>
          <w:spacing w:val="-2"/>
          <w:sz w:val="32"/>
          <w:szCs w:val="32"/>
        </w:rPr>
      </w:pPr>
      <w:r>
        <w:rPr>
          <w:rFonts w:ascii="仿宋" w:eastAsia="仿宋" w:hAnsi="仿宋" w:cs="Times New Roman" w:hint="eastAsia"/>
          <w:spacing w:val="-2"/>
          <w:sz w:val="32"/>
          <w:szCs w:val="32"/>
        </w:rPr>
        <w:t>商品和服务支出54.56</w:t>
      </w:r>
      <w:r>
        <w:rPr>
          <w:rFonts w:ascii="仿宋" w:eastAsia="仿宋" w:hAnsi="仿宋" w:cs="Times New Roman"/>
          <w:spacing w:val="-2"/>
          <w:sz w:val="32"/>
          <w:szCs w:val="32"/>
        </w:rPr>
        <w:t>元，主要包括</w:t>
      </w:r>
      <w:r>
        <w:rPr>
          <w:rFonts w:ascii="仿宋" w:eastAsia="仿宋" w:hAnsi="仿宋" w:cs="Times New Roman" w:hint="eastAsia"/>
          <w:spacing w:val="-2"/>
          <w:sz w:val="32"/>
          <w:szCs w:val="32"/>
        </w:rPr>
        <w:t>：</w:t>
      </w:r>
      <w:r>
        <w:rPr>
          <w:rFonts w:ascii="仿宋" w:eastAsia="仿宋" w:hAnsi="仿宋" w:cs="Times New Roman"/>
          <w:spacing w:val="-2"/>
          <w:sz w:val="32"/>
          <w:szCs w:val="32"/>
        </w:rPr>
        <w:t>办公费、印刷费、邮电费、差旅费、维修（护）费、培训费、公务接待费、劳务费、福利费、其他商品和服务支出</w:t>
      </w:r>
      <w:r>
        <w:rPr>
          <w:rFonts w:ascii="仿宋" w:eastAsia="仿宋" w:hAnsi="仿宋" w:cs="Times New Roman" w:hint="eastAsia"/>
          <w:spacing w:val="-2"/>
          <w:sz w:val="32"/>
          <w:szCs w:val="32"/>
        </w:rPr>
        <w:t>等</w:t>
      </w:r>
      <w:r>
        <w:rPr>
          <w:rFonts w:ascii="仿宋" w:eastAsia="仿宋" w:hAnsi="仿宋" w:cs="Times New Roman"/>
          <w:spacing w:val="-2"/>
          <w:sz w:val="32"/>
          <w:szCs w:val="32"/>
        </w:rPr>
        <w:t>。</w:t>
      </w:r>
    </w:p>
    <w:p w:rsidR="00E4240D" w:rsidRDefault="00095185">
      <w:pPr>
        <w:widowControl/>
        <w:numPr>
          <w:ilvl w:val="0"/>
          <w:numId w:val="3"/>
        </w:numPr>
        <w:shd w:val="clear" w:color="auto" w:fill="FFFFFF"/>
        <w:spacing w:line="600" w:lineRule="atLeast"/>
        <w:ind w:firstLine="640"/>
        <w:rPr>
          <w:rFonts w:ascii="仿宋" w:eastAsia="仿宋" w:hAnsi="仿宋" w:cs="Times New Roman"/>
          <w:spacing w:val="-2"/>
          <w:sz w:val="32"/>
          <w:szCs w:val="32"/>
        </w:rPr>
      </w:pPr>
      <w:r>
        <w:rPr>
          <w:rFonts w:ascii="仿宋" w:eastAsia="仿宋" w:hAnsi="仿宋" w:cs="Times New Roman" w:hint="eastAsia"/>
          <w:spacing w:val="-2"/>
          <w:sz w:val="32"/>
          <w:szCs w:val="32"/>
        </w:rPr>
        <w:t>资本性支出2.35万元，主要是办公设备的购置。</w:t>
      </w:r>
    </w:p>
    <w:p w:rsidR="00E4240D" w:rsidRDefault="0009518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E4240D" w:rsidRDefault="00095185">
      <w:pPr>
        <w:pStyle w:val="a6"/>
        <w:widowControl/>
        <w:spacing w:line="600" w:lineRule="exact"/>
        <w:ind w:left="640" w:firstLineChars="0" w:firstLine="0"/>
        <w:jc w:val="left"/>
        <w:rPr>
          <w:rFonts w:eastAsia="仿宋_GB2312"/>
          <w:sz w:val="32"/>
          <w:szCs w:val="32"/>
        </w:rPr>
      </w:pPr>
      <w:r>
        <w:rPr>
          <w:rFonts w:eastAsia="仿宋_GB2312" w:hint="eastAsia"/>
          <w:sz w:val="32"/>
          <w:szCs w:val="32"/>
        </w:rPr>
        <w:t>2020</w:t>
      </w:r>
      <w:r>
        <w:rPr>
          <w:rFonts w:eastAsia="仿宋_GB2312" w:hint="eastAsia"/>
          <w:sz w:val="32"/>
          <w:szCs w:val="32"/>
        </w:rPr>
        <w:t>年度无专项支出</w:t>
      </w:r>
    </w:p>
    <w:p w:rsidR="00E4240D" w:rsidRDefault="0009518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E4240D" w:rsidRDefault="00095185">
      <w:pPr>
        <w:pStyle w:val="a6"/>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年度无政府性基金预算支出</w:t>
      </w:r>
    </w:p>
    <w:p w:rsidR="00E4240D" w:rsidRDefault="0009518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E4240D" w:rsidRDefault="00095185">
      <w:pPr>
        <w:pStyle w:val="a6"/>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年度无国有资本经营预算支出</w:t>
      </w:r>
    </w:p>
    <w:p w:rsidR="00E4240D" w:rsidRDefault="0009518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E4240D" w:rsidRDefault="00095185">
      <w:pPr>
        <w:pStyle w:val="a6"/>
        <w:widowControl/>
        <w:spacing w:line="600" w:lineRule="exact"/>
        <w:ind w:left="640" w:firstLineChars="0" w:firstLine="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年度无社会保险基金预算支出</w:t>
      </w:r>
    </w:p>
    <w:p w:rsidR="00E4240D" w:rsidRDefault="00095185">
      <w:pPr>
        <w:widowControl/>
        <w:spacing w:line="600" w:lineRule="exact"/>
        <w:ind w:firstLine="645"/>
        <w:jc w:val="left"/>
        <w:rPr>
          <w:rFonts w:eastAsia="黑体"/>
          <w:sz w:val="32"/>
          <w:szCs w:val="32"/>
        </w:rPr>
      </w:pPr>
      <w:r>
        <w:rPr>
          <w:rFonts w:eastAsia="黑体"/>
          <w:sz w:val="32"/>
          <w:szCs w:val="32"/>
        </w:rPr>
        <w:t>六、部门整体支出绩效情况</w:t>
      </w:r>
    </w:p>
    <w:p w:rsidR="00E4240D" w:rsidRDefault="00095185">
      <w:pPr>
        <w:widowControl/>
        <w:spacing w:line="600" w:lineRule="exact"/>
        <w:ind w:firstLine="645"/>
        <w:jc w:val="left"/>
        <w:rPr>
          <w:rFonts w:eastAsia="仿宋_GB2312"/>
          <w:color w:val="000000"/>
          <w:sz w:val="32"/>
          <w:szCs w:val="32"/>
        </w:rPr>
      </w:pPr>
      <w:r>
        <w:rPr>
          <w:rFonts w:eastAsia="仿宋_GB2312" w:hint="eastAsia"/>
          <w:color w:val="000000"/>
          <w:sz w:val="32"/>
          <w:szCs w:val="32"/>
        </w:rPr>
        <w:t>我单位</w:t>
      </w:r>
      <w:r>
        <w:rPr>
          <w:rFonts w:eastAsia="仿宋_GB2312" w:hint="eastAsia"/>
          <w:color w:val="000000"/>
          <w:sz w:val="32"/>
          <w:szCs w:val="32"/>
        </w:rPr>
        <w:t>2019</w:t>
      </w:r>
      <w:r>
        <w:rPr>
          <w:rFonts w:eastAsia="仿宋_GB2312" w:hint="eastAsia"/>
          <w:color w:val="000000"/>
          <w:sz w:val="32"/>
          <w:szCs w:val="32"/>
        </w:rPr>
        <w:t>年整体支出</w:t>
      </w:r>
      <w:r>
        <w:rPr>
          <w:rFonts w:eastAsia="仿宋_GB2312" w:hint="eastAsia"/>
          <w:color w:val="000000"/>
          <w:sz w:val="32"/>
          <w:szCs w:val="32"/>
        </w:rPr>
        <w:t>261.99</w:t>
      </w:r>
      <w:r>
        <w:rPr>
          <w:rFonts w:eastAsia="仿宋_GB2312" w:hint="eastAsia"/>
          <w:color w:val="000000"/>
          <w:sz w:val="32"/>
          <w:szCs w:val="32"/>
        </w:rPr>
        <w:t>万元，</w:t>
      </w:r>
      <w:r>
        <w:rPr>
          <w:rFonts w:eastAsia="仿宋_GB2312" w:hint="eastAsia"/>
          <w:color w:val="000000"/>
          <w:sz w:val="32"/>
          <w:szCs w:val="32"/>
        </w:rPr>
        <w:t>2020</w:t>
      </w:r>
      <w:r>
        <w:rPr>
          <w:rFonts w:eastAsia="仿宋_GB2312" w:hint="eastAsia"/>
          <w:color w:val="000000"/>
          <w:sz w:val="32"/>
          <w:szCs w:val="32"/>
        </w:rPr>
        <w:t>年整体支出</w:t>
      </w:r>
      <w:r>
        <w:rPr>
          <w:rFonts w:eastAsia="仿宋_GB2312" w:hint="eastAsia"/>
          <w:color w:val="000000"/>
          <w:sz w:val="32"/>
          <w:szCs w:val="32"/>
        </w:rPr>
        <w:t>449.47</w:t>
      </w:r>
      <w:r>
        <w:rPr>
          <w:rFonts w:eastAsia="仿宋_GB2312" w:hint="eastAsia"/>
          <w:color w:val="000000"/>
          <w:sz w:val="32"/>
          <w:szCs w:val="32"/>
        </w:rPr>
        <w:t>万元，整体支出增加幅度较大主要是因为我单位于</w:t>
      </w:r>
      <w:r>
        <w:rPr>
          <w:rFonts w:eastAsia="仿宋_GB2312" w:hint="eastAsia"/>
          <w:color w:val="000000"/>
          <w:sz w:val="32"/>
          <w:szCs w:val="32"/>
        </w:rPr>
        <w:t>2019</w:t>
      </w:r>
      <w:r>
        <w:rPr>
          <w:rFonts w:eastAsia="仿宋_GB2312" w:hint="eastAsia"/>
          <w:color w:val="000000"/>
          <w:sz w:val="32"/>
          <w:szCs w:val="32"/>
        </w:rPr>
        <w:t>年</w:t>
      </w:r>
      <w:r>
        <w:rPr>
          <w:rFonts w:eastAsia="仿宋_GB2312" w:hint="eastAsia"/>
          <w:color w:val="000000"/>
          <w:sz w:val="32"/>
          <w:szCs w:val="32"/>
        </w:rPr>
        <w:t>3</w:t>
      </w:r>
      <w:r>
        <w:rPr>
          <w:rFonts w:eastAsia="仿宋_GB2312" w:hint="eastAsia"/>
          <w:color w:val="000000"/>
          <w:sz w:val="32"/>
          <w:szCs w:val="32"/>
        </w:rPr>
        <w:t>月设立，</w:t>
      </w:r>
      <w:r>
        <w:rPr>
          <w:rFonts w:eastAsia="仿宋_GB2312"/>
          <w:color w:val="000000"/>
          <w:sz w:val="32"/>
          <w:szCs w:val="32"/>
        </w:rPr>
        <w:t>运行成本</w:t>
      </w:r>
      <w:r>
        <w:rPr>
          <w:rFonts w:eastAsia="仿宋_GB2312" w:hint="eastAsia"/>
          <w:color w:val="000000"/>
          <w:sz w:val="32"/>
          <w:szCs w:val="32"/>
        </w:rPr>
        <w:t>增加较大。</w:t>
      </w:r>
    </w:p>
    <w:p w:rsidR="00E4240D" w:rsidRDefault="00095185">
      <w:pPr>
        <w:widowControl/>
        <w:spacing w:line="600" w:lineRule="exact"/>
        <w:ind w:firstLine="645"/>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在提高</w:t>
      </w:r>
      <w:r>
        <w:rPr>
          <w:rFonts w:eastAsia="仿宋_GB2312"/>
          <w:color w:val="000000"/>
          <w:sz w:val="32"/>
          <w:szCs w:val="32"/>
        </w:rPr>
        <w:t>管理效率</w:t>
      </w:r>
      <w:r>
        <w:rPr>
          <w:rFonts w:eastAsia="仿宋_GB2312" w:hint="eastAsia"/>
          <w:color w:val="000000"/>
          <w:sz w:val="32"/>
          <w:szCs w:val="32"/>
        </w:rPr>
        <w:t>方面，</w:t>
      </w:r>
      <w:r>
        <w:rPr>
          <w:rFonts w:ascii="仿宋_GB2312" w:eastAsia="仿宋_GB2312" w:hAnsi="仿宋_GB2312" w:cs="仿宋_GB2312" w:hint="eastAsia"/>
          <w:sz w:val="32"/>
          <w:szCs w:val="32"/>
        </w:rPr>
        <w:t>实行扁平化管理。推行管理和业务双轨制，主任会和编委会各司其职，分别抓好党的建设、重大决策、经营创收和媒体宣传工作。优化策、采、编、发、评、营流程，探索构建编委会统一指挥</w:t>
      </w:r>
      <w:r>
        <w:rPr>
          <w:rFonts w:ascii="仿宋_GB2312" w:eastAsia="仿宋_GB2312" w:hAnsi="仿宋_GB2312" w:cs="仿宋_GB2312" w:hint="eastAsia"/>
          <w:sz w:val="32"/>
          <w:szCs w:val="32"/>
        </w:rPr>
        <w:lastRenderedPageBreak/>
        <w:t>调度下的“业务部室+工作组”工作体制，从各部室遴选骨干组建专题、重点报道、直播、短视频等4个专门工作小组，实行领导班子成员轮流带班调度指挥和分工联系宣传平台、工作组机制，建立记者编辑包片联系街道乡镇工作机制，组建涵盖全区机关企事业单位、村、社区、扶贫工作队的通讯员队伍，推动采编业务融合，形成管理扁平化、功能集成化、产品融媒化、经营多元化的管理格局。健全制度体系坚持用制度约束人、用考核激励人，积极开展规范化建设，出台《岗位管理和绩效考核办法》、《“策采编发评”业务流程》《节目三审制度》《差错责任追究制度》《稿酬管理办法》《外宣上稿、获奖作品奖励办法》《经营服务管理暂行办法》等业务管理制度和《三重一大制度》《财务管理制度》《工作保障制度》《设备管理制度》《保密制度》等内务管理制度。实行以强化绩效为核心的事业单位管理机制，坚持“同工同酬、盘活存量、增加增量、多劳多得、优劳优得”原则，对聘用人员采用五星级薪酬制度，实行不定星级到五星级六档工资，鼓励在编人员参与星级评定，全面激发工作活力。</w:t>
      </w:r>
    </w:p>
    <w:p w:rsidR="00E4240D" w:rsidRDefault="00095185">
      <w:pPr>
        <w:spacing w:line="560" w:lineRule="exact"/>
        <w:ind w:firstLineChars="200" w:firstLine="640"/>
        <w:jc w:val="left"/>
        <w:rPr>
          <w:rFonts w:ascii="仿宋" w:eastAsia="仿宋" w:hAnsi="仿宋"/>
          <w:sz w:val="32"/>
          <w:szCs w:val="32"/>
        </w:rPr>
      </w:pPr>
      <w:r>
        <w:rPr>
          <w:rFonts w:ascii="仿宋_GB2312" w:eastAsia="仿宋_GB2312" w:hAnsi="仿宋_GB2312" w:cs="仿宋_GB2312" w:hint="eastAsia"/>
          <w:sz w:val="32"/>
          <w:szCs w:val="32"/>
        </w:rPr>
        <w:t>打造多媒介全方位新闻发布平台。“鹤城融媒”APP首设新闻和电视广播板块，新闻板块建有头条、推荐、视听、图说、专题、文旅、学习、文明实践、鹤城国防等频道，电视广播板块设有今日鹤城、鹤农新声、直播、外媒、访谈频道，每天24小时50条次以上的即时滚动编发。打造贴近用户的便民服务平台。深度对接党务政务商务便民生活等服务，专设“服务”板块和“教育”板块，政务服务涵盖湖南政务服务网怀化市鹤城区政务服务旗舰店全部个人办事和法人办事功能，教育板块涵盖教育审批、学籍查询、成绩查询、教师招聘、通知公告、政策文件等政务服务内容；便民服务设置水费、电费、快递、发票、火车、航班、社保、公积金查询等贴近生活的服务内容。打造服务社会治理的综合信息平台。在新闻板块开设发布、问政两个政务频道，全平台开通评论并及时回复，全区各级各部门发布部门职责、办事指南、公示公告等信息，广大网友进行咨询、建议、投</w:t>
      </w:r>
      <w:r>
        <w:rPr>
          <w:rFonts w:ascii="仿宋_GB2312" w:eastAsia="仿宋_GB2312" w:hAnsi="仿宋_GB2312" w:cs="仿宋_GB2312" w:hint="eastAsia"/>
          <w:sz w:val="32"/>
          <w:szCs w:val="32"/>
        </w:rPr>
        <w:lastRenderedPageBreak/>
        <w:t>诉、举报、监督并向书记信箱、区长信箱写信。区融媒体中心及时收集网上舆情信息反馈给网信部门，初步实现“网上听民意，网下解民忧”。建设“鹤城圈”“我要发布”等互动平台，组织开展直播带货、“随手拍”、抖音创作大赛、微信创作大赛等活动，打通各社区、村及小区、院落、圈群信息渠道网络，整合优势资源，强化平台承载能力。始终坚持内容立媒，坚持内容为王、移动优先、用户思维，坚持做原创、精品、深度、本土的内容，切实提升融媒核心竞争力。强化专题策划，力推系列报道，深耕精品力作，打造王牌栏目，做好“真抓实干在鹤城”“决战决胜脱贫攻坚·鹤城印记”“重点项目建设·百日大会站”“走向我们的小康生活”“小鹤小城嗨鹤城”等重点策划报道；完成外宣央媒上稿83篇、省媒上稿161篇、市媒上稿430余篇，</w:t>
      </w:r>
      <w:r>
        <w:rPr>
          <w:rFonts w:ascii="仿宋_GB2312" w:eastAsia="仿宋_GB2312" w:hAnsi="仿宋_GB2312" w:cs="仿宋_GB2312" w:hint="eastAsia"/>
          <w:color w:val="000000"/>
          <w:sz w:val="32"/>
          <w:szCs w:val="32"/>
        </w:rPr>
        <w:t>连续多个月在怀化广播、电视类节目上稿综合排名全市第一</w:t>
      </w:r>
      <w:r>
        <w:rPr>
          <w:rFonts w:ascii="仿宋_GB2312" w:eastAsia="仿宋_GB2312" w:hAnsi="仿宋_GB2312" w:cs="仿宋_GB2312" w:hint="eastAsia"/>
          <w:sz w:val="32"/>
          <w:szCs w:val="32"/>
        </w:rPr>
        <w:t>；“鹤鹤有鸣”抖音总播放量过3.3亿、总点赞565万</w:t>
      </w:r>
      <w:r>
        <w:rPr>
          <w:rFonts w:ascii="仿宋" w:eastAsia="仿宋" w:hAnsi="仿宋" w:hint="eastAsia"/>
          <w:sz w:val="32"/>
          <w:szCs w:val="32"/>
        </w:rPr>
        <w:t>+</w:t>
      </w:r>
      <w:r>
        <w:rPr>
          <w:rFonts w:ascii="仿宋_GB2312" w:eastAsia="仿宋_GB2312" w:hAnsi="仿宋_GB2312" w:cs="仿宋_GB2312" w:hint="eastAsia"/>
          <w:sz w:val="32"/>
          <w:szCs w:val="32"/>
        </w:rPr>
        <w:t>，播放量4000万+作品3条、1000万+作品1条、100万+作品18条、10万+作品62条，另有4条作品登上微博热搜榜，</w:t>
      </w:r>
      <w:r>
        <w:rPr>
          <w:rFonts w:ascii="仿宋" w:eastAsia="仿宋" w:hAnsi="仿宋" w:hint="eastAsia"/>
          <w:sz w:val="32"/>
          <w:szCs w:val="32"/>
        </w:rPr>
        <w:t>点击播放量均为数千万；人物报道《21岁女教师一人撑起乡村小学#孩子们：离不开她》让秦缘老师成为网红；鹤城融媒APP自2018年12月上线以来累计发稿41526条，总点击量6577万次，篇均点击量1500次，100万+阅读量稿件2篇。</w:t>
      </w:r>
    </w:p>
    <w:p w:rsidR="00E4240D" w:rsidRDefault="0009518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E4240D" w:rsidRDefault="00095185">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预算安排不够精准，主要是因为我单位成立不久，各业务单位衔接不够紧密，资金预算衔接不到位。</w:t>
      </w:r>
    </w:p>
    <w:p w:rsidR="00E4240D" w:rsidRDefault="00095185">
      <w:pPr>
        <w:widowControl/>
        <w:spacing w:line="600" w:lineRule="exact"/>
        <w:ind w:firstLineChars="200" w:firstLine="640"/>
        <w:jc w:val="left"/>
        <w:rPr>
          <w:rFonts w:eastAsia="黑体"/>
          <w:sz w:val="32"/>
          <w:szCs w:val="32"/>
        </w:rPr>
      </w:pPr>
      <w:r>
        <w:rPr>
          <w:rFonts w:eastAsia="黑体"/>
          <w:sz w:val="32"/>
          <w:szCs w:val="32"/>
        </w:rPr>
        <w:t>八、下一步改进措施</w:t>
      </w:r>
    </w:p>
    <w:p w:rsidR="00E4240D" w:rsidRDefault="00095185">
      <w:pPr>
        <w:spacing w:line="560" w:lineRule="exact"/>
        <w:ind w:firstLineChars="200" w:firstLine="64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加强对预算法的学习，结合业务实际安排资金预算。</w:t>
      </w:r>
    </w:p>
    <w:p w:rsidR="00E4240D" w:rsidRDefault="00095185">
      <w:pPr>
        <w:widowControl/>
        <w:spacing w:line="600" w:lineRule="exact"/>
        <w:ind w:firstLineChars="200" w:firstLine="640"/>
        <w:jc w:val="left"/>
        <w:rPr>
          <w:rFonts w:eastAsia="黑体"/>
          <w:sz w:val="32"/>
          <w:szCs w:val="32"/>
        </w:rPr>
      </w:pPr>
      <w:r>
        <w:rPr>
          <w:rFonts w:eastAsia="黑体" w:hint="eastAsia"/>
          <w:sz w:val="32"/>
          <w:szCs w:val="32"/>
        </w:rPr>
        <w:t>九、</w:t>
      </w:r>
      <w:r>
        <w:rPr>
          <w:rFonts w:eastAsia="黑体"/>
          <w:sz w:val="32"/>
          <w:szCs w:val="32"/>
        </w:rPr>
        <w:t>其他需要说明的情况</w:t>
      </w:r>
    </w:p>
    <w:p w:rsidR="00E4240D" w:rsidRDefault="00095185">
      <w:pPr>
        <w:widowControl/>
        <w:spacing w:line="600" w:lineRule="exact"/>
        <w:ind w:firstLine="645"/>
        <w:jc w:val="left"/>
        <w:rPr>
          <w:rFonts w:eastAsia="仿宋_GB2312"/>
          <w:sz w:val="32"/>
          <w:szCs w:val="32"/>
        </w:rPr>
      </w:pPr>
      <w:r>
        <w:rPr>
          <w:rFonts w:eastAsia="仿宋_GB2312" w:hint="eastAsia"/>
          <w:sz w:val="32"/>
          <w:szCs w:val="32"/>
        </w:rPr>
        <w:t>无其他需要说明的情况。</w:t>
      </w:r>
    </w:p>
    <w:p w:rsidR="00E4240D" w:rsidRDefault="00E4240D">
      <w:pPr>
        <w:ind w:firstLineChars="200" w:firstLine="640"/>
        <w:jc w:val="left"/>
        <w:rPr>
          <w:rFonts w:asciiTheme="minorEastAsia" w:hAnsiTheme="minorEastAsia" w:cs="黑体"/>
          <w:color w:val="000000"/>
          <w:kern w:val="0"/>
          <w:sz w:val="32"/>
          <w:szCs w:val="32"/>
        </w:rPr>
      </w:pPr>
    </w:p>
    <w:sectPr w:rsidR="00E4240D" w:rsidSect="00E4240D">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52C" w:rsidRDefault="00BB352C" w:rsidP="00EA7CBB">
      <w:r>
        <w:separator/>
      </w:r>
    </w:p>
  </w:endnote>
  <w:endnote w:type="continuationSeparator" w:id="1">
    <w:p w:rsidR="00BB352C" w:rsidRDefault="00BB352C" w:rsidP="00EA7C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52C" w:rsidRDefault="00BB352C" w:rsidP="00EA7CBB">
      <w:r>
        <w:separator/>
      </w:r>
    </w:p>
  </w:footnote>
  <w:footnote w:type="continuationSeparator" w:id="1">
    <w:p w:rsidR="00BB352C" w:rsidRDefault="00BB352C" w:rsidP="00EA7C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22FB0C"/>
    <w:multiLevelType w:val="singleLevel"/>
    <w:tmpl w:val="CD22FB0C"/>
    <w:lvl w:ilvl="0">
      <w:start w:val="5"/>
      <w:numFmt w:val="decimal"/>
      <w:suff w:val="nothing"/>
      <w:lvlText w:val="%1、"/>
      <w:lvlJc w:val="left"/>
    </w:lvl>
  </w:abstractNum>
  <w:abstractNum w:abstractNumId="1">
    <w:nsid w:val="EC1508DD"/>
    <w:multiLevelType w:val="singleLevel"/>
    <w:tmpl w:val="EC1508DD"/>
    <w:lvl w:ilvl="0">
      <w:start w:val="1"/>
      <w:numFmt w:val="decimal"/>
      <w:suff w:val="nothing"/>
      <w:lvlText w:val="%1、"/>
      <w:lvlJc w:val="left"/>
      <w:pPr>
        <w:ind w:left="-10"/>
      </w:p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9518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B489D"/>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352C"/>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4240D"/>
    <w:rsid w:val="00E509F6"/>
    <w:rsid w:val="00E55B68"/>
    <w:rsid w:val="00E67BE6"/>
    <w:rsid w:val="00E8683C"/>
    <w:rsid w:val="00EA2B72"/>
    <w:rsid w:val="00EA7CBB"/>
    <w:rsid w:val="00F74360"/>
    <w:rsid w:val="00FB462F"/>
    <w:rsid w:val="00FE16FA"/>
    <w:rsid w:val="00FE328A"/>
    <w:rsid w:val="00FE6269"/>
    <w:rsid w:val="096F021A"/>
    <w:rsid w:val="0DD5000F"/>
    <w:rsid w:val="0E8B328C"/>
    <w:rsid w:val="115F47D3"/>
    <w:rsid w:val="11B21512"/>
    <w:rsid w:val="135823FC"/>
    <w:rsid w:val="13AF0E80"/>
    <w:rsid w:val="14B933A2"/>
    <w:rsid w:val="14D81A17"/>
    <w:rsid w:val="15CB50AD"/>
    <w:rsid w:val="16234A63"/>
    <w:rsid w:val="16C67BBB"/>
    <w:rsid w:val="183C5F24"/>
    <w:rsid w:val="18937573"/>
    <w:rsid w:val="1C190253"/>
    <w:rsid w:val="1FEC5409"/>
    <w:rsid w:val="248554F5"/>
    <w:rsid w:val="25E437F6"/>
    <w:rsid w:val="269B7931"/>
    <w:rsid w:val="2A932D0B"/>
    <w:rsid w:val="324A67D9"/>
    <w:rsid w:val="3F365B96"/>
    <w:rsid w:val="403C73DE"/>
    <w:rsid w:val="48CD2541"/>
    <w:rsid w:val="4C513990"/>
    <w:rsid w:val="50844E71"/>
    <w:rsid w:val="537579C7"/>
    <w:rsid w:val="53C92486"/>
    <w:rsid w:val="562857E6"/>
    <w:rsid w:val="583D6D23"/>
    <w:rsid w:val="58930237"/>
    <w:rsid w:val="59AE192B"/>
    <w:rsid w:val="5D27711D"/>
    <w:rsid w:val="5E453F24"/>
    <w:rsid w:val="61253AAD"/>
    <w:rsid w:val="64DF3A09"/>
    <w:rsid w:val="65EF58E2"/>
    <w:rsid w:val="6AE7401A"/>
    <w:rsid w:val="6D077984"/>
    <w:rsid w:val="6DD47236"/>
    <w:rsid w:val="759D08DC"/>
    <w:rsid w:val="76C73B28"/>
    <w:rsid w:val="772A394D"/>
    <w:rsid w:val="79D542E3"/>
    <w:rsid w:val="7C262897"/>
    <w:rsid w:val="7E6218D5"/>
    <w:rsid w:val="7F351B85"/>
    <w:rsid w:val="7F3639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4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4240D"/>
    <w:rPr>
      <w:sz w:val="18"/>
      <w:szCs w:val="18"/>
    </w:rPr>
  </w:style>
  <w:style w:type="paragraph" w:styleId="a4">
    <w:name w:val="footer"/>
    <w:basedOn w:val="a"/>
    <w:link w:val="Char0"/>
    <w:uiPriority w:val="99"/>
    <w:unhideWhenUsed/>
    <w:qFormat/>
    <w:rsid w:val="00E4240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424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E4240D"/>
    <w:rPr>
      <w:sz w:val="18"/>
      <w:szCs w:val="18"/>
    </w:rPr>
  </w:style>
  <w:style w:type="character" w:customStyle="1" w:styleId="Char0">
    <w:name w:val="页脚 Char"/>
    <w:basedOn w:val="a0"/>
    <w:link w:val="a4"/>
    <w:uiPriority w:val="99"/>
    <w:rsid w:val="00E4240D"/>
    <w:rPr>
      <w:sz w:val="18"/>
      <w:szCs w:val="18"/>
    </w:rPr>
  </w:style>
  <w:style w:type="paragraph" w:customStyle="1" w:styleId="Default">
    <w:name w:val="Default"/>
    <w:qFormat/>
    <w:rsid w:val="00E4240D"/>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E4240D"/>
    <w:pPr>
      <w:ind w:firstLineChars="200" w:firstLine="420"/>
    </w:pPr>
  </w:style>
  <w:style w:type="character" w:customStyle="1" w:styleId="Char">
    <w:name w:val="批注框文本 Char"/>
    <w:basedOn w:val="a0"/>
    <w:link w:val="a3"/>
    <w:uiPriority w:val="99"/>
    <w:semiHidden/>
    <w:qFormat/>
    <w:rsid w:val="00E424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1059</Words>
  <Characters>6039</Characters>
  <Application>Microsoft Office Word</Application>
  <DocSecurity>0</DocSecurity>
  <Lines>50</Lines>
  <Paragraphs>14</Paragraphs>
  <ScaleCrop>false</ScaleCrop>
  <Company>Microsoft</Company>
  <LinksUpToDate>false</LinksUpToDate>
  <CharactersWithSpaces>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2021-10-11T08:00:00Z</dcterms:created>
  <dcterms:modified xsi:type="dcterms:W3CDTF">2021-10-11T08:00:00Z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738D39909F7C4386870510A68DCCF9F9</vt:lpwstr>
  </property>
</Properties>
</file>