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both"/>
        <w:rPr>
          <w:sz w:val="56"/>
          <w:szCs w:val="56"/>
        </w:rPr>
      </w:pPr>
    </w:p>
    <w:p>
      <w:pPr>
        <w:pStyle w:val="11"/>
        <w:jc w:val="both"/>
        <w:rPr>
          <w:sz w:val="56"/>
          <w:szCs w:val="56"/>
        </w:rPr>
      </w:pPr>
    </w:p>
    <w:p>
      <w:pPr>
        <w:pStyle w:val="11"/>
        <w:jc w:val="both"/>
        <w:rPr>
          <w:sz w:val="84"/>
          <w:szCs w:val="84"/>
        </w:rPr>
      </w:pPr>
    </w:p>
    <w:p>
      <w:pPr>
        <w:pStyle w:val="11"/>
        <w:jc w:val="both"/>
        <w:rPr>
          <w:sz w:val="84"/>
          <w:szCs w:val="84"/>
        </w:rPr>
      </w:pPr>
    </w:p>
    <w:p>
      <w:pPr>
        <w:pStyle w:val="11"/>
        <w:jc w:val="center"/>
        <w:rPr>
          <w:sz w:val="84"/>
          <w:szCs w:val="84"/>
        </w:rPr>
      </w:pPr>
      <w:r>
        <w:rPr>
          <w:rFonts w:hint="eastAsia"/>
          <w:sz w:val="84"/>
          <w:szCs w:val="84"/>
        </w:rPr>
        <w:t>2020年度</w:t>
      </w:r>
    </w:p>
    <w:p>
      <w:pPr>
        <w:pStyle w:val="11"/>
        <w:jc w:val="center"/>
        <w:rPr>
          <w:sz w:val="84"/>
          <w:szCs w:val="84"/>
        </w:rPr>
      </w:pPr>
      <w:r>
        <w:rPr>
          <w:rFonts w:hint="eastAsia"/>
          <w:sz w:val="84"/>
          <w:szCs w:val="84"/>
          <w:lang w:val="en-US" w:eastAsia="zh-CN"/>
        </w:rPr>
        <w:t>鹤城区统计局</w:t>
      </w:r>
      <w:r>
        <w:rPr>
          <w:rFonts w:hint="eastAsia"/>
          <w:sz w:val="84"/>
          <w:szCs w:val="84"/>
        </w:rPr>
        <w:t>部门决算</w:t>
      </w:r>
    </w:p>
    <w:p>
      <w:pPr>
        <w:pStyle w:val="11"/>
        <w:jc w:val="both"/>
        <w:rPr>
          <w:sz w:val="56"/>
          <w:szCs w:val="56"/>
        </w:rPr>
      </w:pPr>
    </w:p>
    <w:p>
      <w:pPr>
        <w:pStyle w:val="11"/>
        <w:jc w:val="both"/>
        <w:rPr>
          <w:sz w:val="56"/>
          <w:szCs w:val="56"/>
        </w:rPr>
      </w:pPr>
    </w:p>
    <w:p>
      <w:pPr>
        <w:pStyle w:val="11"/>
        <w:jc w:val="both"/>
        <w:rPr>
          <w:sz w:val="56"/>
          <w:szCs w:val="56"/>
        </w:rPr>
      </w:pPr>
    </w:p>
    <w:p>
      <w:pPr>
        <w:pStyle w:val="11"/>
        <w:jc w:val="both"/>
        <w:rPr>
          <w:sz w:val="56"/>
          <w:szCs w:val="56"/>
        </w:rPr>
      </w:pPr>
    </w:p>
    <w:p>
      <w:pPr>
        <w:pStyle w:val="11"/>
        <w:jc w:val="both"/>
        <w:rPr>
          <w:sz w:val="32"/>
          <w:szCs w:val="32"/>
        </w:rPr>
      </w:pPr>
    </w:p>
    <w:p>
      <w:pPr>
        <w:pStyle w:val="11"/>
        <w:jc w:val="both"/>
        <w:rPr>
          <w:sz w:val="32"/>
          <w:szCs w:val="32"/>
        </w:rPr>
      </w:pPr>
    </w:p>
    <w:p>
      <w:pPr>
        <w:pStyle w:val="11"/>
        <w:jc w:val="both"/>
        <w:rPr>
          <w:sz w:val="32"/>
          <w:szCs w:val="32"/>
        </w:rPr>
      </w:pPr>
    </w:p>
    <w:p>
      <w:pPr>
        <w:pStyle w:val="11"/>
        <w:jc w:val="both"/>
        <w:rPr>
          <w:sz w:val="32"/>
          <w:szCs w:val="32"/>
        </w:rPr>
      </w:pPr>
    </w:p>
    <w:p>
      <w:pPr>
        <w:pStyle w:val="11"/>
        <w:jc w:val="both"/>
        <w:rPr>
          <w:sz w:val="32"/>
          <w:szCs w:val="32"/>
        </w:rPr>
      </w:pPr>
    </w:p>
    <w:p>
      <w:pPr>
        <w:pStyle w:val="11"/>
        <w:spacing w:line="540" w:lineRule="exact"/>
        <w:jc w:val="both"/>
        <w:rPr>
          <w:sz w:val="56"/>
          <w:szCs w:val="56"/>
        </w:rPr>
      </w:pPr>
    </w:p>
    <w:p>
      <w:pPr>
        <w:pStyle w:val="11"/>
        <w:spacing w:line="500" w:lineRule="exact"/>
        <w:jc w:val="both"/>
        <w:rPr>
          <w:b/>
          <w:sz w:val="36"/>
          <w:szCs w:val="28"/>
        </w:rPr>
      </w:pPr>
    </w:p>
    <w:p>
      <w:pPr>
        <w:pStyle w:val="11"/>
        <w:spacing w:line="500" w:lineRule="exact"/>
        <w:jc w:val="both"/>
        <w:rPr>
          <w:b/>
          <w:sz w:val="36"/>
          <w:szCs w:val="28"/>
        </w:rPr>
      </w:pPr>
    </w:p>
    <w:p>
      <w:pPr>
        <w:pStyle w:val="11"/>
        <w:spacing w:line="500" w:lineRule="exact"/>
        <w:jc w:val="both"/>
        <w:rPr>
          <w:b/>
          <w:sz w:val="36"/>
          <w:szCs w:val="28"/>
        </w:rPr>
      </w:pPr>
      <w:r>
        <w:rPr>
          <w:rFonts w:hint="eastAsia"/>
          <w:b/>
          <w:sz w:val="36"/>
          <w:szCs w:val="28"/>
        </w:rPr>
        <w:t>目录</w:t>
      </w:r>
    </w:p>
    <w:p>
      <w:pPr>
        <w:pStyle w:val="11"/>
        <w:spacing w:line="500" w:lineRule="exact"/>
        <w:jc w:val="both"/>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鹤城区统计局</w:t>
      </w:r>
      <w:r>
        <w:rPr>
          <w:rFonts w:hint="eastAsia"/>
          <w:b/>
          <w:sz w:val="28"/>
          <w:szCs w:val="28"/>
        </w:rPr>
        <w:t>单位概况</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1"/>
        <w:spacing w:line="500" w:lineRule="exact"/>
        <w:jc w:val="both"/>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spacing w:line="500" w:lineRule="exact"/>
        <w:ind w:firstLine="700" w:firstLineChars="250"/>
        <w:jc w:val="both"/>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spacing w:line="500" w:lineRule="exact"/>
        <w:jc w:val="both"/>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1"/>
        <w:spacing w:line="500" w:lineRule="exact"/>
        <w:ind w:firstLine="700" w:firstLineChars="25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both"/>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both"/>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1"/>
        <w:spacing w:line="500" w:lineRule="exact"/>
        <w:ind w:firstLine="700" w:firstLineChars="250"/>
        <w:jc w:val="both"/>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1"/>
        <w:spacing w:line="500" w:lineRule="exact"/>
        <w:ind w:firstLine="700" w:firstLineChars="250"/>
        <w:jc w:val="both"/>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both"/>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both"/>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both"/>
        <w:rPr>
          <w:sz w:val="72"/>
          <w:szCs w:val="72"/>
        </w:rPr>
      </w:pPr>
    </w:p>
    <w:p>
      <w:pPr>
        <w:jc w:val="both"/>
        <w:rPr>
          <w:sz w:val="72"/>
          <w:szCs w:val="72"/>
        </w:rPr>
      </w:pPr>
    </w:p>
    <w:p>
      <w:pPr>
        <w:jc w:val="both"/>
        <w:rPr>
          <w:sz w:val="72"/>
          <w:szCs w:val="72"/>
        </w:rPr>
      </w:pPr>
    </w:p>
    <w:p>
      <w:pPr>
        <w:jc w:val="both"/>
        <w:rPr>
          <w:sz w:val="72"/>
          <w:szCs w:val="72"/>
        </w:rPr>
      </w:pPr>
    </w:p>
    <w:p>
      <w:pPr>
        <w:jc w:val="both"/>
        <w:rPr>
          <w:sz w:val="72"/>
          <w:szCs w:val="72"/>
        </w:rPr>
      </w:pPr>
    </w:p>
    <w:p>
      <w:pPr>
        <w:pStyle w:val="11"/>
        <w:jc w:val="center"/>
        <w:rPr>
          <w:sz w:val="84"/>
          <w:szCs w:val="84"/>
        </w:rPr>
      </w:pPr>
      <w:r>
        <w:rPr>
          <w:rFonts w:hint="eastAsia"/>
          <w:sz w:val="84"/>
          <w:szCs w:val="84"/>
        </w:rPr>
        <w:t>第一部分</w:t>
      </w:r>
    </w:p>
    <w:p>
      <w:pPr>
        <w:pStyle w:val="11"/>
        <w:jc w:val="center"/>
        <w:rPr>
          <w:sz w:val="84"/>
          <w:szCs w:val="84"/>
        </w:rPr>
      </w:pPr>
    </w:p>
    <w:p>
      <w:pPr>
        <w:pStyle w:val="11"/>
        <w:jc w:val="center"/>
        <w:rPr>
          <w:sz w:val="84"/>
          <w:szCs w:val="84"/>
        </w:rPr>
      </w:pPr>
      <w:r>
        <w:rPr>
          <w:rFonts w:hint="eastAsia"/>
          <w:sz w:val="84"/>
          <w:szCs w:val="84"/>
          <w:lang w:val="en-US" w:eastAsia="zh-CN"/>
        </w:rPr>
        <w:t>鹤城区统计局</w:t>
      </w:r>
      <w:r>
        <w:rPr>
          <w:rFonts w:hint="eastAsia"/>
          <w:sz w:val="84"/>
          <w:szCs w:val="84"/>
        </w:rPr>
        <w:t>单位概况</w:t>
      </w:r>
    </w:p>
    <w:p>
      <w:pPr>
        <w:jc w:val="center"/>
        <w:rPr>
          <w:sz w:val="72"/>
          <w:szCs w:val="72"/>
        </w:rPr>
      </w:pPr>
    </w:p>
    <w:p>
      <w:pPr>
        <w:jc w:val="both"/>
        <w:rPr>
          <w:sz w:val="72"/>
          <w:szCs w:val="72"/>
        </w:rPr>
      </w:pPr>
    </w:p>
    <w:p>
      <w:pPr>
        <w:jc w:val="both"/>
        <w:rPr>
          <w:sz w:val="72"/>
          <w:szCs w:val="72"/>
        </w:rPr>
      </w:pPr>
    </w:p>
    <w:p>
      <w:pPr>
        <w:jc w:val="both"/>
        <w:rPr>
          <w:sz w:val="72"/>
          <w:szCs w:val="72"/>
        </w:rPr>
      </w:pPr>
    </w:p>
    <w:p>
      <w:pPr>
        <w:jc w:val="both"/>
        <w:rPr>
          <w:sz w:val="72"/>
          <w:szCs w:val="72"/>
        </w:rPr>
      </w:pPr>
    </w:p>
    <w:p>
      <w:pPr>
        <w:pStyle w:val="12"/>
        <w:ind w:left="720" w:firstLine="0" w:firstLineChars="0"/>
        <w:jc w:val="both"/>
        <w:rPr>
          <w:rFonts w:ascii="黑体" w:hAnsi="黑体" w:eastAsia="黑体"/>
          <w:sz w:val="32"/>
          <w:szCs w:val="32"/>
        </w:rPr>
      </w:pPr>
    </w:p>
    <w:p>
      <w:pPr>
        <w:pStyle w:val="12"/>
        <w:ind w:left="720" w:firstLine="0" w:firstLineChars="0"/>
        <w:jc w:val="both"/>
        <w:rPr>
          <w:rFonts w:ascii="黑体" w:hAnsi="黑体" w:eastAsia="黑体"/>
          <w:sz w:val="32"/>
          <w:szCs w:val="32"/>
        </w:rPr>
      </w:pPr>
    </w:p>
    <w:p>
      <w:pPr>
        <w:pStyle w:val="12"/>
        <w:ind w:left="720" w:firstLine="0" w:firstLineChars="0"/>
        <w:jc w:val="both"/>
        <w:rPr>
          <w:rFonts w:ascii="黑体" w:hAnsi="黑体" w:eastAsia="黑体"/>
          <w:sz w:val="32"/>
          <w:szCs w:val="32"/>
        </w:rPr>
      </w:pPr>
    </w:p>
    <w:p>
      <w:pPr>
        <w:pStyle w:val="12"/>
        <w:numPr>
          <w:ilvl w:val="0"/>
          <w:numId w:val="1"/>
        </w:numPr>
        <w:ind w:firstLineChars="0"/>
        <w:jc w:val="both"/>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jc w:val="both"/>
        <w:rPr>
          <w:rFonts w:hint="eastAsia" w:asciiTheme="minorEastAsia" w:hAnsiTheme="minorEastAsia"/>
          <w:bCs/>
          <w:kern w:val="0"/>
          <w:sz w:val="32"/>
          <w:szCs w:val="32"/>
        </w:rPr>
      </w:pPr>
      <w:r>
        <w:rPr>
          <w:rFonts w:hint="eastAsia" w:asciiTheme="minorEastAsia" w:hAnsiTheme="minorEastAsia"/>
          <w:bCs/>
          <w:kern w:val="0"/>
          <w:sz w:val="32"/>
          <w:szCs w:val="32"/>
        </w:rPr>
        <w:t>负责为区委、区政府制定政策、编制国民经济和社会发展规划提供统计资料：定期发布全区国民经济和社会发展情况统计公报以及有关普查和专项调查公报，公布社会统计信息；组织协调全区农村和企业调查及各项大型普查工作；检查监督统计法规的实施情况，查处各类统计违法行为。</w:t>
      </w:r>
    </w:p>
    <w:p>
      <w:pPr>
        <w:widowControl/>
        <w:spacing w:line="600" w:lineRule="exact"/>
        <w:jc w:val="both"/>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jc w:val="both"/>
        <w:rPr>
          <w:rFonts w:hint="eastAsia" w:asciiTheme="minorEastAsia" w:hAnsiTheme="minorEastAsia"/>
          <w:bCs/>
          <w:kern w:val="0"/>
          <w:sz w:val="32"/>
          <w:szCs w:val="32"/>
          <w:lang w:val="en-US"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val="en-US" w:eastAsia="zh-CN"/>
        </w:rPr>
        <w:t>鹤城区统计局</w:t>
      </w:r>
      <w:r>
        <w:rPr>
          <w:rFonts w:hint="eastAsia" w:asciiTheme="minorEastAsia" w:hAnsiTheme="minorEastAsia"/>
          <w:bCs/>
          <w:kern w:val="0"/>
          <w:sz w:val="32"/>
          <w:szCs w:val="32"/>
        </w:rPr>
        <w:t>内设机构包括：</w:t>
      </w:r>
      <w:r>
        <w:rPr>
          <w:rFonts w:hint="eastAsia" w:asciiTheme="minorEastAsia" w:hAnsiTheme="minorEastAsia"/>
          <w:bCs/>
          <w:kern w:val="0"/>
          <w:sz w:val="32"/>
          <w:szCs w:val="32"/>
          <w:lang w:val="en-US" w:eastAsia="zh-CN"/>
        </w:rPr>
        <w:t>办公室、综合统计股、经济统计股、法规股。</w:t>
      </w:r>
    </w:p>
    <w:p>
      <w:pPr>
        <w:widowControl/>
        <w:spacing w:line="600" w:lineRule="exact"/>
        <w:jc w:val="both"/>
        <w:rPr>
          <w:rFonts w:ascii="仿宋_GB2312" w:eastAsia="仿宋_GB2312" w:hAnsiTheme="minorEastAsia"/>
          <w:sz w:val="28"/>
          <w:szCs w:val="32"/>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val="en-US" w:eastAsia="zh-CN"/>
        </w:rPr>
        <w:t>鹤城区统计局</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w:t>
      </w:r>
      <w:r>
        <w:rPr>
          <w:rFonts w:hint="eastAsia" w:asciiTheme="minorEastAsia" w:hAnsiTheme="minorEastAsia"/>
          <w:bCs/>
          <w:kern w:val="0"/>
          <w:sz w:val="32"/>
          <w:szCs w:val="32"/>
          <w:lang w:val="en-US" w:eastAsia="zh-CN"/>
        </w:rPr>
        <w:t>鹤城区统计局</w:t>
      </w:r>
      <w:r>
        <w:rPr>
          <w:rFonts w:hint="eastAsia" w:asciiTheme="minorEastAsia" w:hAnsiTheme="minorEastAsia"/>
          <w:bCs/>
          <w:kern w:val="0"/>
          <w:sz w:val="32"/>
          <w:szCs w:val="32"/>
        </w:rPr>
        <w:t>本级以及</w:t>
      </w:r>
      <w:r>
        <w:rPr>
          <w:rFonts w:hint="eastAsia" w:asciiTheme="minorEastAsia" w:hAnsiTheme="minorEastAsia"/>
          <w:bCs/>
          <w:kern w:val="0"/>
          <w:sz w:val="32"/>
          <w:szCs w:val="32"/>
          <w:lang w:val="en-US" w:eastAsia="zh-CN"/>
        </w:rPr>
        <w:t>所属二级单位（怀化市鹤城区统计局普查中心、怀化市鹤城区电子计算机站和怀化市鹤城区农村社会经济调查队）预算在内的汇总情况。</w:t>
      </w:r>
    </w:p>
    <w:p>
      <w:pPr>
        <w:widowControl/>
        <w:spacing w:line="600" w:lineRule="exact"/>
        <w:jc w:val="both"/>
        <w:rPr>
          <w:rFonts w:asciiTheme="minorEastAsia" w:hAnsiTheme="minorEastAsia"/>
          <w:bCs/>
          <w:kern w:val="0"/>
          <w:sz w:val="32"/>
          <w:szCs w:val="32"/>
        </w:rPr>
      </w:pPr>
    </w:p>
    <w:p>
      <w:pPr>
        <w:jc w:val="both"/>
        <w:rPr>
          <w:rFonts w:ascii="仿宋_GB2312" w:eastAsia="仿宋_GB2312" w:hAnsiTheme="minorEastAsia"/>
          <w:sz w:val="28"/>
          <w:szCs w:val="32"/>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rFonts w:ascii="黑体" w:hAnsi="黑体" w:eastAsia="黑体"/>
          <w:sz w:val="28"/>
          <w:szCs w:val="28"/>
        </w:rPr>
      </w:pPr>
    </w:p>
    <w:p>
      <w:pPr>
        <w:jc w:val="both"/>
        <w:rPr>
          <w:sz w:val="72"/>
          <w:szCs w:val="72"/>
        </w:rPr>
      </w:pPr>
    </w:p>
    <w:p>
      <w:pPr>
        <w:jc w:val="both"/>
        <w:rPr>
          <w:sz w:val="72"/>
          <w:szCs w:val="72"/>
        </w:rPr>
      </w:pPr>
    </w:p>
    <w:p>
      <w:pPr>
        <w:jc w:val="both"/>
        <w:rPr>
          <w:sz w:val="72"/>
          <w:szCs w:val="72"/>
        </w:rPr>
      </w:pPr>
    </w:p>
    <w:p>
      <w:pPr>
        <w:jc w:val="both"/>
        <w:rPr>
          <w:sz w:val="72"/>
          <w:szCs w:val="72"/>
        </w:rPr>
      </w:pPr>
    </w:p>
    <w:p>
      <w:pPr>
        <w:jc w:val="both"/>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both"/>
        <w:rPr>
          <w:sz w:val="72"/>
          <w:szCs w:val="72"/>
        </w:rPr>
      </w:pPr>
    </w:p>
    <w:p>
      <w:pPr>
        <w:jc w:val="both"/>
        <w:rPr>
          <w:sz w:val="72"/>
          <w:szCs w:val="72"/>
        </w:rPr>
      </w:pPr>
    </w:p>
    <w:p>
      <w:pPr>
        <w:jc w:val="both"/>
        <w:rPr>
          <w:sz w:val="72"/>
          <w:szCs w:val="72"/>
        </w:rPr>
      </w:pPr>
    </w:p>
    <w:p>
      <w:pPr>
        <w:jc w:val="both"/>
        <w:rPr>
          <w:sz w:val="72"/>
          <w:szCs w:val="72"/>
        </w:rPr>
      </w:pPr>
    </w:p>
    <w:p>
      <w:pPr>
        <w:jc w:val="both"/>
        <w:rPr>
          <w:sz w:val="72"/>
          <w:szCs w:val="72"/>
        </w:rPr>
      </w:pPr>
    </w:p>
    <w:p>
      <w:pPr>
        <w:jc w:val="both"/>
        <w:rPr>
          <w:sz w:val="32"/>
          <w:szCs w:val="32"/>
        </w:rPr>
      </w:pPr>
    </w:p>
    <w:p>
      <w:pPr>
        <w:jc w:val="both"/>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20年度部门决算情况说明</w:t>
      </w:r>
    </w:p>
    <w:p>
      <w:pPr>
        <w:widowControl/>
        <w:jc w:val="center"/>
        <w:rPr>
          <w:rFonts w:ascii="黑体" w:eastAsia="黑体" w:cs="黑体"/>
          <w:color w:val="000000"/>
          <w:kern w:val="0"/>
          <w:sz w:val="70"/>
          <w:szCs w:val="70"/>
        </w:rPr>
      </w:pPr>
      <w:r>
        <w:rPr>
          <w:sz w:val="70"/>
          <w:szCs w:val="70"/>
        </w:rPr>
        <w:br w:type="page"/>
      </w:r>
    </w:p>
    <w:p>
      <w:pPr>
        <w:pStyle w:val="11"/>
        <w:jc w:val="both"/>
        <w:rPr>
          <w:rFonts w:asciiTheme="minorEastAsia" w:hAnsiTheme="minorEastAsia" w:eastAsiaTheme="minorEastAsia"/>
          <w:sz w:val="32"/>
          <w:szCs w:val="32"/>
        </w:rPr>
      </w:pPr>
    </w:p>
    <w:p>
      <w:pPr>
        <w:pStyle w:val="11"/>
        <w:jc w:val="both"/>
        <w:rPr>
          <w:rFonts w:hAnsi="黑体"/>
          <w:b/>
          <w:sz w:val="32"/>
          <w:szCs w:val="32"/>
        </w:rPr>
      </w:pPr>
      <w:r>
        <w:rPr>
          <w:rFonts w:hint="eastAsia" w:hAnsi="黑体"/>
          <w:b/>
          <w:sz w:val="32"/>
          <w:szCs w:val="32"/>
        </w:rPr>
        <w:t>一、收入支出决算总体情况说明</w:t>
      </w:r>
    </w:p>
    <w:p>
      <w:pPr>
        <w:pStyle w:val="11"/>
        <w:ind w:firstLine="640" w:firstLineChars="200"/>
        <w:jc w:val="both"/>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752.77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284.98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60.92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2020年，我局负责组织开展了鹤城区第七次全国人口普查工作。</w:t>
      </w: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259.58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54.15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负责组织开展了鹤城区第七次全国人口普查工作，采购了普查用的数据采集终端PAD，开展了大量的宣传，印制了大量的人口普查资料，发放人口普查两员经费等。</w:t>
      </w:r>
    </w:p>
    <w:p>
      <w:pPr>
        <w:pStyle w:val="11"/>
        <w:jc w:val="both"/>
        <w:rPr>
          <w:rFonts w:hAnsi="黑体"/>
          <w:b/>
          <w:sz w:val="32"/>
          <w:szCs w:val="32"/>
        </w:rPr>
      </w:pPr>
      <w:r>
        <w:rPr>
          <w:rFonts w:hint="eastAsia" w:hAnsi="黑体"/>
          <w:b/>
          <w:sz w:val="32"/>
          <w:szCs w:val="32"/>
        </w:rPr>
        <w:t>二、收入决算情况说明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752.77</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752.77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jc w:val="both"/>
        <w:rPr>
          <w:rFonts w:hAnsi="黑体"/>
          <w:b/>
          <w:sz w:val="32"/>
          <w:szCs w:val="32"/>
        </w:rPr>
      </w:pPr>
      <w:r>
        <w:rPr>
          <w:rFonts w:hint="eastAsia" w:hAnsi="黑体"/>
          <w:b/>
          <w:sz w:val="32"/>
          <w:szCs w:val="32"/>
        </w:rPr>
        <w:t>三、支出决算情况说明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245.78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33.26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493.13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66.74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jc w:val="both"/>
        <w:rPr>
          <w:rFonts w:hAnsi="黑体"/>
          <w:b/>
          <w:sz w:val="32"/>
          <w:szCs w:val="32"/>
        </w:rPr>
      </w:pPr>
      <w:r>
        <w:rPr>
          <w:rFonts w:hint="eastAsia" w:hAnsi="黑体"/>
          <w:b/>
          <w:sz w:val="32"/>
          <w:szCs w:val="32"/>
        </w:rPr>
        <w:t>四、财政拨款收入支出决算总体情况说明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752.77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332.33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79.04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2020年开展了第七次全国人口普查工作，财政增加了拨款。</w:t>
      </w: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306.92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71.05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牵头开展了全区第七次全国人口普查工作，采购了普查用的数据采集终端PAD，做了大量的宣传，印制了大量的人口普查资料，发放人口普查两员经费等。</w:t>
      </w:r>
    </w:p>
    <w:p>
      <w:pPr>
        <w:pStyle w:val="11"/>
        <w:jc w:val="both"/>
        <w:rPr>
          <w:rFonts w:hAnsi="黑体"/>
          <w:b/>
          <w:sz w:val="32"/>
          <w:szCs w:val="32"/>
        </w:rPr>
      </w:pPr>
      <w:r>
        <w:rPr>
          <w:rFonts w:hint="eastAsia" w:hAnsi="黑体"/>
          <w:b/>
          <w:sz w:val="32"/>
          <w:szCs w:val="32"/>
        </w:rPr>
        <w:t>五、一般公共预算财政拨款支出决算情况说明</w:t>
      </w:r>
    </w:p>
    <w:p>
      <w:pPr>
        <w:pStyle w:val="11"/>
        <w:ind w:firstLine="640" w:firstLineChars="200"/>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306.92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71.05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牵头开展了全区第七次全国人口普查工作，采购了普查用的数据采集终端PAD，做了大量的宣传，印制了大量的人口普查资料，发放人口普查两员经费等。</w:t>
      </w:r>
    </w:p>
    <w:p>
      <w:pPr>
        <w:pStyle w:val="11"/>
        <w:ind w:firstLine="480" w:firstLineChars="150"/>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jc w:val="both"/>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%；教育（类）支出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1"/>
        <w:ind w:firstLine="800" w:firstLineChars="250"/>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300.24</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738.91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246.11</w:t>
      </w:r>
      <w:r>
        <w:rPr>
          <w:rFonts w:hint="eastAsia" w:asciiTheme="minorEastAsia" w:hAnsiTheme="minorEastAsia" w:eastAsiaTheme="minorEastAsia"/>
          <w:sz w:val="32"/>
          <w:szCs w:val="32"/>
        </w:rPr>
        <w:t>%，其中：</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行政运行201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p>
    <w:p>
      <w:pPr>
        <w:pStyle w:val="11"/>
        <w:ind w:firstLine="800" w:firstLineChars="250"/>
        <w:jc w:val="both"/>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124.13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244.59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197.04</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因开展第七次全国人口普查工作，增加开支，年中追加了预算金额。</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一般行政管理事务201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（项）。</w:t>
      </w:r>
    </w:p>
    <w:p>
      <w:pPr>
        <w:pStyle w:val="11"/>
        <w:ind w:firstLine="800" w:firstLineChars="250"/>
        <w:jc w:val="both"/>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18.64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4.18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22.42</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val="en-US" w:eastAsia="zh-CN"/>
        </w:rPr>
        <w:t>节省开支。</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专项普查活动201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（项）。</w:t>
      </w:r>
    </w:p>
    <w:p>
      <w:pPr>
        <w:pStyle w:val="11"/>
        <w:ind w:firstLine="800" w:firstLineChars="250"/>
        <w:jc w:val="both"/>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242.57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427.22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176.12</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因开展第七次全国人口普查工作，采购了人口普查用的数据采集终端PAD设备。</w:t>
      </w:r>
    </w:p>
    <w:p>
      <w:pPr>
        <w:pStyle w:val="11"/>
        <w:jc w:val="both"/>
        <w:rPr>
          <w:rFonts w:hAnsi="黑体"/>
          <w:b/>
          <w:sz w:val="32"/>
          <w:szCs w:val="32"/>
          <w:highlight w:val="none"/>
        </w:rPr>
      </w:pPr>
      <w:r>
        <w:rPr>
          <w:rFonts w:hint="eastAsia" w:hAnsi="黑体"/>
          <w:b/>
          <w:sz w:val="32"/>
          <w:szCs w:val="32"/>
          <w:highlight w:val="none"/>
        </w:rPr>
        <w:t>六、一般公共预算财政拨款基本支出决算情况说明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highlight w:val="none"/>
        </w:rPr>
        <w:t>2020年度财政拨款基本支出</w:t>
      </w:r>
      <w:r>
        <w:rPr>
          <w:rFonts w:hint="eastAsia" w:asciiTheme="minorEastAsia" w:hAnsiTheme="minorEastAsia" w:eastAsiaTheme="minorEastAsia"/>
          <w:sz w:val="32"/>
          <w:szCs w:val="32"/>
          <w:highlight w:val="none"/>
          <w:lang w:val="en-US" w:eastAsia="zh-CN"/>
        </w:rPr>
        <w:t>245.78</w:t>
      </w:r>
      <w:r>
        <w:rPr>
          <w:rFonts w:hint="eastAsia" w:asciiTheme="minorEastAsia" w:hAnsiTheme="minorEastAsia" w:eastAsiaTheme="minorEastAsia"/>
          <w:sz w:val="32"/>
          <w:szCs w:val="32"/>
          <w:highlight w:val="none"/>
        </w:rPr>
        <w:t>万元，其中：人员经费</w:t>
      </w:r>
      <w:r>
        <w:rPr>
          <w:rFonts w:hint="eastAsia" w:asciiTheme="minorEastAsia" w:hAnsiTheme="minorEastAsia" w:eastAsiaTheme="minorEastAsia"/>
          <w:sz w:val="32"/>
          <w:szCs w:val="32"/>
          <w:highlight w:val="none"/>
          <w:lang w:val="en-US" w:eastAsia="zh-CN"/>
        </w:rPr>
        <w:t>232.08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94.43</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社会保险类；</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13.7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5.57</w:t>
      </w:r>
      <w:r>
        <w:rPr>
          <w:rFonts w:hint="eastAsia" w:asciiTheme="minorEastAsia" w:hAnsiTheme="minorEastAsia" w:eastAsiaTheme="minorEastAsia"/>
          <w:sz w:val="32"/>
          <w:szCs w:val="32"/>
        </w:rPr>
        <w:t>%，主要包括办公费、</w:t>
      </w:r>
      <w:r>
        <w:rPr>
          <w:rFonts w:hint="eastAsia" w:asciiTheme="minorEastAsia" w:hAnsiTheme="minorEastAsia" w:eastAsiaTheme="minorEastAsia"/>
          <w:sz w:val="32"/>
          <w:szCs w:val="32"/>
          <w:lang w:val="en-US" w:eastAsia="zh-CN"/>
        </w:rPr>
        <w:t>差旅费</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会议</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val="en-US" w:eastAsia="zh-CN"/>
        </w:rPr>
        <w:t>公务接待</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val="en-US" w:eastAsia="zh-CN"/>
        </w:rPr>
        <w:t>等</w:t>
      </w:r>
      <w:r>
        <w:rPr>
          <w:rFonts w:hint="eastAsia" w:asciiTheme="minorEastAsia" w:hAnsiTheme="minorEastAsia" w:eastAsiaTheme="minorEastAsia"/>
          <w:sz w:val="32"/>
          <w:szCs w:val="32"/>
        </w:rPr>
        <w:t>。</w:t>
      </w:r>
    </w:p>
    <w:p>
      <w:pPr>
        <w:pStyle w:val="11"/>
        <w:jc w:val="both"/>
        <w:rPr>
          <w:rFonts w:hAnsi="黑体"/>
          <w:b/>
          <w:sz w:val="32"/>
          <w:szCs w:val="32"/>
        </w:rPr>
      </w:pPr>
      <w:r>
        <w:rPr>
          <w:rFonts w:hint="eastAsia" w:hAnsi="黑体"/>
          <w:b/>
          <w:sz w:val="32"/>
          <w:szCs w:val="32"/>
        </w:rPr>
        <w:t>七、一般公共预算财政拨款三公经费支出决算情况说明</w:t>
      </w:r>
    </w:p>
    <w:p>
      <w:pPr>
        <w:pStyle w:val="11"/>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3.9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1.67</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42.82</w:t>
      </w:r>
      <w:r>
        <w:rPr>
          <w:rFonts w:hint="eastAsia" w:asciiTheme="minorEastAsia" w:hAnsiTheme="minorEastAsia" w:eastAsiaTheme="minorEastAsia"/>
          <w:sz w:val="32"/>
          <w:szCs w:val="32"/>
        </w:rPr>
        <w:t>%，其中：</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无预算不支出</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val="en-US" w:eastAsia="zh-CN"/>
        </w:rPr>
        <w:t>持平</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持平</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val="en-US" w:eastAsia="zh-CN"/>
        </w:rPr>
        <w:t>无预算不支出</w:t>
      </w:r>
      <w:r>
        <w:rPr>
          <w:rFonts w:hint="eastAsia" w:asciiTheme="minorEastAsia" w:hAnsiTheme="minorEastAsia" w:eastAsiaTheme="minorEastAsia"/>
          <w:sz w:val="32"/>
          <w:szCs w:val="32"/>
        </w:rPr>
        <w:t>。</w:t>
      </w:r>
    </w:p>
    <w:p>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3.9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1.67</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42.82</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厉行节约，节省开支</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0.04</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2.34</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厉行节约，节省开支</w:t>
      </w:r>
      <w:r>
        <w:rPr>
          <w:rFonts w:hint="eastAsia" w:asciiTheme="minorEastAsia" w:hAnsiTheme="minorEastAsia" w:eastAsiaTheme="minorEastAsia"/>
          <w:sz w:val="32"/>
          <w:szCs w:val="32"/>
        </w:rPr>
        <w:t>。</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无预算不支出</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val="en-US" w:eastAsia="zh-CN"/>
        </w:rPr>
        <w:t>持平</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持平</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val="en-US" w:eastAsia="zh-CN"/>
        </w:rPr>
        <w:t>无预算不支出</w:t>
      </w:r>
      <w:r>
        <w:rPr>
          <w:rFonts w:hint="eastAsia" w:asciiTheme="minorEastAsia" w:hAnsiTheme="minorEastAsia" w:eastAsiaTheme="minorEastAsia"/>
          <w:sz w:val="32"/>
          <w:szCs w:val="32"/>
        </w:rPr>
        <w:t>。</w:t>
      </w:r>
    </w:p>
    <w:p>
      <w:pPr>
        <w:pStyle w:val="11"/>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1.67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42.82</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1"/>
        <w:ind w:firstLine="640" w:firstLineChars="200"/>
        <w:jc w:val="both"/>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w:t>
      </w:r>
    </w:p>
    <w:p>
      <w:pPr>
        <w:pStyle w:val="11"/>
        <w:ind w:firstLine="800" w:firstLineChars="250"/>
        <w:jc w:val="both"/>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2、公务接待费支出决算为</w:t>
      </w:r>
      <w:r>
        <w:rPr>
          <w:rFonts w:hint="eastAsia" w:asciiTheme="minorEastAsia" w:hAnsiTheme="minorEastAsia" w:eastAsiaTheme="minorEastAsia"/>
          <w:sz w:val="32"/>
          <w:szCs w:val="32"/>
          <w:highlight w:val="none"/>
          <w:lang w:val="en-US" w:eastAsia="zh-CN"/>
        </w:rPr>
        <w:t>1.67</w:t>
      </w:r>
      <w:r>
        <w:rPr>
          <w:rFonts w:hint="eastAsia" w:asciiTheme="minorEastAsia" w:hAnsiTheme="minorEastAsia" w:eastAsiaTheme="minorEastAsia"/>
          <w:sz w:val="32"/>
          <w:szCs w:val="32"/>
          <w:highlight w:val="none"/>
        </w:rPr>
        <w:t>万元，全年共接待来访团组</w:t>
      </w:r>
      <w:r>
        <w:rPr>
          <w:rFonts w:hint="eastAsia" w:asciiTheme="minorEastAsia" w:hAnsiTheme="minorEastAsia" w:eastAsiaTheme="minorEastAsia"/>
          <w:sz w:val="32"/>
          <w:szCs w:val="32"/>
          <w:highlight w:val="none"/>
          <w:lang w:val="en-US" w:eastAsia="zh-CN"/>
        </w:rPr>
        <w:t>20</w:t>
      </w:r>
      <w:r>
        <w:rPr>
          <w:rFonts w:hint="eastAsia" w:asciiTheme="minorEastAsia" w:hAnsiTheme="minorEastAsia" w:eastAsiaTheme="minorEastAsia"/>
          <w:sz w:val="32"/>
          <w:szCs w:val="32"/>
          <w:highlight w:val="none"/>
        </w:rPr>
        <w:t>个、来宾</w:t>
      </w:r>
      <w:r>
        <w:rPr>
          <w:rFonts w:hint="eastAsia" w:asciiTheme="minorEastAsia" w:hAnsiTheme="minorEastAsia" w:eastAsiaTheme="minorEastAsia"/>
          <w:sz w:val="32"/>
          <w:szCs w:val="32"/>
          <w:highlight w:val="none"/>
          <w:lang w:val="en-US" w:eastAsia="zh-CN"/>
        </w:rPr>
        <w:t>120</w:t>
      </w:r>
      <w:r>
        <w:rPr>
          <w:rFonts w:hint="eastAsia" w:asciiTheme="minorEastAsia" w:hAnsiTheme="minorEastAsia" w:eastAsiaTheme="minorEastAsia"/>
          <w:sz w:val="32"/>
          <w:szCs w:val="32"/>
          <w:highlight w:val="none"/>
        </w:rPr>
        <w:t>人次，主要是</w:t>
      </w:r>
      <w:r>
        <w:rPr>
          <w:rFonts w:hint="eastAsia" w:asciiTheme="minorEastAsia" w:hAnsiTheme="minorEastAsia" w:eastAsiaTheme="minorEastAsia"/>
          <w:sz w:val="32"/>
          <w:szCs w:val="32"/>
          <w:highlight w:val="none"/>
          <w:lang w:val="en-US" w:eastAsia="zh-CN"/>
        </w:rPr>
        <w:t>人口普查工作交流、专项统计调查工作交流</w:t>
      </w:r>
      <w:r>
        <w:rPr>
          <w:rFonts w:hint="eastAsia" w:asciiTheme="minorEastAsia" w:hAnsiTheme="minorEastAsia" w:eastAsiaTheme="minorEastAsia"/>
          <w:sz w:val="32"/>
          <w:szCs w:val="32"/>
          <w:highlight w:val="none"/>
        </w:rPr>
        <w:t>发生的接待支出。</w:t>
      </w:r>
    </w:p>
    <w:p>
      <w:pPr>
        <w:ind w:firstLine="800" w:firstLineChars="250"/>
        <w:jc w:val="both"/>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11"/>
        <w:jc w:val="both"/>
        <w:rPr>
          <w:rFonts w:hAnsi="黑体"/>
          <w:b/>
          <w:sz w:val="32"/>
          <w:szCs w:val="32"/>
        </w:rPr>
      </w:pPr>
      <w:r>
        <w:rPr>
          <w:rFonts w:hint="eastAsia" w:hAnsi="黑体"/>
          <w:b/>
          <w:sz w:val="32"/>
          <w:szCs w:val="32"/>
        </w:rPr>
        <w:t>八、政府性基金预算收入支出决算情况</w:t>
      </w:r>
    </w:p>
    <w:p>
      <w:pPr>
        <w:pStyle w:val="11"/>
        <w:jc w:val="both"/>
        <w:rPr>
          <w:rFonts w:hint="eastAsia" w:asciiTheme="minorEastAsia" w:hAnsiTheme="minorEastAsia" w:eastAsiaTheme="minorEastAsia" w:cstheme="minorBidi"/>
          <w:color w:val="auto"/>
          <w:kern w:val="2"/>
          <w:sz w:val="32"/>
          <w:szCs w:val="32"/>
          <w:lang w:val="en-US" w:eastAsia="zh-CN" w:bidi="ar-SA"/>
        </w:rPr>
      </w:pPr>
      <w:r>
        <w:rPr>
          <w:rFonts w:hint="eastAsia" w:asciiTheme="minorEastAsia" w:hAnsiTheme="minorEastAsia" w:eastAsiaTheme="minorEastAsia" w:cstheme="minorBidi"/>
          <w:color w:val="auto"/>
          <w:kern w:val="2"/>
          <w:sz w:val="32"/>
          <w:szCs w:val="32"/>
          <w:lang w:val="en-US" w:eastAsia="zh-CN" w:bidi="ar-SA"/>
        </w:rPr>
        <w:t xml:space="preserve">     2020年度本单位无政府性基金收支。</w:t>
      </w:r>
    </w:p>
    <w:p>
      <w:pPr>
        <w:pStyle w:val="11"/>
        <w:jc w:val="both"/>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kern w:val="0"/>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13.7</w:t>
      </w:r>
      <w:r>
        <w:rPr>
          <w:rFonts w:hint="eastAsia" w:asciiTheme="minorEastAsia" w:hAnsiTheme="minorEastAsia" w:eastAsiaTheme="minorEastAsia"/>
          <w:sz w:val="32"/>
          <w:szCs w:val="32"/>
        </w:rPr>
        <w:t>万元，比上年决算数减少</w:t>
      </w:r>
      <w:r>
        <w:rPr>
          <w:rFonts w:hint="eastAsia" w:asciiTheme="minorEastAsia" w:hAnsiTheme="minorEastAsia" w:eastAsiaTheme="minorEastAsia"/>
          <w:sz w:val="32"/>
          <w:szCs w:val="32"/>
          <w:lang w:val="en-US" w:eastAsia="zh-CN"/>
        </w:rPr>
        <w:t>15.16</w:t>
      </w:r>
      <w:r>
        <w:rPr>
          <w:rFonts w:hint="eastAsia" w:asciiTheme="minorEastAsia" w:hAnsiTheme="minorEastAsia" w:eastAsiaTheme="minorEastAsia"/>
          <w:sz w:val="32"/>
          <w:szCs w:val="32"/>
        </w:rPr>
        <w:t xml:space="preserve"> 万元，降低</w:t>
      </w:r>
      <w:r>
        <w:rPr>
          <w:rFonts w:hint="eastAsia" w:asciiTheme="minorEastAsia" w:hAnsiTheme="minorEastAsia" w:eastAsiaTheme="minorEastAsia"/>
          <w:sz w:val="32"/>
          <w:szCs w:val="32"/>
          <w:lang w:val="en-US" w:eastAsia="zh-CN"/>
        </w:rPr>
        <w:t>52.53</w:t>
      </w:r>
      <w:r>
        <w:rPr>
          <w:rFonts w:hint="eastAsia" w:asciiTheme="minorEastAsia" w:hAnsiTheme="minorEastAsia" w:eastAsiaTheme="minorEastAsia"/>
          <w:sz w:val="32"/>
          <w:szCs w:val="32"/>
        </w:rPr>
        <w:t>%。主要原因是：</w:t>
      </w:r>
      <w:r>
        <w:rPr>
          <w:rFonts w:hint="eastAsia" w:cs="黑体" w:asciiTheme="minorEastAsia" w:hAnsiTheme="minorEastAsia"/>
          <w:kern w:val="0"/>
          <w:sz w:val="32"/>
          <w:szCs w:val="32"/>
        </w:rPr>
        <w:t>本单位</w:t>
      </w:r>
      <w:r>
        <w:rPr>
          <w:rFonts w:hint="eastAsia" w:cs="黑体" w:asciiTheme="minorEastAsia" w:hAnsiTheme="minorEastAsia"/>
          <w:kern w:val="0"/>
          <w:sz w:val="32"/>
          <w:szCs w:val="32"/>
          <w:lang w:val="en-US" w:eastAsia="zh-CN"/>
        </w:rPr>
        <w:t>厉</w:t>
      </w:r>
      <w:r>
        <w:rPr>
          <w:rFonts w:hint="eastAsia" w:cs="黑体" w:asciiTheme="minorEastAsia" w:hAnsiTheme="minorEastAsia"/>
          <w:kern w:val="0"/>
          <w:sz w:val="32"/>
          <w:szCs w:val="32"/>
        </w:rPr>
        <w:t>行节约，严格控制机关运行经费。</w:t>
      </w:r>
    </w:p>
    <w:p>
      <w:pPr>
        <w:pStyle w:val="11"/>
        <w:jc w:val="both"/>
        <w:rPr>
          <w:rFonts w:hAnsi="黑体"/>
          <w:b/>
          <w:sz w:val="32"/>
          <w:szCs w:val="32"/>
        </w:rPr>
      </w:pPr>
      <w:r>
        <w:rPr>
          <w:rFonts w:hint="eastAsia" w:hAnsi="黑体"/>
          <w:b/>
          <w:sz w:val="32"/>
          <w:szCs w:val="32"/>
        </w:rPr>
        <w:t>十、一般性支出情况</w:t>
      </w:r>
    </w:p>
    <w:p>
      <w:pPr>
        <w:pStyle w:val="11"/>
        <w:ind w:firstLine="640" w:firstLineChars="200"/>
        <w:jc w:val="both"/>
        <w:rPr>
          <w:rFonts w:hint="eastAsia"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rPr>
        <w:t>2020年本部门开支会议费</w:t>
      </w:r>
      <w:r>
        <w:rPr>
          <w:rFonts w:hint="eastAsia" w:asciiTheme="minorEastAsia" w:hAnsiTheme="minorEastAsia" w:eastAsiaTheme="minorEastAsia"/>
          <w:sz w:val="32"/>
          <w:szCs w:val="32"/>
          <w:highlight w:val="none"/>
          <w:lang w:val="en-US" w:eastAsia="zh-CN"/>
        </w:rPr>
        <w:t>0.07</w:t>
      </w:r>
      <w:r>
        <w:rPr>
          <w:rFonts w:hint="eastAsia" w:asciiTheme="minorEastAsia" w:hAnsiTheme="minorEastAsia" w:eastAsiaTheme="minorEastAsia"/>
          <w:sz w:val="32"/>
          <w:szCs w:val="32"/>
          <w:highlight w:val="none"/>
        </w:rPr>
        <w:t>万元，用于召开</w:t>
      </w:r>
      <w:r>
        <w:rPr>
          <w:rFonts w:hint="eastAsia" w:asciiTheme="minorEastAsia" w:hAnsiTheme="minorEastAsia" w:eastAsiaTheme="minorEastAsia"/>
          <w:sz w:val="32"/>
          <w:szCs w:val="32"/>
          <w:highlight w:val="none"/>
          <w:lang w:val="en-US" w:eastAsia="zh-CN"/>
        </w:rPr>
        <w:t>全省统计工作暨第四次全国经济普查总结表彰工作电视电话</w:t>
      </w:r>
      <w:r>
        <w:rPr>
          <w:rFonts w:hint="eastAsia" w:asciiTheme="minorEastAsia" w:hAnsiTheme="minorEastAsia" w:eastAsiaTheme="minorEastAsia"/>
          <w:sz w:val="32"/>
          <w:szCs w:val="32"/>
          <w:highlight w:val="none"/>
        </w:rPr>
        <w:t>会议</w:t>
      </w:r>
      <w:r>
        <w:rPr>
          <w:rFonts w:hint="eastAsia" w:asciiTheme="minorEastAsia" w:hAnsiTheme="minorEastAsia" w:eastAsiaTheme="minorEastAsia"/>
          <w:sz w:val="32"/>
          <w:szCs w:val="32"/>
          <w:highlight w:val="none"/>
          <w:lang w:val="en-US" w:eastAsia="zh-CN"/>
        </w:rPr>
        <w:t>和鹤城区地区生产总值培训会议</w:t>
      </w:r>
      <w:r>
        <w:rPr>
          <w:rFonts w:hint="eastAsia" w:asciiTheme="minorEastAsia" w:hAnsiTheme="minorEastAsia" w:eastAsiaTheme="minorEastAsia"/>
          <w:sz w:val="32"/>
          <w:szCs w:val="32"/>
          <w:highlight w:val="none"/>
        </w:rPr>
        <w:t>，人数</w:t>
      </w:r>
      <w:r>
        <w:rPr>
          <w:rFonts w:hint="eastAsia" w:asciiTheme="minorEastAsia" w:hAnsiTheme="minorEastAsia" w:eastAsiaTheme="minorEastAsia"/>
          <w:sz w:val="32"/>
          <w:szCs w:val="32"/>
          <w:highlight w:val="none"/>
          <w:lang w:val="en-US" w:eastAsia="zh-CN"/>
        </w:rPr>
        <w:t>80</w:t>
      </w:r>
      <w:r>
        <w:rPr>
          <w:rFonts w:hint="eastAsia" w:asciiTheme="minorEastAsia" w:hAnsiTheme="minorEastAsia" w:eastAsiaTheme="minorEastAsia"/>
          <w:sz w:val="32"/>
          <w:szCs w:val="32"/>
          <w:highlight w:val="none"/>
        </w:rPr>
        <w:t>人，内容为</w:t>
      </w:r>
      <w:r>
        <w:rPr>
          <w:rFonts w:hint="eastAsia" w:asciiTheme="minorEastAsia" w:hAnsiTheme="minorEastAsia" w:eastAsiaTheme="minorEastAsia"/>
          <w:sz w:val="32"/>
          <w:szCs w:val="32"/>
          <w:highlight w:val="none"/>
          <w:lang w:val="en-US" w:eastAsia="zh-CN"/>
        </w:rPr>
        <w:t>学习地区生产总值计算方法、改革方向、统计工作安排部署及第四次全国经济普查总结表彰</w:t>
      </w:r>
      <w:r>
        <w:rPr>
          <w:rFonts w:hint="eastAsia" w:asciiTheme="minorEastAsia" w:hAnsiTheme="minorEastAsia" w:eastAsiaTheme="minorEastAsia"/>
          <w:sz w:val="32"/>
          <w:szCs w:val="32"/>
          <w:highlight w:val="none"/>
        </w:rPr>
        <w:t>；开支培训费</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highlight w:val="none"/>
          <w:lang w:eastAsia="zh-CN"/>
        </w:rPr>
        <w:t>。</w:t>
      </w:r>
    </w:p>
    <w:p>
      <w:pPr>
        <w:pStyle w:val="11"/>
        <w:jc w:val="both"/>
        <w:rPr>
          <w:rFonts w:hAnsi="黑体"/>
          <w:b/>
          <w:sz w:val="32"/>
          <w:szCs w:val="32"/>
        </w:rPr>
      </w:pPr>
      <w:r>
        <w:rPr>
          <w:rFonts w:hint="eastAsia" w:hAnsi="黑体"/>
          <w:b/>
          <w:sz w:val="32"/>
          <w:szCs w:val="32"/>
        </w:rPr>
        <w:t>十一、关于政府采购支出说明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236</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236</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236</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jc w:val="both"/>
        <w:rPr>
          <w:rFonts w:hAnsi="黑体"/>
          <w:b/>
          <w:sz w:val="32"/>
          <w:szCs w:val="32"/>
        </w:rPr>
      </w:pPr>
      <w:r>
        <w:rPr>
          <w:rFonts w:hint="eastAsia" w:hAnsi="黑体"/>
          <w:b/>
          <w:sz w:val="32"/>
          <w:szCs w:val="32"/>
        </w:rPr>
        <w:t>十二、关于国有资产占用情况说明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1"/>
        <w:jc w:val="both"/>
        <w:rPr>
          <w:rFonts w:hAnsi="黑体"/>
          <w:b/>
          <w:sz w:val="32"/>
          <w:szCs w:val="32"/>
        </w:rPr>
      </w:pPr>
      <w:r>
        <w:rPr>
          <w:rFonts w:hint="eastAsia" w:hAnsi="黑体"/>
          <w:b/>
          <w:sz w:val="32"/>
          <w:szCs w:val="32"/>
        </w:rPr>
        <w:t>十三、关于2020年度预算绩效情况的说明</w:t>
      </w:r>
    </w:p>
    <w:p>
      <w:pPr>
        <w:spacing w:line="600" w:lineRule="exact"/>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（一）预算资金使用管理情况。</w:t>
      </w:r>
    </w:p>
    <w:p>
      <w:pPr>
        <w:spacing w:line="560" w:lineRule="exact"/>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统计局作为一级部门预算单位，内设4个股室，分别为：办公室、综合统计股、经济统计股、法规股。20</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年，我单位专项资金到位及时，使用规范，财务处理及时。严格资金使用标准，严格审批程序，严格资金使用方式，专款专用。20</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年我单位负责牵头开展第</w:t>
      </w:r>
      <w:r>
        <w:rPr>
          <w:rFonts w:hint="eastAsia" w:cs="黑体" w:asciiTheme="minorEastAsia" w:hAnsiTheme="minorEastAsia"/>
          <w:color w:val="000000"/>
          <w:kern w:val="0"/>
          <w:sz w:val="32"/>
          <w:szCs w:val="32"/>
          <w:lang w:val="en-US" w:eastAsia="zh-CN"/>
        </w:rPr>
        <w:t>七</w:t>
      </w:r>
      <w:r>
        <w:rPr>
          <w:rFonts w:hint="eastAsia" w:cs="黑体" w:asciiTheme="minorEastAsia" w:hAnsiTheme="minorEastAsia"/>
          <w:color w:val="000000"/>
          <w:kern w:val="0"/>
          <w:sz w:val="32"/>
          <w:szCs w:val="32"/>
        </w:rPr>
        <w:t>次全国</w:t>
      </w:r>
      <w:r>
        <w:rPr>
          <w:rFonts w:hint="eastAsia" w:cs="黑体" w:asciiTheme="minorEastAsia" w:hAnsiTheme="minorEastAsia"/>
          <w:color w:val="000000"/>
          <w:kern w:val="0"/>
          <w:sz w:val="32"/>
          <w:szCs w:val="32"/>
          <w:lang w:val="en-US" w:eastAsia="zh-CN"/>
        </w:rPr>
        <w:t>人口</w:t>
      </w:r>
      <w:r>
        <w:rPr>
          <w:rFonts w:hint="eastAsia" w:cs="黑体" w:asciiTheme="minorEastAsia" w:hAnsiTheme="minorEastAsia"/>
          <w:color w:val="000000"/>
          <w:kern w:val="0"/>
          <w:sz w:val="32"/>
          <w:szCs w:val="32"/>
        </w:rPr>
        <w:t>普查工作，已顺利通过国家、省、市的验收。</w:t>
      </w:r>
    </w:p>
    <w:p>
      <w:pPr>
        <w:spacing w:line="600" w:lineRule="exact"/>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（二）预算支出绩效目标完成程度。</w:t>
      </w:r>
    </w:p>
    <w:p>
      <w:pPr>
        <w:widowControl/>
        <w:adjustRightInd w:val="0"/>
        <w:snapToGrid w:val="0"/>
        <w:spacing w:line="600" w:lineRule="exact"/>
        <w:ind w:firstLine="640" w:firstLineChars="200"/>
        <w:jc w:val="left"/>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zh-CN" w:eastAsia="zh-CN" w:bidi="ar-SA"/>
        </w:rPr>
        <w:t>我国以2020年11月1日零时为标准时点进行了第七次全国人口普查。我</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人口普查</w:t>
      </w:r>
      <w:r>
        <w:rPr>
          <w:rFonts w:hint="eastAsia" w:cs="黑体" w:asciiTheme="minorEastAsia" w:hAnsiTheme="minorEastAsia"/>
          <w:color w:val="000000"/>
          <w:kern w:val="0"/>
          <w:sz w:val="32"/>
          <w:szCs w:val="32"/>
          <w:lang w:val="en-US" w:eastAsia="zh-CN" w:bidi="ar-SA"/>
        </w:rPr>
        <w:t>工作</w:t>
      </w:r>
      <w:r>
        <w:rPr>
          <w:rFonts w:hint="eastAsia" w:cs="黑体" w:asciiTheme="minorEastAsia" w:hAnsiTheme="minorEastAsia" w:eastAsiaTheme="minorEastAsia"/>
          <w:color w:val="000000"/>
          <w:kern w:val="0"/>
          <w:sz w:val="32"/>
          <w:szCs w:val="32"/>
          <w:lang w:val="zh-CN" w:eastAsia="zh-CN" w:bidi="ar-SA"/>
        </w:rPr>
        <w:t>在</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委、</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政府的坚强领导下，在全体普查对象的支持配合下，通过各级普查机构和广大普查工作人员的艰苦努力，圆满完成了普查现场登记和普查主要数据的汇总工作</w:t>
      </w:r>
      <w:r>
        <w:rPr>
          <w:rFonts w:hint="eastAsia" w:cs="黑体" w:asciiTheme="minorEastAsia" w:hAnsiTheme="minorEastAsia"/>
          <w:color w:val="000000"/>
          <w:kern w:val="0"/>
          <w:sz w:val="32"/>
          <w:szCs w:val="32"/>
          <w:lang w:val="zh-CN" w:eastAsia="zh-CN" w:bidi="ar-SA"/>
        </w:rPr>
        <w:t>。</w:t>
      </w:r>
      <w:r>
        <w:rPr>
          <w:rFonts w:hint="eastAsia" w:cs="黑体" w:asciiTheme="minorEastAsia" w:hAnsiTheme="minorEastAsia" w:eastAsiaTheme="minorEastAsia"/>
          <w:color w:val="000000"/>
          <w:kern w:val="0"/>
          <w:sz w:val="32"/>
          <w:szCs w:val="32"/>
          <w:lang w:val="zh-CN" w:eastAsia="zh-CN" w:bidi="ar-SA"/>
        </w:rPr>
        <w:t>全</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常住人口为</w:t>
      </w:r>
      <w:r>
        <w:rPr>
          <w:rFonts w:hint="eastAsia" w:cs="黑体" w:asciiTheme="minorEastAsia" w:hAnsiTheme="minorEastAsia" w:eastAsiaTheme="minorEastAsia"/>
          <w:color w:val="000000"/>
          <w:kern w:val="0"/>
          <w:sz w:val="32"/>
          <w:szCs w:val="32"/>
          <w:lang w:val="en-US" w:eastAsia="zh-CN" w:bidi="ar-SA"/>
        </w:rPr>
        <w:t>712584</w:t>
      </w:r>
      <w:r>
        <w:rPr>
          <w:rFonts w:hint="eastAsia" w:cs="黑体" w:asciiTheme="minorEastAsia" w:hAnsiTheme="minorEastAsia" w:eastAsiaTheme="minorEastAsia"/>
          <w:color w:val="000000"/>
          <w:kern w:val="0"/>
          <w:sz w:val="32"/>
          <w:szCs w:val="32"/>
          <w:lang w:val="zh-CN" w:eastAsia="zh-CN" w:bidi="ar-SA"/>
        </w:rPr>
        <w:t>人，与2010年第六次全国人口普查的</w:t>
      </w:r>
      <w:r>
        <w:rPr>
          <w:rFonts w:hint="eastAsia" w:cs="黑体" w:asciiTheme="minorEastAsia" w:hAnsiTheme="minorEastAsia" w:eastAsiaTheme="minorEastAsia"/>
          <w:color w:val="000000"/>
          <w:kern w:val="0"/>
          <w:sz w:val="32"/>
          <w:szCs w:val="32"/>
          <w:lang w:val="en-US" w:eastAsia="zh-CN" w:bidi="ar-SA"/>
        </w:rPr>
        <w:t>552622</w:t>
      </w:r>
      <w:r>
        <w:rPr>
          <w:rFonts w:hint="eastAsia" w:cs="黑体" w:asciiTheme="minorEastAsia" w:hAnsiTheme="minorEastAsia" w:eastAsiaTheme="minorEastAsia"/>
          <w:color w:val="000000"/>
          <w:kern w:val="0"/>
          <w:sz w:val="32"/>
          <w:szCs w:val="32"/>
          <w:lang w:val="zh-CN" w:eastAsia="zh-CN" w:bidi="ar-SA"/>
        </w:rPr>
        <w:t>人相比，增加</w:t>
      </w:r>
      <w:r>
        <w:rPr>
          <w:rFonts w:hint="eastAsia" w:cs="黑体" w:asciiTheme="minorEastAsia" w:hAnsiTheme="minorEastAsia" w:eastAsiaTheme="minorEastAsia"/>
          <w:color w:val="000000"/>
          <w:kern w:val="0"/>
          <w:sz w:val="32"/>
          <w:szCs w:val="32"/>
          <w:lang w:val="en-US" w:eastAsia="zh-CN" w:bidi="ar-SA"/>
        </w:rPr>
        <w:t>159962</w:t>
      </w:r>
      <w:r>
        <w:rPr>
          <w:rFonts w:hint="eastAsia" w:cs="黑体" w:asciiTheme="minorEastAsia" w:hAnsiTheme="minorEastAsia" w:eastAsiaTheme="minorEastAsia"/>
          <w:color w:val="000000"/>
          <w:kern w:val="0"/>
          <w:sz w:val="32"/>
          <w:szCs w:val="32"/>
          <w:lang w:val="zh-CN" w:eastAsia="zh-CN" w:bidi="ar-SA"/>
        </w:rPr>
        <w:t>人，增长</w:t>
      </w:r>
      <w:r>
        <w:rPr>
          <w:rFonts w:hint="eastAsia" w:cs="黑体" w:asciiTheme="minorEastAsia" w:hAnsiTheme="minorEastAsia" w:eastAsiaTheme="minorEastAsia"/>
          <w:color w:val="000000"/>
          <w:kern w:val="0"/>
          <w:sz w:val="32"/>
          <w:szCs w:val="32"/>
          <w:lang w:val="en-US" w:eastAsia="zh-CN" w:bidi="ar-SA"/>
        </w:rPr>
        <w:t>28.95</w:t>
      </w:r>
      <w:r>
        <w:rPr>
          <w:rFonts w:hint="eastAsia" w:cs="黑体" w:asciiTheme="minorEastAsia" w:hAnsiTheme="minorEastAsia" w:eastAsiaTheme="minorEastAsia"/>
          <w:color w:val="000000"/>
          <w:kern w:val="0"/>
          <w:sz w:val="32"/>
          <w:szCs w:val="32"/>
          <w:lang w:val="zh-CN" w:eastAsia="zh-CN" w:bidi="ar-SA"/>
        </w:rPr>
        <w:t>%，年平均增长率为</w:t>
      </w:r>
      <w:r>
        <w:rPr>
          <w:rFonts w:hint="eastAsia" w:cs="黑体" w:asciiTheme="minorEastAsia" w:hAnsiTheme="minorEastAsia" w:eastAsiaTheme="minorEastAsia"/>
          <w:color w:val="000000"/>
          <w:kern w:val="0"/>
          <w:sz w:val="32"/>
          <w:szCs w:val="32"/>
          <w:lang w:val="en-US" w:eastAsia="zh-CN" w:bidi="ar-SA"/>
        </w:rPr>
        <w:t>2.89</w:t>
      </w:r>
      <w:r>
        <w:rPr>
          <w:rFonts w:hint="eastAsia" w:cs="黑体" w:asciiTheme="minorEastAsia" w:hAnsiTheme="minorEastAsia" w:eastAsiaTheme="minorEastAsia"/>
          <w:color w:val="000000"/>
          <w:kern w:val="0"/>
          <w:sz w:val="32"/>
          <w:szCs w:val="32"/>
          <w:lang w:val="zh-CN" w:eastAsia="zh-CN" w:bidi="ar-SA"/>
        </w:rPr>
        <w:t>%。11个乡镇街道及黄岩旅游度假区中，人口超过10万人的街道有1个：红星街道；在8万人至10万人之间的乡镇街道有4个：分别为城中街道、城南街道、盈口乡、坨院街道；在2万人至8万人之间的乡镇街道有4个，分别为迎丰街道、城北街道、河西街道、黄金坳镇；在2万人以下的乡镇街道2个，分别为凉亭坳、黄岩旅游度假区。其中，人口居前5位的乡镇街道合计459770人，占全区常住人口比重为64.52%。</w:t>
      </w:r>
    </w:p>
    <w:p>
      <w:pPr>
        <w:pStyle w:val="11"/>
        <w:ind w:firstLine="640" w:firstLineChars="200"/>
        <w:jc w:val="both"/>
        <w:rPr>
          <w:sz w:val="72"/>
          <w:szCs w:val="72"/>
        </w:rPr>
      </w:pPr>
      <w:r>
        <w:rPr>
          <w:rFonts w:hint="eastAsia" w:cs="黑体" w:asciiTheme="minorEastAsia" w:hAnsiTheme="minorEastAsia" w:eastAsiaTheme="minorEastAsia"/>
          <w:color w:val="000000"/>
          <w:kern w:val="0"/>
          <w:sz w:val="32"/>
          <w:szCs w:val="32"/>
          <w:lang w:val="en-US" w:eastAsia="zh-CN" w:bidi="ar-SA"/>
        </w:rPr>
        <w:t>2020年，我单位积极推进预算绩效管理，合理制定和编报年度预算，加强资金管理，提高资金使用效益，建立完善内部监督机制，合理列支年度经费支出。</w:t>
      </w: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both"/>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both"/>
        <w:rPr>
          <w:rFonts w:cs="黑体" w:asciiTheme="minorEastAsia" w:hAnsiTheme="minorEastAsia"/>
          <w:color w:val="000000"/>
          <w:kern w:val="0"/>
          <w:sz w:val="32"/>
          <w:szCs w:val="32"/>
        </w:rPr>
      </w:pPr>
    </w:p>
    <w:p>
      <w:pPr>
        <w:spacing w:line="600" w:lineRule="exact"/>
        <w:ind w:firstLine="640" w:firstLineChars="200"/>
        <w:jc w:val="both"/>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jc w:val="both"/>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both"/>
        <w:rPr>
          <w:rFonts w:ascii="黑体" w:eastAsia="黑体" w:cs="黑体"/>
          <w:color w:val="000000"/>
          <w:kern w:val="0"/>
          <w:sz w:val="70"/>
          <w:szCs w:val="70"/>
        </w:rPr>
      </w:pPr>
      <w:r>
        <w:rPr>
          <w:rFonts w:ascii="黑体" w:eastAsia="黑体" w:cs="黑体"/>
          <w:color w:val="000000"/>
          <w:kern w:val="0"/>
          <w:sz w:val="70"/>
          <w:szCs w:val="70"/>
        </w:rPr>
        <w:br w:type="page"/>
      </w:r>
    </w:p>
    <w:p>
      <w:pPr>
        <w:jc w:val="both"/>
        <w:rPr>
          <w:rFonts w:ascii="黑体" w:eastAsia="黑体" w:cs="黑体"/>
          <w:color w:val="000000"/>
          <w:kern w:val="0"/>
          <w:sz w:val="70"/>
          <w:szCs w:val="70"/>
        </w:rPr>
      </w:pPr>
    </w:p>
    <w:p>
      <w:pPr>
        <w:ind w:firstLine="880" w:firstLineChars="200"/>
        <w:jc w:val="center"/>
        <w:rPr>
          <w:rFonts w:hint="eastAsia" w:cs="黑体" w:asciiTheme="minorEastAsia" w:hAnsiTheme="minorEastAsia"/>
          <w:b/>
          <w:color w:val="000000"/>
          <w:kern w:val="0"/>
          <w:sz w:val="44"/>
          <w:szCs w:val="44"/>
        </w:rPr>
      </w:pPr>
      <w:r>
        <w:rPr>
          <w:rFonts w:hint="eastAsia" w:cs="黑体" w:asciiTheme="minorEastAsia" w:hAnsiTheme="minorEastAsia"/>
          <w:b/>
          <w:color w:val="000000"/>
          <w:kern w:val="0"/>
          <w:sz w:val="44"/>
          <w:szCs w:val="44"/>
        </w:rPr>
        <w:t>20</w:t>
      </w:r>
      <w:r>
        <w:rPr>
          <w:rFonts w:hint="eastAsia" w:cs="黑体" w:asciiTheme="minorEastAsia" w:hAnsiTheme="minorEastAsia"/>
          <w:b/>
          <w:color w:val="000000"/>
          <w:kern w:val="0"/>
          <w:sz w:val="44"/>
          <w:szCs w:val="44"/>
          <w:lang w:val="en-US" w:eastAsia="zh-CN"/>
        </w:rPr>
        <w:t>20</w:t>
      </w:r>
      <w:r>
        <w:rPr>
          <w:rFonts w:hint="eastAsia" w:cs="黑体" w:asciiTheme="minorEastAsia" w:hAnsiTheme="minorEastAsia"/>
          <w:b/>
          <w:color w:val="000000"/>
          <w:kern w:val="0"/>
          <w:sz w:val="44"/>
          <w:szCs w:val="44"/>
        </w:rPr>
        <w:t>年度部门整体支出绩效评价报告</w:t>
      </w:r>
    </w:p>
    <w:p>
      <w:pPr>
        <w:pStyle w:val="12"/>
        <w:widowControl/>
        <w:numPr>
          <w:ilvl w:val="0"/>
          <w:numId w:val="2"/>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12"/>
        <w:widowControl/>
        <w:numPr>
          <w:ilvl w:val="0"/>
          <w:numId w:val="3"/>
        </w:numPr>
        <w:spacing w:line="600" w:lineRule="exact"/>
        <w:ind w:firstLine="640" w:firstLineChars="200"/>
        <w:jc w:val="both"/>
        <w:rPr>
          <w:rFonts w:hint="eastAsia" w:asciiTheme="minorEastAsia" w:hAnsiTheme="minorEastAsia"/>
          <w:bCs/>
          <w:kern w:val="0"/>
          <w:sz w:val="32"/>
          <w:szCs w:val="32"/>
          <w:lang w:val="en-US" w:eastAsia="zh-CN"/>
        </w:rPr>
      </w:pPr>
      <w:r>
        <w:rPr>
          <w:rFonts w:hint="eastAsia" w:asciiTheme="minorEastAsia" w:hAnsiTheme="minorEastAsia"/>
          <w:bCs/>
          <w:kern w:val="0"/>
          <w:sz w:val="32"/>
          <w:szCs w:val="32"/>
          <w:lang w:val="en-US" w:eastAsia="zh-CN"/>
        </w:rPr>
        <w:t>部门职责</w:t>
      </w:r>
    </w:p>
    <w:p>
      <w:pPr>
        <w:pStyle w:val="12"/>
        <w:widowControl/>
        <w:numPr>
          <w:ilvl w:val="0"/>
          <w:numId w:val="0"/>
        </w:numPr>
        <w:spacing w:line="600" w:lineRule="exact"/>
        <w:jc w:val="both"/>
        <w:rPr>
          <w:rFonts w:hint="default" w:asciiTheme="minorEastAsia" w:hAnsiTheme="minorEastAsia"/>
          <w:bCs/>
          <w:kern w:val="0"/>
          <w:sz w:val="32"/>
          <w:szCs w:val="32"/>
          <w:lang w:val="en-US" w:eastAsia="zh-CN"/>
        </w:rPr>
      </w:pPr>
      <w:r>
        <w:rPr>
          <w:rFonts w:hint="eastAsia" w:asciiTheme="minorEastAsia" w:hAnsiTheme="minorEastAsia"/>
          <w:bCs/>
          <w:kern w:val="0"/>
          <w:sz w:val="32"/>
          <w:szCs w:val="32"/>
          <w:lang w:val="en-US" w:eastAsia="zh-CN"/>
        </w:rPr>
        <w:t xml:space="preserve">    负责为区委、区政府制定政策、编制国民经济和社会发展规划提供统计资料：定期发布全区国民经济和社会发展情况统计公报以及有关普查和专项调查公报，公布社会统计信息；组织协调全区农村和企业调查及各项大型普查工作；检查监督统计法规的实施情况，查处各类统计违法行为。</w:t>
      </w:r>
    </w:p>
    <w:p>
      <w:pPr>
        <w:pStyle w:val="12"/>
        <w:widowControl/>
        <w:numPr>
          <w:ilvl w:val="0"/>
          <w:numId w:val="3"/>
        </w:numPr>
        <w:spacing w:line="600" w:lineRule="exact"/>
        <w:ind w:firstLine="640" w:firstLineChars="200"/>
        <w:jc w:val="both"/>
        <w:rPr>
          <w:rFonts w:hint="default" w:asciiTheme="minorEastAsia" w:hAnsiTheme="minorEastAsia"/>
          <w:bCs/>
          <w:kern w:val="0"/>
          <w:sz w:val="32"/>
          <w:szCs w:val="32"/>
          <w:lang w:val="en-US" w:eastAsia="zh-CN"/>
        </w:rPr>
      </w:pPr>
      <w:r>
        <w:rPr>
          <w:rFonts w:hint="eastAsia" w:asciiTheme="minorEastAsia" w:hAnsiTheme="minorEastAsia"/>
          <w:bCs/>
          <w:kern w:val="0"/>
          <w:sz w:val="32"/>
          <w:szCs w:val="32"/>
          <w:lang w:val="en-US" w:eastAsia="zh-CN"/>
        </w:rPr>
        <w:t>机构设置</w:t>
      </w:r>
    </w:p>
    <w:p>
      <w:pPr>
        <w:pStyle w:val="12"/>
        <w:widowControl/>
        <w:numPr>
          <w:ilvl w:val="0"/>
          <w:numId w:val="0"/>
        </w:numPr>
        <w:spacing w:line="600" w:lineRule="exact"/>
        <w:ind w:firstLine="640" w:firstLineChars="200"/>
        <w:jc w:val="both"/>
        <w:rPr>
          <w:rFonts w:hint="default" w:asciiTheme="minorEastAsia" w:hAnsiTheme="minorEastAsia"/>
          <w:bCs/>
          <w:kern w:val="0"/>
          <w:sz w:val="32"/>
          <w:szCs w:val="32"/>
          <w:lang w:val="en-US" w:eastAsia="zh-CN"/>
        </w:rPr>
      </w:pPr>
      <w:r>
        <w:rPr>
          <w:rFonts w:hint="eastAsia" w:asciiTheme="minorEastAsia" w:hAnsiTheme="minorEastAsia"/>
          <w:bCs/>
          <w:kern w:val="0"/>
          <w:sz w:val="32"/>
          <w:szCs w:val="32"/>
          <w:lang w:val="en-US" w:eastAsia="zh-CN"/>
        </w:rPr>
        <w:t>鹤城区统计局</w:t>
      </w:r>
      <w:r>
        <w:rPr>
          <w:rFonts w:hint="eastAsia" w:asciiTheme="minorEastAsia" w:hAnsiTheme="minorEastAsia"/>
          <w:bCs/>
          <w:kern w:val="0"/>
          <w:sz w:val="32"/>
          <w:szCs w:val="32"/>
        </w:rPr>
        <w:t>内设机构包括：</w:t>
      </w:r>
      <w:r>
        <w:rPr>
          <w:rFonts w:hint="eastAsia" w:asciiTheme="minorEastAsia" w:hAnsiTheme="minorEastAsia"/>
          <w:bCs/>
          <w:kern w:val="0"/>
          <w:sz w:val="32"/>
          <w:szCs w:val="32"/>
          <w:lang w:val="en-US" w:eastAsia="zh-CN"/>
        </w:rPr>
        <w:t>办公室、综合统计股、经济统计股、法规股。</w:t>
      </w:r>
      <w:r>
        <w:rPr>
          <w:rFonts w:hint="eastAsia" w:asciiTheme="minorEastAsia" w:hAnsiTheme="minorEastAsia"/>
          <w:bCs/>
          <w:kern w:val="0"/>
          <w:sz w:val="32"/>
          <w:szCs w:val="32"/>
        </w:rPr>
        <w:t>下设</w:t>
      </w:r>
      <w:r>
        <w:rPr>
          <w:rFonts w:hint="eastAsia" w:asciiTheme="minorEastAsia" w:hAnsiTheme="minorEastAsia"/>
          <w:bCs/>
          <w:kern w:val="0"/>
          <w:sz w:val="32"/>
          <w:szCs w:val="32"/>
          <w:lang w:val="en-US" w:eastAsia="zh-CN"/>
        </w:rPr>
        <w:t>电子计算机站</w:t>
      </w:r>
      <w:r>
        <w:rPr>
          <w:rFonts w:hint="eastAsia" w:asciiTheme="minorEastAsia" w:hAnsiTheme="minorEastAsia"/>
          <w:bCs/>
          <w:kern w:val="0"/>
          <w:sz w:val="32"/>
          <w:szCs w:val="32"/>
        </w:rPr>
        <w:t>、农村</w:t>
      </w:r>
      <w:r>
        <w:rPr>
          <w:rFonts w:hint="eastAsia" w:asciiTheme="minorEastAsia" w:hAnsiTheme="minorEastAsia"/>
          <w:bCs/>
          <w:kern w:val="0"/>
          <w:sz w:val="32"/>
          <w:szCs w:val="32"/>
          <w:lang w:val="en-US" w:eastAsia="zh-CN"/>
        </w:rPr>
        <w:t>社会</w:t>
      </w:r>
      <w:r>
        <w:rPr>
          <w:rFonts w:hint="eastAsia" w:asciiTheme="minorEastAsia" w:hAnsiTheme="minorEastAsia"/>
          <w:bCs/>
          <w:kern w:val="0"/>
          <w:sz w:val="32"/>
          <w:szCs w:val="32"/>
        </w:rPr>
        <w:t>经济调查队、</w:t>
      </w:r>
      <w:r>
        <w:rPr>
          <w:rFonts w:hint="eastAsia" w:asciiTheme="minorEastAsia" w:hAnsiTheme="minorEastAsia"/>
          <w:bCs/>
          <w:kern w:val="0"/>
          <w:sz w:val="32"/>
          <w:szCs w:val="32"/>
          <w:lang w:val="en-US" w:eastAsia="zh-CN"/>
        </w:rPr>
        <w:t>普查中心3</w:t>
      </w:r>
      <w:r>
        <w:rPr>
          <w:rFonts w:hint="eastAsia" w:asciiTheme="minorEastAsia" w:hAnsiTheme="minorEastAsia"/>
          <w:bCs/>
          <w:kern w:val="0"/>
          <w:sz w:val="32"/>
          <w:szCs w:val="32"/>
        </w:rPr>
        <w:t>个二级事业单位。</w:t>
      </w:r>
    </w:p>
    <w:p>
      <w:pPr>
        <w:pStyle w:val="12"/>
        <w:widowControl/>
        <w:spacing w:line="600" w:lineRule="exact"/>
        <w:ind w:left="640" w:firstLine="0" w:firstLineChars="0"/>
        <w:jc w:val="both"/>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2"/>
        <w:widowControl/>
        <w:spacing w:line="600" w:lineRule="exact"/>
        <w:ind w:left="640" w:firstLine="0" w:firstLineChars="0"/>
        <w:jc w:val="both"/>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2020年我单位认真贯彻中央八项规定和六项禁令，厉行节约、严控“三公经费”和日常公用经费，严格执行财务管理制度和内部控制规范体系，大额资金实行三重一大集体决策制度。实行“部门预算”、“三公经费”预算、“政府采购”预算公开制度，有效控制了基本支出。规范经费支出流程。严格按照政府文件、人社局审批批示及标准发放奖金和津补贴；严格办公用品采购流程，实行采购、使用、核算三分离；严格一般公务差旅费审批制度；严格劳务合同管理；严格票据管理制度等。</w:t>
      </w:r>
      <w:r>
        <w:rPr>
          <w:rFonts w:hint="eastAsia" w:cs="Times New Roman" w:asciiTheme="minorEastAsia" w:hAnsiTheme="minorEastAsia"/>
          <w:bCs/>
          <w:kern w:val="0"/>
          <w:sz w:val="32"/>
          <w:szCs w:val="32"/>
          <w:lang w:val="en-US" w:eastAsia="zh-CN" w:bidi="ar-SA"/>
        </w:rPr>
        <w:t>2020年，我局一般公共服务支出738.91万元，其中：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（1）</w:t>
      </w:r>
      <w:r>
        <w:rPr>
          <w:rFonts w:hint="eastAsia" w:eastAsia="宋体" w:cs="Times New Roman" w:asciiTheme="minorEastAsia" w:hAnsiTheme="minorEastAsia"/>
          <w:bCs/>
          <w:kern w:val="0"/>
          <w:sz w:val="32"/>
          <w:szCs w:val="32"/>
          <w:lang w:val="en-US" w:eastAsia="zh-CN" w:bidi="ar-SA"/>
        </w:rPr>
        <w:t>工资福利支出</w:t>
      </w:r>
      <w:r>
        <w:rPr>
          <w:rFonts w:hint="eastAsia" w:cs="Times New Roman" w:asciiTheme="minorEastAsia" w:hAnsiTheme="minorEastAsia"/>
          <w:bCs/>
          <w:kern w:val="0"/>
          <w:sz w:val="32"/>
          <w:szCs w:val="32"/>
          <w:lang w:val="en-US" w:eastAsia="zh-CN" w:bidi="ar-SA"/>
        </w:rPr>
        <w:t>231.5</w:t>
      </w:r>
      <w:r>
        <w:rPr>
          <w:rFonts w:hint="eastAsia" w:eastAsia="宋体" w:cs="Times New Roman" w:asciiTheme="minorEastAsia" w:hAnsiTheme="minorEastAsia"/>
          <w:bCs/>
          <w:kern w:val="0"/>
          <w:sz w:val="32"/>
          <w:szCs w:val="32"/>
          <w:lang w:val="en-US" w:eastAsia="zh-CN" w:bidi="ar-SA"/>
        </w:rPr>
        <w:t>万元，主要是基本工资、津补贴、奖金、</w:t>
      </w:r>
      <w:r>
        <w:rPr>
          <w:rFonts w:hint="eastAsia" w:cs="Times New Roman" w:asciiTheme="minorEastAsia" w:hAnsiTheme="minorEastAsia"/>
          <w:bCs/>
          <w:kern w:val="0"/>
          <w:sz w:val="32"/>
          <w:szCs w:val="32"/>
          <w:lang w:val="en-US" w:eastAsia="zh-CN" w:bidi="ar-SA"/>
        </w:rPr>
        <w:t>伙食补助费、绩效工资、</w:t>
      </w:r>
      <w:r>
        <w:rPr>
          <w:rFonts w:hint="eastAsia" w:eastAsia="宋体" w:cs="Times New Roman" w:asciiTheme="minorEastAsia" w:hAnsiTheme="minorEastAsia"/>
          <w:bCs/>
          <w:kern w:val="0"/>
          <w:sz w:val="32"/>
          <w:szCs w:val="32"/>
          <w:lang w:val="en-US" w:eastAsia="zh-CN" w:bidi="ar-SA"/>
        </w:rPr>
        <w:t>其他社会保障缴费</w:t>
      </w:r>
      <w:r>
        <w:rPr>
          <w:rFonts w:hint="eastAsia" w:cs="Times New Roman" w:asciiTheme="minorEastAsia" w:hAnsiTheme="minorEastAsia"/>
          <w:bCs/>
          <w:kern w:val="0"/>
          <w:sz w:val="32"/>
          <w:szCs w:val="32"/>
          <w:lang w:val="en-US" w:eastAsia="zh-CN" w:bidi="ar-SA"/>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（2）商品服务支出</w:t>
      </w:r>
      <w:r>
        <w:rPr>
          <w:rFonts w:hint="eastAsia" w:cs="Times New Roman" w:asciiTheme="minorEastAsia" w:hAnsiTheme="minorEastAsia"/>
          <w:bCs/>
          <w:kern w:val="0"/>
          <w:sz w:val="32"/>
          <w:szCs w:val="32"/>
          <w:lang w:val="en-US" w:eastAsia="zh-CN" w:bidi="ar-SA"/>
        </w:rPr>
        <w:t>13.7</w:t>
      </w:r>
      <w:r>
        <w:rPr>
          <w:rFonts w:hint="eastAsia" w:eastAsia="宋体" w:cs="Times New Roman" w:asciiTheme="minorEastAsia" w:hAnsiTheme="minorEastAsia"/>
          <w:bCs/>
          <w:kern w:val="0"/>
          <w:sz w:val="32"/>
          <w:szCs w:val="32"/>
          <w:lang w:val="en-US" w:eastAsia="zh-CN" w:bidi="ar-SA"/>
        </w:rPr>
        <w:t>万元，主要是办公费、电费、邮电费、差旅费、维修</w:t>
      </w:r>
      <w:r>
        <w:rPr>
          <w:rFonts w:hint="eastAsia" w:cs="Times New Roman" w:asciiTheme="minorEastAsia" w:hAnsiTheme="minorEastAsia"/>
          <w:bCs/>
          <w:kern w:val="0"/>
          <w:sz w:val="32"/>
          <w:szCs w:val="32"/>
          <w:lang w:val="en-US" w:eastAsia="zh-CN" w:bidi="ar-SA"/>
        </w:rPr>
        <w:t>（护）</w:t>
      </w:r>
      <w:r>
        <w:rPr>
          <w:rFonts w:hint="eastAsia" w:eastAsia="宋体" w:cs="Times New Roman" w:asciiTheme="minorEastAsia" w:hAnsiTheme="minorEastAsia"/>
          <w:bCs/>
          <w:kern w:val="0"/>
          <w:sz w:val="32"/>
          <w:szCs w:val="32"/>
          <w:lang w:val="en-US" w:eastAsia="zh-CN" w:bidi="ar-SA"/>
        </w:rPr>
        <w:t>费、租赁费、会议费、培训费、公务接待费、</w:t>
      </w:r>
      <w:r>
        <w:rPr>
          <w:rFonts w:hint="eastAsia" w:cs="Times New Roman" w:asciiTheme="minorEastAsia" w:hAnsiTheme="minorEastAsia"/>
          <w:bCs/>
          <w:kern w:val="0"/>
          <w:sz w:val="32"/>
          <w:szCs w:val="32"/>
          <w:lang w:val="en-US" w:eastAsia="zh-CN" w:bidi="ar-SA"/>
        </w:rPr>
        <w:t>专用材料费、</w:t>
      </w:r>
      <w:r>
        <w:rPr>
          <w:rFonts w:hint="eastAsia" w:eastAsia="宋体" w:cs="Times New Roman" w:asciiTheme="minorEastAsia" w:hAnsiTheme="minorEastAsia"/>
          <w:bCs/>
          <w:kern w:val="0"/>
          <w:sz w:val="32"/>
          <w:szCs w:val="32"/>
          <w:lang w:val="en-US" w:eastAsia="zh-CN" w:bidi="ar-SA"/>
        </w:rPr>
        <w:t>劳务费、</w:t>
      </w:r>
      <w:r>
        <w:rPr>
          <w:rFonts w:hint="eastAsia" w:cs="Times New Roman" w:asciiTheme="minorEastAsia" w:hAnsiTheme="minorEastAsia"/>
          <w:bCs/>
          <w:kern w:val="0"/>
          <w:sz w:val="32"/>
          <w:szCs w:val="32"/>
          <w:lang w:val="en-US" w:eastAsia="zh-CN" w:bidi="ar-SA"/>
        </w:rPr>
        <w:t>委托业务费、工会经费、</w:t>
      </w:r>
      <w:r>
        <w:rPr>
          <w:rFonts w:hint="eastAsia" w:eastAsia="宋体" w:cs="Times New Roman" w:asciiTheme="minorEastAsia" w:hAnsiTheme="minorEastAsia"/>
          <w:bCs/>
          <w:kern w:val="0"/>
          <w:sz w:val="32"/>
          <w:szCs w:val="32"/>
          <w:lang w:val="en-US" w:eastAsia="zh-CN" w:bidi="ar-SA"/>
        </w:rPr>
        <w:t>其他交通费用、其他商品服务支出。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（3）对家庭和个人的补助</w:t>
      </w:r>
      <w:r>
        <w:rPr>
          <w:rFonts w:hint="eastAsia" w:cs="Times New Roman" w:asciiTheme="minorEastAsia" w:hAnsiTheme="minorEastAsia"/>
          <w:bCs/>
          <w:kern w:val="0"/>
          <w:sz w:val="32"/>
          <w:szCs w:val="32"/>
          <w:lang w:val="en-US" w:eastAsia="zh-CN" w:bidi="ar-SA"/>
        </w:rPr>
        <w:t>0.58</w:t>
      </w:r>
      <w:r>
        <w:rPr>
          <w:rFonts w:hint="eastAsia" w:eastAsia="宋体" w:cs="Times New Roman" w:asciiTheme="minorEastAsia" w:hAnsiTheme="minorEastAsia"/>
          <w:bCs/>
          <w:kern w:val="0"/>
          <w:sz w:val="32"/>
          <w:szCs w:val="32"/>
          <w:lang w:val="en-US" w:eastAsia="zh-CN" w:bidi="ar-SA"/>
        </w:rPr>
        <w:t>万元，主要是生活补助、</w:t>
      </w:r>
      <w:r>
        <w:rPr>
          <w:rFonts w:hint="eastAsia" w:cs="Times New Roman" w:asciiTheme="minorEastAsia" w:hAnsiTheme="minorEastAsia"/>
          <w:bCs/>
          <w:kern w:val="0"/>
          <w:sz w:val="32"/>
          <w:szCs w:val="32"/>
          <w:lang w:val="en-US" w:eastAsia="zh-CN" w:bidi="ar-SA"/>
        </w:rPr>
        <w:t>奖励金</w:t>
      </w:r>
      <w:r>
        <w:rPr>
          <w:rFonts w:hint="eastAsia" w:eastAsia="宋体" w:cs="Times New Roman" w:asciiTheme="minorEastAsia" w:hAnsiTheme="minorEastAsia"/>
          <w:bCs/>
          <w:kern w:val="0"/>
          <w:sz w:val="32"/>
          <w:szCs w:val="32"/>
          <w:lang w:val="en-US" w:eastAsia="zh-CN" w:bidi="ar-SA"/>
        </w:rPr>
        <w:t>。</w:t>
      </w:r>
    </w:p>
    <w:p>
      <w:pPr>
        <w:pStyle w:val="12"/>
        <w:widowControl/>
        <w:spacing w:line="600" w:lineRule="exact"/>
        <w:ind w:left="640" w:firstLine="0" w:firstLineChars="0"/>
        <w:jc w:val="both"/>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1</w:t>
      </w:r>
      <w:r>
        <w:rPr>
          <w:rFonts w:hint="eastAsia" w:cs="Times New Roman" w:asciiTheme="minorEastAsia" w:hAnsiTheme="minorEastAsia"/>
          <w:bCs/>
          <w:kern w:val="0"/>
          <w:sz w:val="32"/>
          <w:szCs w:val="32"/>
          <w:lang w:val="en-US" w:eastAsia="zh-CN" w:bidi="ar-SA"/>
        </w:rPr>
        <w:t>.</w:t>
      </w:r>
      <w:r>
        <w:rPr>
          <w:rFonts w:hint="eastAsia" w:eastAsia="宋体" w:cs="Times New Roman" w:asciiTheme="minorEastAsia" w:hAnsiTheme="minorEastAsia"/>
          <w:bCs/>
          <w:kern w:val="0"/>
          <w:sz w:val="32"/>
          <w:szCs w:val="32"/>
          <w:lang w:val="en-US" w:eastAsia="zh-CN" w:bidi="ar-SA"/>
        </w:rPr>
        <w:t>专项资金安排：2020年度我局由</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委、</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政府安排、人大审批安排专项项目</w:t>
      </w:r>
      <w:r>
        <w:rPr>
          <w:rFonts w:hint="eastAsia" w:cs="Times New Roman" w:asciiTheme="minorEastAsia" w:hAnsiTheme="minorEastAsia"/>
          <w:bCs/>
          <w:kern w:val="0"/>
          <w:sz w:val="32"/>
          <w:szCs w:val="32"/>
          <w:lang w:val="en-US" w:eastAsia="zh-CN" w:bidi="ar-SA"/>
        </w:rPr>
        <w:t>5</w:t>
      </w:r>
      <w:r>
        <w:rPr>
          <w:rFonts w:hint="eastAsia" w:eastAsia="宋体" w:cs="Times New Roman" w:asciiTheme="minorEastAsia" w:hAnsiTheme="minorEastAsia"/>
          <w:bCs/>
          <w:kern w:val="0"/>
          <w:sz w:val="32"/>
          <w:szCs w:val="32"/>
          <w:lang w:val="en-US" w:eastAsia="zh-CN" w:bidi="ar-SA"/>
        </w:rPr>
        <w:t>项，投入专项资金</w:t>
      </w:r>
      <w:r>
        <w:rPr>
          <w:rFonts w:hint="eastAsia" w:cs="Times New Roman" w:asciiTheme="minorEastAsia" w:hAnsiTheme="minorEastAsia"/>
          <w:bCs/>
          <w:kern w:val="0"/>
          <w:sz w:val="32"/>
          <w:szCs w:val="32"/>
          <w:lang w:val="en-US" w:eastAsia="zh-CN" w:bidi="ar-SA"/>
        </w:rPr>
        <w:t>497.21</w:t>
      </w:r>
      <w:r>
        <w:rPr>
          <w:rFonts w:hint="eastAsia" w:eastAsia="宋体" w:cs="Times New Roman" w:asciiTheme="minorEastAsia" w:hAnsiTheme="minorEastAsia"/>
          <w:bCs/>
          <w:kern w:val="0"/>
          <w:sz w:val="32"/>
          <w:szCs w:val="32"/>
          <w:lang w:val="en-US" w:eastAsia="zh-CN" w:bidi="ar-SA"/>
        </w:rPr>
        <w:t>万元，主要项目</w:t>
      </w:r>
      <w:r>
        <w:rPr>
          <w:rFonts w:hint="eastAsia" w:cs="Times New Roman" w:asciiTheme="minorEastAsia" w:hAnsiTheme="minorEastAsia"/>
          <w:bCs/>
          <w:kern w:val="0"/>
          <w:sz w:val="32"/>
          <w:szCs w:val="32"/>
          <w:lang w:val="en-US" w:eastAsia="zh-CN" w:bidi="ar-SA"/>
        </w:rPr>
        <w:t>有</w:t>
      </w:r>
      <w:r>
        <w:rPr>
          <w:rFonts w:hint="eastAsia" w:eastAsia="宋体" w:cs="Times New Roman" w:asciiTheme="minorEastAsia" w:hAnsiTheme="minorEastAsia"/>
          <w:bCs/>
          <w:kern w:val="0"/>
          <w:sz w:val="32"/>
          <w:szCs w:val="32"/>
          <w:lang w:val="en-US" w:eastAsia="zh-CN" w:bidi="ar-SA"/>
        </w:rPr>
        <w:t>：第七次全国人口普查数据采集终端PAD设备资金236万元；第七次全国人口普查、联网直报、在地统计、住户调查及统计结果运用197.57万元；第四次全国经济普查45万元；劳动工资统计调查13.5万元；劳动力调查3.02万元；人口变动抽样调查2.12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2.专项资金实际使用情况：2020年专项资金实际使用493.13万元，预算支出完成率99.18%。</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3.专项资金管理情况：我局建立内部控制制度，规范管理。专项资金的分配、使用、管理严格按制度执行，大额资金支出实行“三重一大”集体决策机制，确保资金使用公开、公正、科学、高效，专款专用、不被挤占、挪用、借用或随意调整，实行报账制管理等原则执行。</w:t>
      </w:r>
    </w:p>
    <w:p>
      <w:pPr>
        <w:pStyle w:val="12"/>
        <w:widowControl/>
        <w:spacing w:line="600" w:lineRule="exact"/>
        <w:ind w:left="640" w:firstLine="0" w:firstLineChars="0"/>
        <w:jc w:val="both"/>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2"/>
        <w:widowControl/>
        <w:spacing w:line="600" w:lineRule="exact"/>
        <w:ind w:left="640" w:firstLine="0" w:firstLineChars="0"/>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我单位无政府性基金预算支出。</w:t>
      </w:r>
    </w:p>
    <w:p>
      <w:pPr>
        <w:pStyle w:val="12"/>
        <w:widowControl/>
        <w:numPr>
          <w:ilvl w:val="0"/>
          <w:numId w:val="4"/>
        </w:numPr>
        <w:spacing w:line="600" w:lineRule="exact"/>
        <w:ind w:left="640" w:firstLine="0" w:firstLineChars="0"/>
        <w:jc w:val="both"/>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2"/>
        <w:widowControl/>
        <w:spacing w:line="600" w:lineRule="exact"/>
        <w:ind w:left="640" w:firstLine="0" w:firstLineChars="0"/>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我单位无国有资本经营预算支出。</w:t>
      </w:r>
    </w:p>
    <w:p>
      <w:pPr>
        <w:pStyle w:val="12"/>
        <w:widowControl/>
        <w:spacing w:line="600" w:lineRule="exact"/>
        <w:ind w:left="640" w:firstLine="0" w:firstLineChars="0"/>
        <w:jc w:val="both"/>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2"/>
        <w:widowControl/>
        <w:spacing w:line="600" w:lineRule="exact"/>
        <w:ind w:left="640" w:firstLine="0" w:firstLineChars="0"/>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我单位无社会保险基金预算支出。</w:t>
      </w:r>
    </w:p>
    <w:p>
      <w:pPr>
        <w:widowControl/>
        <w:spacing w:line="600" w:lineRule="exact"/>
        <w:ind w:firstLine="645"/>
        <w:jc w:val="both"/>
        <w:rPr>
          <w:rFonts w:eastAsia="黑体"/>
          <w:sz w:val="32"/>
          <w:szCs w:val="32"/>
        </w:rPr>
      </w:pPr>
      <w:r>
        <w:rPr>
          <w:rFonts w:eastAsia="黑体"/>
          <w:sz w:val="32"/>
          <w:szCs w:val="32"/>
        </w:rPr>
        <w:t>六、部门整体支出绩效情况</w:t>
      </w:r>
    </w:p>
    <w:p>
      <w:pPr>
        <w:pStyle w:val="12"/>
        <w:widowControl/>
        <w:spacing w:line="600" w:lineRule="exact"/>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2020年，我局</w:t>
      </w:r>
      <w:r>
        <w:rPr>
          <w:rFonts w:hint="eastAsia" w:cs="Times New Roman" w:asciiTheme="minorEastAsia" w:hAnsiTheme="minorEastAsia"/>
          <w:bCs/>
          <w:kern w:val="0"/>
          <w:sz w:val="32"/>
          <w:szCs w:val="32"/>
          <w:lang w:val="en-US" w:eastAsia="zh-CN" w:bidi="ar-SA"/>
        </w:rPr>
        <w:t>一般</w:t>
      </w:r>
      <w:r>
        <w:rPr>
          <w:rFonts w:hint="eastAsia" w:eastAsia="宋体" w:cs="Times New Roman" w:asciiTheme="minorEastAsia" w:hAnsiTheme="minorEastAsia"/>
          <w:bCs/>
          <w:kern w:val="0"/>
          <w:sz w:val="32"/>
          <w:szCs w:val="32"/>
          <w:lang w:val="en-US" w:eastAsia="zh-CN" w:bidi="ar-SA"/>
        </w:rPr>
        <w:t>公共财政预算支出共计</w:t>
      </w:r>
      <w:r>
        <w:rPr>
          <w:rFonts w:hint="eastAsia" w:cs="Times New Roman" w:asciiTheme="minorEastAsia" w:hAnsiTheme="minorEastAsia"/>
          <w:bCs/>
          <w:kern w:val="0"/>
          <w:sz w:val="32"/>
          <w:szCs w:val="32"/>
          <w:lang w:val="en-US" w:eastAsia="zh-CN" w:bidi="ar-SA"/>
        </w:rPr>
        <w:t>738.91</w:t>
      </w:r>
      <w:r>
        <w:rPr>
          <w:rFonts w:hint="eastAsia" w:eastAsia="宋体" w:cs="Times New Roman" w:asciiTheme="minorEastAsia" w:hAnsiTheme="minorEastAsia"/>
          <w:bCs/>
          <w:kern w:val="0"/>
          <w:sz w:val="32"/>
          <w:szCs w:val="32"/>
          <w:lang w:val="en-US" w:eastAsia="zh-CN" w:bidi="ar-SA"/>
        </w:rPr>
        <w:t>万元，其中:基本支出</w:t>
      </w:r>
      <w:r>
        <w:rPr>
          <w:rFonts w:hint="eastAsia" w:cs="Times New Roman" w:asciiTheme="minorEastAsia" w:hAnsiTheme="minorEastAsia"/>
          <w:bCs/>
          <w:kern w:val="0"/>
          <w:sz w:val="32"/>
          <w:szCs w:val="32"/>
          <w:lang w:val="en-US" w:eastAsia="zh-CN" w:bidi="ar-SA"/>
        </w:rPr>
        <w:t>245.78</w:t>
      </w:r>
      <w:r>
        <w:rPr>
          <w:rFonts w:hint="eastAsia" w:eastAsia="宋体" w:cs="Times New Roman" w:asciiTheme="minorEastAsia" w:hAnsiTheme="minorEastAsia"/>
          <w:bCs/>
          <w:kern w:val="0"/>
          <w:sz w:val="32"/>
          <w:szCs w:val="32"/>
          <w:lang w:val="en-US" w:eastAsia="zh-CN" w:bidi="ar-SA"/>
        </w:rPr>
        <w:t>万元，</w:t>
      </w:r>
      <w:r>
        <w:rPr>
          <w:rFonts w:hint="eastAsia" w:cs="Times New Roman" w:asciiTheme="minorEastAsia" w:hAnsiTheme="minorEastAsia"/>
          <w:bCs/>
          <w:kern w:val="0"/>
          <w:sz w:val="32"/>
          <w:szCs w:val="32"/>
          <w:lang w:val="en-US" w:eastAsia="zh-CN" w:bidi="ar-SA"/>
        </w:rPr>
        <w:t>项目支出493.13万元。</w:t>
      </w:r>
      <w:r>
        <w:rPr>
          <w:rFonts w:hint="eastAsia" w:eastAsia="宋体" w:cs="Times New Roman" w:asciiTheme="minorEastAsia" w:hAnsiTheme="minorEastAsia"/>
          <w:bCs/>
          <w:kern w:val="0"/>
          <w:sz w:val="32"/>
          <w:szCs w:val="32"/>
          <w:lang w:val="en-US" w:eastAsia="zh-CN" w:bidi="ar-SA"/>
        </w:rPr>
        <w:t>主要包括工资福利支出</w:t>
      </w:r>
      <w:r>
        <w:rPr>
          <w:rFonts w:hint="eastAsia" w:cs="Times New Roman" w:asciiTheme="minorEastAsia" w:hAnsiTheme="minorEastAsia"/>
          <w:bCs/>
          <w:kern w:val="0"/>
          <w:sz w:val="32"/>
          <w:szCs w:val="32"/>
          <w:lang w:val="en-US" w:eastAsia="zh-CN" w:bidi="ar-SA"/>
        </w:rPr>
        <w:t>231.5</w:t>
      </w:r>
      <w:r>
        <w:rPr>
          <w:rFonts w:hint="eastAsia" w:eastAsia="宋体" w:cs="Times New Roman" w:asciiTheme="minorEastAsia" w:hAnsiTheme="minorEastAsia"/>
          <w:bCs/>
          <w:kern w:val="0"/>
          <w:sz w:val="32"/>
          <w:szCs w:val="32"/>
          <w:lang w:val="en-US" w:eastAsia="zh-CN" w:bidi="ar-SA"/>
        </w:rPr>
        <w:t>万元，商品服务支出</w:t>
      </w:r>
      <w:r>
        <w:rPr>
          <w:rFonts w:hint="eastAsia" w:cs="Times New Roman" w:asciiTheme="minorEastAsia" w:hAnsiTheme="minorEastAsia"/>
          <w:bCs/>
          <w:kern w:val="0"/>
          <w:sz w:val="32"/>
          <w:szCs w:val="32"/>
          <w:lang w:val="en-US" w:eastAsia="zh-CN" w:bidi="ar-SA"/>
        </w:rPr>
        <w:t>455.81</w:t>
      </w:r>
      <w:r>
        <w:rPr>
          <w:rFonts w:hint="eastAsia" w:eastAsia="宋体" w:cs="Times New Roman" w:asciiTheme="minorEastAsia" w:hAnsiTheme="minorEastAsia"/>
          <w:bCs/>
          <w:kern w:val="0"/>
          <w:sz w:val="32"/>
          <w:szCs w:val="32"/>
          <w:lang w:val="en-US" w:eastAsia="zh-CN" w:bidi="ar-SA"/>
        </w:rPr>
        <w:t>万元。</w:t>
      </w:r>
      <w:r>
        <w:rPr>
          <w:rFonts w:hint="eastAsia" w:cs="Times New Roman" w:asciiTheme="minorEastAsia" w:hAnsiTheme="minorEastAsia"/>
          <w:bCs/>
          <w:kern w:val="0"/>
          <w:sz w:val="32"/>
          <w:szCs w:val="32"/>
          <w:lang w:val="en-US" w:eastAsia="zh-CN" w:bidi="ar-SA"/>
        </w:rPr>
        <w:t>项目支出</w:t>
      </w:r>
      <w:r>
        <w:rPr>
          <w:rFonts w:hint="eastAsia" w:eastAsia="宋体" w:cs="Times New Roman" w:asciiTheme="minorEastAsia" w:hAnsiTheme="minorEastAsia"/>
          <w:bCs/>
          <w:kern w:val="0"/>
          <w:sz w:val="32"/>
          <w:szCs w:val="32"/>
          <w:lang w:val="en-US" w:eastAsia="zh-CN" w:bidi="ar-SA"/>
        </w:rPr>
        <w:t>主要用于各项统计工作以及人口普查、劳动力抽样调查、</w:t>
      </w:r>
      <w:r>
        <w:rPr>
          <w:rFonts w:hint="eastAsia" w:cs="Times New Roman" w:asciiTheme="minorEastAsia" w:hAnsiTheme="minorEastAsia"/>
          <w:bCs/>
          <w:kern w:val="0"/>
          <w:sz w:val="32"/>
          <w:szCs w:val="32"/>
          <w:lang w:val="en-US" w:eastAsia="zh-CN" w:bidi="ar-SA"/>
        </w:rPr>
        <w:t>第四次全国经济普查、城乡住户一体化调查、</w:t>
      </w:r>
      <w:r>
        <w:rPr>
          <w:rFonts w:hint="eastAsia" w:eastAsia="宋体" w:cs="Times New Roman" w:asciiTheme="minorEastAsia" w:hAnsiTheme="minorEastAsia"/>
          <w:bCs/>
          <w:kern w:val="0"/>
          <w:sz w:val="32"/>
          <w:szCs w:val="32"/>
          <w:lang w:val="en-US" w:eastAsia="zh-CN" w:bidi="ar-SA"/>
        </w:rPr>
        <w:t>人口抽样调查和联网直报等专项业务活动运行经费。</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1.本单位按照</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财政局要求，制定内部控制管理手册，对资金管理控制运行严</w:t>
      </w:r>
      <w:r>
        <w:rPr>
          <w:rFonts w:hint="eastAsia" w:cs="Times New Roman" w:asciiTheme="minorEastAsia" w:hAnsiTheme="minorEastAsia"/>
          <w:bCs/>
          <w:kern w:val="0"/>
          <w:sz w:val="32"/>
          <w:szCs w:val="32"/>
          <w:lang w:val="en-US" w:eastAsia="zh-CN" w:bidi="ar-SA"/>
        </w:rPr>
        <w:t>格</w:t>
      </w:r>
      <w:r>
        <w:rPr>
          <w:rFonts w:hint="eastAsia" w:eastAsia="宋体" w:cs="Times New Roman" w:asciiTheme="minorEastAsia" w:hAnsiTheme="minorEastAsia"/>
          <w:bCs/>
          <w:kern w:val="0"/>
          <w:sz w:val="32"/>
          <w:szCs w:val="32"/>
          <w:lang w:val="en-US" w:eastAsia="zh-CN" w:bidi="ar-SA"/>
        </w:rPr>
        <w:t>按手册执行，进一步规范我局的财经秩序，做到了资金集中管理、严格审批、统筹安排、公开透明，确保资金安排、使用合法、合规，资金安全运行，杜绝了违法违纪的现象发生，发挥了经济效益和社会效益。</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2、重点监测，对弱势指标重点分析监测、预警和分析，查找原因，制定对策。</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3、强化清查，做好“四上”企业清查申报工作,为经济增长提供统计支撑。</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4、加强培训，做好统计人员的统计业务培训</w:t>
      </w:r>
      <w:r>
        <w:rPr>
          <w:rFonts w:hint="eastAsia" w:cs="Times New Roman" w:asciiTheme="minorEastAsia" w:hAnsiTheme="minorEastAsia"/>
          <w:bCs/>
          <w:kern w:val="0"/>
          <w:sz w:val="32"/>
          <w:szCs w:val="32"/>
          <w:lang w:val="en-US" w:eastAsia="zh-CN" w:bidi="ar-SA"/>
        </w:rPr>
        <w:t>，</w:t>
      </w:r>
      <w:r>
        <w:rPr>
          <w:rFonts w:hint="eastAsia" w:eastAsia="宋体" w:cs="Times New Roman" w:asciiTheme="minorEastAsia" w:hAnsiTheme="minorEastAsia"/>
          <w:bCs/>
          <w:kern w:val="0"/>
          <w:sz w:val="32"/>
          <w:szCs w:val="32"/>
          <w:lang w:val="en-US" w:eastAsia="zh-CN" w:bidi="ar-SA"/>
        </w:rPr>
        <w:t>提升统计人员的业务能力。</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5、优化服务，努力当好决策参谋，增强主动服务、精品服务、多元服务意识，提高统计服务的时效性、针对性和前瞻性。</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6、着力加强</w:t>
      </w:r>
      <w:r>
        <w:rPr>
          <w:rFonts w:hint="eastAsia" w:cs="Times New Roman" w:asciiTheme="minorEastAsia" w:hAnsiTheme="minorEastAsia"/>
          <w:bCs/>
          <w:kern w:val="0"/>
          <w:sz w:val="32"/>
          <w:szCs w:val="32"/>
          <w:lang w:val="en-US" w:eastAsia="zh-CN" w:bidi="ar-SA"/>
        </w:rPr>
        <w:t>专业</w:t>
      </w:r>
      <w:r>
        <w:rPr>
          <w:rFonts w:hint="eastAsia" w:eastAsia="宋体" w:cs="Times New Roman" w:asciiTheme="minorEastAsia" w:hAnsiTheme="minorEastAsia"/>
          <w:bCs/>
          <w:kern w:val="0"/>
          <w:sz w:val="32"/>
          <w:szCs w:val="32"/>
          <w:lang w:val="en-US" w:eastAsia="zh-CN" w:bidi="ar-SA"/>
        </w:rPr>
        <w:t>统计工作，抓好企业培育、达标入统工作，提高</w:t>
      </w:r>
      <w:r>
        <w:rPr>
          <w:rFonts w:hint="eastAsia" w:cs="Times New Roman" w:asciiTheme="minorEastAsia" w:hAnsiTheme="minorEastAsia"/>
          <w:bCs/>
          <w:kern w:val="0"/>
          <w:sz w:val="32"/>
          <w:szCs w:val="32"/>
          <w:lang w:val="en-US" w:eastAsia="zh-CN" w:bidi="ar-SA"/>
        </w:rPr>
        <w:t>各行业</w:t>
      </w:r>
      <w:r>
        <w:rPr>
          <w:rFonts w:hint="eastAsia" w:eastAsia="宋体" w:cs="Times New Roman" w:asciiTheme="minorEastAsia" w:hAnsiTheme="minorEastAsia"/>
          <w:bCs/>
          <w:kern w:val="0"/>
          <w:sz w:val="32"/>
          <w:szCs w:val="32"/>
          <w:lang w:val="en-US" w:eastAsia="zh-CN" w:bidi="ar-SA"/>
        </w:rPr>
        <w:t>对经济增长的拉动作用，确保通过统计数据真实反映</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委、</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政府近年来推动产业转型升级的实施效果。</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7、继续推进统计基层基础建设。切实加强全</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基本单位名录库建设工作，规范“四上”企业审批流程，夯实基层统计基础。</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8、继续加强统计队伍、作风及统计法制建设，弘扬优秀统计文化。加大统计执法和统计违法行为查处力度，广泛宣传《统计法》和统计法律法规，努力营造全</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良好的统计环境。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eastAsia="宋体"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9.全面完成</w:t>
      </w:r>
      <w:r>
        <w:rPr>
          <w:rFonts w:hint="eastAsia" w:eastAsia="宋体" w:cs="Times New Roman" w:asciiTheme="minorEastAsia" w:hAnsiTheme="minorEastAsia"/>
          <w:bCs/>
          <w:kern w:val="0"/>
          <w:sz w:val="32"/>
          <w:szCs w:val="32"/>
          <w:lang w:val="en-US" w:eastAsia="zh-CN" w:bidi="ar-SA"/>
        </w:rPr>
        <w:t>第四次全国经济普查。2020年是经济普查数据开发的关键一年，我局加强对普查资料开发应用统一管理，撰写了四经普公报，丰富普查成果发布和展示形式，拓展普查数据应用范围，充分挖掘普查资料的价值，为鹤城经济社会高质量发展服务。</w:t>
      </w:r>
    </w:p>
    <w:p>
      <w:pPr>
        <w:widowControl/>
        <w:adjustRightInd w:val="0"/>
        <w:snapToGrid w:val="0"/>
        <w:spacing w:line="600" w:lineRule="exact"/>
        <w:ind w:firstLine="640" w:firstLineChars="200"/>
        <w:jc w:val="left"/>
        <w:rPr>
          <w:rFonts w:hint="eastAsia" w:cs="黑体" w:asciiTheme="minorEastAsia" w:hAnsiTheme="minorEastAsia" w:eastAsiaTheme="minorEastAsia"/>
          <w:color w:val="000000"/>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10.全面完成第七次全国人口普查。</w:t>
      </w:r>
      <w:r>
        <w:rPr>
          <w:rFonts w:hint="eastAsia" w:cs="黑体" w:asciiTheme="minorEastAsia" w:hAnsiTheme="minorEastAsia" w:eastAsiaTheme="minorEastAsia"/>
          <w:color w:val="000000"/>
          <w:kern w:val="0"/>
          <w:sz w:val="32"/>
          <w:szCs w:val="32"/>
          <w:lang w:val="zh-CN" w:eastAsia="zh-CN" w:bidi="ar-SA"/>
        </w:rPr>
        <w:t>我国以2020年11月1日零时为标准时点进行了第七次全国人口普查。我</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人口普查在</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委、</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政府的坚强领导下，在全体普查对象的支持配合下，通过各级普查机构和广大普查工作人员的艰苦努力，圆满完成了普查现场登记和普查主要数据的汇总工作</w:t>
      </w:r>
      <w:r>
        <w:rPr>
          <w:rFonts w:hint="eastAsia" w:cs="黑体" w:asciiTheme="minorEastAsia" w:hAnsiTheme="minorEastAsia"/>
          <w:color w:val="000000"/>
          <w:kern w:val="0"/>
          <w:sz w:val="32"/>
          <w:szCs w:val="32"/>
          <w:lang w:val="zh-CN" w:eastAsia="zh-CN" w:bidi="ar-SA"/>
        </w:rPr>
        <w:t>。</w:t>
      </w:r>
      <w:r>
        <w:rPr>
          <w:rFonts w:hint="eastAsia" w:cs="黑体" w:asciiTheme="minorEastAsia" w:hAnsiTheme="minorEastAsia" w:eastAsiaTheme="minorEastAsia"/>
          <w:color w:val="000000"/>
          <w:kern w:val="0"/>
          <w:sz w:val="32"/>
          <w:szCs w:val="32"/>
          <w:lang w:val="zh-CN" w:eastAsia="zh-CN" w:bidi="ar-SA"/>
        </w:rPr>
        <w:t>全</w:t>
      </w:r>
      <w:r>
        <w:rPr>
          <w:rFonts w:hint="eastAsia" w:cs="黑体" w:asciiTheme="minorEastAsia" w:hAnsiTheme="minorEastAsia" w:eastAsiaTheme="minorEastAsia"/>
          <w:color w:val="000000"/>
          <w:kern w:val="0"/>
          <w:sz w:val="32"/>
          <w:szCs w:val="32"/>
          <w:lang w:val="en-US" w:eastAsia="zh-CN" w:bidi="ar-SA"/>
        </w:rPr>
        <w:t>区</w:t>
      </w:r>
      <w:r>
        <w:rPr>
          <w:rFonts w:hint="eastAsia" w:cs="黑体" w:asciiTheme="minorEastAsia" w:hAnsiTheme="minorEastAsia" w:eastAsiaTheme="minorEastAsia"/>
          <w:color w:val="000000"/>
          <w:kern w:val="0"/>
          <w:sz w:val="32"/>
          <w:szCs w:val="32"/>
          <w:lang w:val="zh-CN" w:eastAsia="zh-CN" w:bidi="ar-SA"/>
        </w:rPr>
        <w:t>常住人口为</w:t>
      </w:r>
      <w:r>
        <w:rPr>
          <w:rFonts w:hint="eastAsia" w:cs="黑体" w:asciiTheme="minorEastAsia" w:hAnsiTheme="minorEastAsia" w:eastAsiaTheme="minorEastAsia"/>
          <w:color w:val="000000"/>
          <w:kern w:val="0"/>
          <w:sz w:val="32"/>
          <w:szCs w:val="32"/>
          <w:lang w:val="en-US" w:eastAsia="zh-CN" w:bidi="ar-SA"/>
        </w:rPr>
        <w:t>712584</w:t>
      </w:r>
      <w:r>
        <w:rPr>
          <w:rFonts w:hint="eastAsia" w:cs="黑体" w:asciiTheme="minorEastAsia" w:hAnsiTheme="minorEastAsia" w:eastAsiaTheme="minorEastAsia"/>
          <w:color w:val="000000"/>
          <w:kern w:val="0"/>
          <w:sz w:val="32"/>
          <w:szCs w:val="32"/>
          <w:lang w:val="zh-CN" w:eastAsia="zh-CN" w:bidi="ar-SA"/>
        </w:rPr>
        <w:t>人，与2010年第六次全国人口普查的</w:t>
      </w:r>
      <w:r>
        <w:rPr>
          <w:rFonts w:hint="eastAsia" w:cs="黑体" w:asciiTheme="minorEastAsia" w:hAnsiTheme="minorEastAsia" w:eastAsiaTheme="minorEastAsia"/>
          <w:color w:val="000000"/>
          <w:kern w:val="0"/>
          <w:sz w:val="32"/>
          <w:szCs w:val="32"/>
          <w:lang w:val="en-US" w:eastAsia="zh-CN" w:bidi="ar-SA"/>
        </w:rPr>
        <w:t>552622</w:t>
      </w:r>
      <w:r>
        <w:rPr>
          <w:rFonts w:hint="eastAsia" w:cs="黑体" w:asciiTheme="minorEastAsia" w:hAnsiTheme="minorEastAsia" w:eastAsiaTheme="minorEastAsia"/>
          <w:color w:val="000000"/>
          <w:kern w:val="0"/>
          <w:sz w:val="32"/>
          <w:szCs w:val="32"/>
          <w:lang w:val="zh-CN" w:eastAsia="zh-CN" w:bidi="ar-SA"/>
        </w:rPr>
        <w:t>人相比，增加</w:t>
      </w:r>
      <w:r>
        <w:rPr>
          <w:rFonts w:hint="eastAsia" w:cs="黑体" w:asciiTheme="minorEastAsia" w:hAnsiTheme="minorEastAsia" w:eastAsiaTheme="minorEastAsia"/>
          <w:color w:val="000000"/>
          <w:kern w:val="0"/>
          <w:sz w:val="32"/>
          <w:szCs w:val="32"/>
          <w:lang w:val="en-US" w:eastAsia="zh-CN" w:bidi="ar-SA"/>
        </w:rPr>
        <w:t>159962</w:t>
      </w:r>
      <w:r>
        <w:rPr>
          <w:rFonts w:hint="eastAsia" w:cs="黑体" w:asciiTheme="minorEastAsia" w:hAnsiTheme="minorEastAsia" w:eastAsiaTheme="minorEastAsia"/>
          <w:color w:val="000000"/>
          <w:kern w:val="0"/>
          <w:sz w:val="32"/>
          <w:szCs w:val="32"/>
          <w:lang w:val="zh-CN" w:eastAsia="zh-CN" w:bidi="ar-SA"/>
        </w:rPr>
        <w:t>人，增长</w:t>
      </w:r>
      <w:r>
        <w:rPr>
          <w:rFonts w:hint="eastAsia" w:cs="黑体" w:asciiTheme="minorEastAsia" w:hAnsiTheme="minorEastAsia" w:eastAsiaTheme="minorEastAsia"/>
          <w:color w:val="000000"/>
          <w:kern w:val="0"/>
          <w:sz w:val="32"/>
          <w:szCs w:val="32"/>
          <w:lang w:val="en-US" w:eastAsia="zh-CN" w:bidi="ar-SA"/>
        </w:rPr>
        <w:t>28.95</w:t>
      </w:r>
      <w:r>
        <w:rPr>
          <w:rFonts w:hint="eastAsia" w:cs="黑体" w:asciiTheme="minorEastAsia" w:hAnsiTheme="minorEastAsia" w:eastAsiaTheme="minorEastAsia"/>
          <w:color w:val="000000"/>
          <w:kern w:val="0"/>
          <w:sz w:val="32"/>
          <w:szCs w:val="32"/>
          <w:lang w:val="zh-CN" w:eastAsia="zh-CN" w:bidi="ar-SA"/>
        </w:rPr>
        <w:t>%，年平均增长率为</w:t>
      </w:r>
      <w:r>
        <w:rPr>
          <w:rFonts w:hint="eastAsia" w:cs="黑体" w:asciiTheme="minorEastAsia" w:hAnsiTheme="minorEastAsia" w:eastAsiaTheme="minorEastAsia"/>
          <w:color w:val="000000"/>
          <w:kern w:val="0"/>
          <w:sz w:val="32"/>
          <w:szCs w:val="32"/>
          <w:lang w:val="en-US" w:eastAsia="zh-CN" w:bidi="ar-SA"/>
        </w:rPr>
        <w:t>2.89</w:t>
      </w:r>
      <w:r>
        <w:rPr>
          <w:rFonts w:hint="eastAsia" w:cs="黑体" w:asciiTheme="minorEastAsia" w:hAnsiTheme="minorEastAsia" w:eastAsiaTheme="minorEastAsia"/>
          <w:color w:val="000000"/>
          <w:kern w:val="0"/>
          <w:sz w:val="32"/>
          <w:szCs w:val="32"/>
          <w:lang w:val="zh-CN" w:eastAsia="zh-CN" w:bidi="ar-SA"/>
        </w:rPr>
        <w:t>%。11个乡镇街道及黄岩旅游度假区中，人口超过10万人的街道有1个：红星街道；在8万人至10万人之间的乡镇街道有4个：分别为城中街道、城南街道、盈口乡、坨院街道；在2万人至8万人之间的乡镇街道有4个，分别为迎丰街道、城北街道、河西街道、黄金坳镇；在2万人以下的乡镇街道2个，分别为凉亭坳、黄岩旅游度假区。其中，人口居前5位的乡镇街道合计459770人，占全区常住人口比重为64.52%。</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11</w:t>
      </w:r>
      <w:r>
        <w:rPr>
          <w:rFonts w:hint="eastAsia" w:eastAsia="宋体" w:cs="Times New Roman" w:asciiTheme="minorEastAsia" w:hAnsiTheme="minorEastAsia"/>
          <w:bCs/>
          <w:kern w:val="0"/>
          <w:sz w:val="32"/>
          <w:szCs w:val="32"/>
          <w:lang w:val="en-US" w:eastAsia="zh-CN" w:bidi="ar-SA"/>
        </w:rPr>
        <w:t>.积极推动住户调查信息化，全面实施电子记账。进一步提高住户调查工作效率和源头数据质量，严格按照《国家统计局湖南调查总队关于大力推进住户调查电子记账工作的通知》要求，认真开展了电子记账工作。我区100户城乡住户中有87户采用电子记账，电子记账率达到87%。所有记帐户每季度发放300元记账费，其中电子记账户补贴200元流量费。每年春节对所有记账户进行集中走访慰问，通过走访慰问，进一步调动广大辅调员和记账户的工作积极性。</w:t>
      </w:r>
    </w:p>
    <w:p>
      <w:pPr>
        <w:pStyle w:val="12"/>
        <w:widowControl/>
        <w:spacing w:line="600" w:lineRule="exact"/>
        <w:jc w:val="both"/>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cs="Times New Roman" w:asciiTheme="minorEastAsia" w:hAnsiTheme="minorEastAsia"/>
          <w:bCs/>
          <w:kern w:val="0"/>
          <w:sz w:val="32"/>
          <w:szCs w:val="32"/>
          <w:lang w:val="en-US" w:eastAsia="zh-CN" w:bidi="ar-SA"/>
        </w:rPr>
        <w:t>（</w:t>
      </w:r>
      <w:r>
        <w:rPr>
          <w:rFonts w:hint="eastAsia" w:eastAsia="宋体" w:cs="Times New Roman" w:asciiTheme="minorEastAsia" w:hAnsiTheme="minorEastAsia"/>
          <w:bCs/>
          <w:kern w:val="0"/>
          <w:sz w:val="32"/>
          <w:szCs w:val="32"/>
          <w:lang w:val="en-US" w:eastAsia="zh-CN" w:bidi="ar-SA"/>
        </w:rPr>
        <w:t>1）内控管理水平有待提高。缺乏专业的内控管理人才，习惯按部就班，缺乏创新意识，工作中在精度和深度上还需下功夫。</w:t>
      </w:r>
    </w:p>
    <w:p>
      <w:pPr>
        <w:widowControl/>
        <w:spacing w:line="600" w:lineRule="exact"/>
        <w:ind w:firstLine="640" w:firstLineChars="200"/>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（2）对于绩效评价的认识不足，没有系统的评价方法，评价水平不高。</w:t>
      </w:r>
    </w:p>
    <w:p>
      <w:pPr>
        <w:widowControl/>
        <w:spacing w:line="600" w:lineRule="exact"/>
        <w:ind w:firstLine="640" w:firstLineChars="200"/>
        <w:jc w:val="both"/>
        <w:rPr>
          <w:rFonts w:eastAsia="黑体"/>
          <w:sz w:val="32"/>
          <w:szCs w:val="32"/>
        </w:rPr>
      </w:pPr>
      <w:bookmarkStart w:id="0" w:name="_GoBack"/>
      <w:bookmarkEnd w:id="0"/>
      <w:r>
        <w:rPr>
          <w:rFonts w:eastAsia="黑体"/>
          <w:sz w:val="32"/>
          <w:szCs w:val="32"/>
        </w:rPr>
        <w:t>八、下一步改进措施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bidi w:val="0"/>
        <w:spacing w:before="0" w:beforeAutospacing="0" w:after="0" w:afterAutospacing="0" w:line="560" w:lineRule="atLeast"/>
        <w:ind w:left="0" w:right="0" w:firstLine="675"/>
        <w:jc w:val="both"/>
        <w:rPr>
          <w:rFonts w:hint="default"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1、建议</w:t>
      </w:r>
      <w:r>
        <w:rPr>
          <w:rFonts w:hint="eastAsia" w:cs="Times New Roman" w:asciiTheme="minorEastAsia" w:hAnsiTheme="minorEastAsia"/>
          <w:bCs/>
          <w:kern w:val="0"/>
          <w:sz w:val="32"/>
          <w:szCs w:val="32"/>
          <w:lang w:val="en-US" w:eastAsia="zh-CN" w:bidi="ar-SA"/>
        </w:rPr>
        <w:t>区</w:t>
      </w:r>
      <w:r>
        <w:rPr>
          <w:rFonts w:hint="eastAsia" w:eastAsia="宋体" w:cs="Times New Roman" w:asciiTheme="minorEastAsia" w:hAnsiTheme="minorEastAsia"/>
          <w:bCs/>
          <w:kern w:val="0"/>
          <w:sz w:val="32"/>
          <w:szCs w:val="32"/>
          <w:lang w:val="en-US" w:eastAsia="zh-CN" w:bidi="ar-SA"/>
        </w:rPr>
        <w:t>财政</w:t>
      </w:r>
      <w:r>
        <w:rPr>
          <w:rFonts w:hint="eastAsia" w:cs="Times New Roman" w:asciiTheme="minorEastAsia" w:hAnsiTheme="minorEastAsia"/>
          <w:bCs/>
          <w:kern w:val="0"/>
          <w:sz w:val="32"/>
          <w:szCs w:val="32"/>
          <w:lang w:val="en-US" w:eastAsia="zh-CN" w:bidi="ar-SA"/>
        </w:rPr>
        <w:t>局</w:t>
      </w:r>
      <w:r>
        <w:rPr>
          <w:rFonts w:hint="eastAsia" w:eastAsia="宋体" w:cs="Times New Roman" w:asciiTheme="minorEastAsia" w:hAnsiTheme="minorEastAsia"/>
          <w:bCs/>
          <w:kern w:val="0"/>
          <w:sz w:val="32"/>
          <w:szCs w:val="32"/>
          <w:lang w:val="en-US" w:eastAsia="zh-CN" w:bidi="ar-SA"/>
        </w:rPr>
        <w:t>多</w:t>
      </w:r>
      <w:r>
        <w:rPr>
          <w:rFonts w:hint="eastAsia" w:cs="Times New Roman" w:asciiTheme="minorEastAsia" w:hAnsiTheme="minorEastAsia"/>
          <w:bCs/>
          <w:kern w:val="0"/>
          <w:sz w:val="32"/>
          <w:szCs w:val="32"/>
          <w:lang w:val="en-US" w:eastAsia="zh-CN" w:bidi="ar-SA"/>
        </w:rPr>
        <w:t>举办业务培训会，</w:t>
      </w:r>
      <w:r>
        <w:rPr>
          <w:rFonts w:hint="eastAsia" w:eastAsia="宋体" w:cs="Times New Roman" w:asciiTheme="minorEastAsia" w:hAnsiTheme="minorEastAsia"/>
          <w:bCs/>
          <w:kern w:val="0"/>
          <w:sz w:val="32"/>
          <w:szCs w:val="32"/>
          <w:lang w:val="en-US" w:eastAsia="zh-CN" w:bidi="ar-SA"/>
        </w:rPr>
        <w:t>发放</w:t>
      </w:r>
      <w:r>
        <w:rPr>
          <w:rFonts w:hint="eastAsia" w:cs="Times New Roman" w:asciiTheme="minorEastAsia" w:hAnsiTheme="minorEastAsia"/>
          <w:bCs/>
          <w:kern w:val="0"/>
          <w:sz w:val="32"/>
          <w:szCs w:val="32"/>
          <w:lang w:val="en-US" w:eastAsia="zh-CN" w:bidi="ar-SA"/>
        </w:rPr>
        <w:t>实操</w:t>
      </w:r>
      <w:r>
        <w:rPr>
          <w:rFonts w:hint="eastAsia" w:eastAsia="宋体" w:cs="Times New Roman" w:asciiTheme="minorEastAsia" w:hAnsiTheme="minorEastAsia"/>
          <w:bCs/>
          <w:kern w:val="0"/>
          <w:sz w:val="32"/>
          <w:szCs w:val="32"/>
          <w:lang w:val="en-US" w:eastAsia="zh-CN" w:bidi="ar-SA"/>
        </w:rPr>
        <w:t>光盘给我单位学习</w:t>
      </w:r>
      <w:r>
        <w:rPr>
          <w:rFonts w:hint="eastAsia" w:cs="Times New Roman" w:asciiTheme="minorEastAsia" w:hAnsiTheme="minorEastAsia"/>
          <w:bCs/>
          <w:kern w:val="0"/>
          <w:sz w:val="32"/>
          <w:szCs w:val="32"/>
          <w:lang w:val="en-US" w:eastAsia="zh-CN" w:bidi="ar-SA"/>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0" w:afterAutospacing="0" w:line="560" w:lineRule="atLeast"/>
        <w:ind w:left="0" w:right="0" w:firstLine="675"/>
        <w:jc w:val="both"/>
        <w:rPr>
          <w:rFonts w:hint="eastAsia" w:eastAsia="宋体" w:cs="Times New Roman" w:asciiTheme="minorEastAsia" w:hAnsiTheme="minorEastAsia"/>
          <w:bCs/>
          <w:kern w:val="0"/>
          <w:sz w:val="32"/>
          <w:szCs w:val="32"/>
          <w:lang w:val="en-US" w:eastAsia="zh-CN" w:bidi="ar-SA"/>
        </w:rPr>
      </w:pPr>
      <w:r>
        <w:rPr>
          <w:rFonts w:hint="eastAsia" w:eastAsia="宋体" w:cs="Times New Roman" w:asciiTheme="minorEastAsia" w:hAnsiTheme="minorEastAsia"/>
          <w:bCs/>
          <w:kern w:val="0"/>
          <w:sz w:val="32"/>
          <w:szCs w:val="32"/>
          <w:lang w:val="en-US" w:eastAsia="zh-CN" w:bidi="ar-SA"/>
        </w:rPr>
        <w:t>2、将绩效管理工作作为一项日常性重要工作来抓</w:t>
      </w:r>
      <w:r>
        <w:rPr>
          <w:rFonts w:hint="eastAsia" w:cs="Times New Roman" w:asciiTheme="minorEastAsia" w:hAnsiTheme="minorEastAsia"/>
          <w:bCs/>
          <w:kern w:val="0"/>
          <w:sz w:val="32"/>
          <w:szCs w:val="32"/>
          <w:lang w:val="en-US" w:eastAsia="zh-CN" w:bidi="ar-SA"/>
        </w:rPr>
        <w:t>，</w:t>
      </w:r>
      <w:r>
        <w:rPr>
          <w:rFonts w:hint="eastAsia" w:eastAsia="宋体" w:cs="Times New Roman" w:asciiTheme="minorEastAsia" w:hAnsiTheme="minorEastAsia"/>
          <w:bCs/>
          <w:kern w:val="0"/>
          <w:sz w:val="32"/>
          <w:szCs w:val="32"/>
          <w:lang w:val="en-US" w:eastAsia="zh-CN" w:bidi="ar-SA"/>
        </w:rPr>
        <w:t>进行绩效评价，进行纵向、横向比较、评价，发现缺点，及时纠正，积累经验，做到预算精准和绩效效益明显。</w:t>
      </w:r>
    </w:p>
    <w:p>
      <w:pPr>
        <w:widowControl/>
        <w:spacing w:line="600" w:lineRule="exact"/>
        <w:ind w:firstLine="645"/>
        <w:jc w:val="both"/>
        <w:rPr>
          <w:rFonts w:eastAsia="黑体"/>
          <w:sz w:val="32"/>
          <w:szCs w:val="32"/>
        </w:rPr>
      </w:pPr>
      <w:r>
        <w:rPr>
          <w:rFonts w:eastAsia="黑体"/>
          <w:sz w:val="32"/>
          <w:szCs w:val="32"/>
        </w:rPr>
        <w:t>九、其他需要说明的情况</w:t>
      </w:r>
    </w:p>
    <w:p>
      <w:pPr>
        <w:widowControl/>
        <w:spacing w:line="600" w:lineRule="exact"/>
        <w:ind w:firstLine="645"/>
        <w:jc w:val="both"/>
        <w:rPr>
          <w:rFonts w:hint="eastAsia" w:eastAsia="仿宋_GB2312"/>
          <w:sz w:val="32"/>
          <w:szCs w:val="32"/>
          <w:lang w:val="en-US" w:eastAsia="zh-CN"/>
        </w:rPr>
      </w:pPr>
      <w:r>
        <w:rPr>
          <w:rFonts w:hint="eastAsia" w:eastAsia="仿宋_GB2312"/>
          <w:sz w:val="32"/>
          <w:szCs w:val="32"/>
          <w:lang w:val="en-US" w:eastAsia="zh-CN"/>
        </w:rPr>
        <w:t>无。</w:t>
      </w:r>
    </w:p>
    <w:p>
      <w:pPr>
        <w:ind w:firstLine="640" w:firstLineChars="200"/>
        <w:rPr>
          <w:rFonts w:hint="eastAsia" w:cs="黑体" w:asciiTheme="minorEastAsia" w:hAnsiTheme="minorEastAsia"/>
          <w:b/>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72AE3"/>
    <w:multiLevelType w:val="singleLevel"/>
    <w:tmpl w:val="BE072AE3"/>
    <w:lvl w:ilvl="0" w:tentative="0">
      <w:start w:val="1"/>
      <w:numFmt w:val="chineseCounting"/>
      <w:suff w:val="nothing"/>
      <w:lvlText w:val="（%1）"/>
      <w:lvlJc w:val="left"/>
      <w:rPr>
        <w:rFonts w:hint="eastAsia"/>
      </w:rPr>
    </w:lvl>
  </w:abstractNum>
  <w:abstractNum w:abstractNumId="1">
    <w:nsid w:val="C1720893"/>
    <w:multiLevelType w:val="singleLevel"/>
    <w:tmpl w:val="C1720893"/>
    <w:lvl w:ilvl="0" w:tentative="0">
      <w:start w:val="4"/>
      <w:numFmt w:val="chineseCounting"/>
      <w:suff w:val="nothing"/>
      <w:lvlText w:val="%1、"/>
      <w:lvlJc w:val="left"/>
      <w:rPr>
        <w:rFonts w:hint="eastAsia"/>
      </w:rPr>
    </w:lvl>
  </w:abstractNum>
  <w:abstractNum w:abstractNumId="2">
    <w:nsid w:val="22805CAD"/>
    <w:multiLevelType w:val="singleLevel"/>
    <w:tmpl w:val="22805CAD"/>
    <w:lvl w:ilvl="0" w:tentative="0">
      <w:start w:val="1"/>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86760"/>
    <w:rsid w:val="00DD06FF"/>
    <w:rsid w:val="00DD5FE9"/>
    <w:rsid w:val="00E00C7A"/>
    <w:rsid w:val="00E37D6C"/>
    <w:rsid w:val="00E55B68"/>
    <w:rsid w:val="00E67BE6"/>
    <w:rsid w:val="00E8683C"/>
    <w:rsid w:val="00EA2B72"/>
    <w:rsid w:val="00F74360"/>
    <w:rsid w:val="00FB462F"/>
    <w:rsid w:val="00FE16FA"/>
    <w:rsid w:val="00FE328A"/>
    <w:rsid w:val="00FE6269"/>
    <w:rsid w:val="026D6D92"/>
    <w:rsid w:val="03873FBC"/>
    <w:rsid w:val="083071F4"/>
    <w:rsid w:val="0B312D48"/>
    <w:rsid w:val="0BD7590C"/>
    <w:rsid w:val="0FA904C7"/>
    <w:rsid w:val="112D12A1"/>
    <w:rsid w:val="1388230E"/>
    <w:rsid w:val="14CE23EE"/>
    <w:rsid w:val="14F66914"/>
    <w:rsid w:val="15D839BE"/>
    <w:rsid w:val="163D6E67"/>
    <w:rsid w:val="19783F33"/>
    <w:rsid w:val="1A4777E4"/>
    <w:rsid w:val="1E250B36"/>
    <w:rsid w:val="1E950B1A"/>
    <w:rsid w:val="20067836"/>
    <w:rsid w:val="20DD770B"/>
    <w:rsid w:val="275A31AA"/>
    <w:rsid w:val="2908172C"/>
    <w:rsid w:val="299D10D9"/>
    <w:rsid w:val="2BFA01BC"/>
    <w:rsid w:val="2DB03933"/>
    <w:rsid w:val="2FF34769"/>
    <w:rsid w:val="328F1E4B"/>
    <w:rsid w:val="33CE6A2D"/>
    <w:rsid w:val="34B502E1"/>
    <w:rsid w:val="35912199"/>
    <w:rsid w:val="37641668"/>
    <w:rsid w:val="38237DFE"/>
    <w:rsid w:val="38FB6B0A"/>
    <w:rsid w:val="3B9D54EF"/>
    <w:rsid w:val="3BE723FD"/>
    <w:rsid w:val="3D602602"/>
    <w:rsid w:val="3E0C1FDE"/>
    <w:rsid w:val="3EEF6763"/>
    <w:rsid w:val="409575B9"/>
    <w:rsid w:val="41043343"/>
    <w:rsid w:val="453A7669"/>
    <w:rsid w:val="4A9C51BD"/>
    <w:rsid w:val="4B7D0601"/>
    <w:rsid w:val="4B8F19C8"/>
    <w:rsid w:val="4C845A6E"/>
    <w:rsid w:val="4D672171"/>
    <w:rsid w:val="4D8672E3"/>
    <w:rsid w:val="4E5B4111"/>
    <w:rsid w:val="51C10759"/>
    <w:rsid w:val="54E37C51"/>
    <w:rsid w:val="5531634F"/>
    <w:rsid w:val="5665459B"/>
    <w:rsid w:val="58AA6CE7"/>
    <w:rsid w:val="599F7333"/>
    <w:rsid w:val="5ACC61CB"/>
    <w:rsid w:val="5BED2B84"/>
    <w:rsid w:val="5C6C21CF"/>
    <w:rsid w:val="5D560A91"/>
    <w:rsid w:val="61C33FC0"/>
    <w:rsid w:val="628A5C2A"/>
    <w:rsid w:val="646400B3"/>
    <w:rsid w:val="667C44E8"/>
    <w:rsid w:val="66A72DC4"/>
    <w:rsid w:val="67CE2F65"/>
    <w:rsid w:val="6D1351E2"/>
    <w:rsid w:val="708A6C19"/>
    <w:rsid w:val="709242B0"/>
    <w:rsid w:val="72AD3688"/>
    <w:rsid w:val="77165B94"/>
    <w:rsid w:val="783F73E5"/>
    <w:rsid w:val="7BFF4FF9"/>
    <w:rsid w:val="7CDE2C96"/>
    <w:rsid w:val="7DE767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10"/>
    <w:unhideWhenUsed/>
    <w:qFormat/>
    <w:uiPriority w:val="99"/>
    <w:pPr>
      <w:tabs>
        <w:tab w:val="center" w:pos="4153"/>
        <w:tab w:val="right" w:pos="8306"/>
      </w:tabs>
      <w:snapToGrid w:val="0"/>
      <w:jc w:val="left"/>
    </w:pPr>
    <w:rPr>
      <w:sz w:val="18"/>
      <w:szCs w:val="18"/>
    </w:rPr>
  </w:style>
  <w:style w:type="paragraph" w:styleId="3">
    <w:name w:val="index 5"/>
    <w:basedOn w:val="1"/>
    <w:next w:val="1"/>
    <w:semiHidden/>
    <w:qFormat/>
    <w:uiPriority w:val="99"/>
    <w:pPr>
      <w:ind w:left="1680"/>
    </w:pPr>
  </w:style>
  <w:style w:type="paragraph" w:styleId="4">
    <w:name w:val="Balloon Text"/>
    <w:basedOn w:val="1"/>
    <w:link w:val="13"/>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character" w:customStyle="1" w:styleId="9">
    <w:name w:val="页眉 Char"/>
    <w:basedOn w:val="8"/>
    <w:link w:val="5"/>
    <w:qFormat/>
    <w:uiPriority w:val="99"/>
    <w:rPr>
      <w:sz w:val="18"/>
      <w:szCs w:val="18"/>
    </w:rPr>
  </w:style>
  <w:style w:type="character" w:customStyle="1" w:styleId="10">
    <w:name w:val="页脚 Char"/>
    <w:basedOn w:val="8"/>
    <w:link w:val="2"/>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3</TotalTime>
  <ScaleCrop>false</ScaleCrop>
  <LinksUpToDate>false</LinksUpToDate>
  <CharactersWithSpaces>4150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小渔</cp:lastModifiedBy>
  <cp:lastPrinted>2021-07-28T00:12:00Z</cp:lastPrinted>
  <dcterms:modified xsi:type="dcterms:W3CDTF">2021-09-14T03:30:52Z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0F7BF8608FFF438795A88980FEA09311</vt:lpwstr>
  </property>
</Properties>
</file>