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37C2" w:rsidRDefault="00FD37C2">
      <w:pPr>
        <w:pStyle w:val="Default"/>
        <w:jc w:val="center"/>
        <w:rPr>
          <w:sz w:val="56"/>
          <w:szCs w:val="56"/>
        </w:rPr>
      </w:pPr>
    </w:p>
    <w:p w:rsidR="00FD37C2" w:rsidRDefault="00FD37C2">
      <w:pPr>
        <w:pStyle w:val="Default"/>
        <w:jc w:val="center"/>
        <w:rPr>
          <w:sz w:val="56"/>
          <w:szCs w:val="56"/>
        </w:rPr>
      </w:pPr>
    </w:p>
    <w:p w:rsidR="00FD37C2" w:rsidRDefault="00FD37C2">
      <w:pPr>
        <w:pStyle w:val="Default"/>
        <w:jc w:val="center"/>
        <w:rPr>
          <w:sz w:val="84"/>
          <w:szCs w:val="84"/>
        </w:rPr>
      </w:pPr>
    </w:p>
    <w:p w:rsidR="00FD37C2" w:rsidRDefault="00FD37C2">
      <w:pPr>
        <w:pStyle w:val="Default"/>
        <w:jc w:val="center"/>
        <w:rPr>
          <w:sz w:val="84"/>
          <w:szCs w:val="84"/>
        </w:rPr>
      </w:pPr>
    </w:p>
    <w:p w:rsidR="00FD37C2" w:rsidRDefault="00035B64">
      <w:pPr>
        <w:pStyle w:val="Default"/>
        <w:jc w:val="center"/>
        <w:rPr>
          <w:sz w:val="84"/>
          <w:szCs w:val="84"/>
        </w:rPr>
      </w:pPr>
      <w:r>
        <w:rPr>
          <w:rFonts w:hint="eastAsia"/>
          <w:sz w:val="84"/>
          <w:szCs w:val="84"/>
        </w:rPr>
        <w:t>2020年度</w:t>
      </w:r>
    </w:p>
    <w:p w:rsidR="00FD37C2" w:rsidRDefault="00035B64">
      <w:pPr>
        <w:pStyle w:val="Default"/>
        <w:jc w:val="center"/>
        <w:rPr>
          <w:sz w:val="84"/>
          <w:szCs w:val="84"/>
        </w:rPr>
      </w:pPr>
      <w:r>
        <w:rPr>
          <w:rFonts w:hint="eastAsia"/>
          <w:sz w:val="84"/>
          <w:szCs w:val="84"/>
        </w:rPr>
        <w:t>鹤城区人民政府办公室单位部门决算</w:t>
      </w:r>
    </w:p>
    <w:p w:rsidR="00FD37C2" w:rsidRDefault="00FD37C2">
      <w:pPr>
        <w:pStyle w:val="Default"/>
        <w:jc w:val="center"/>
        <w:rPr>
          <w:sz w:val="56"/>
          <w:szCs w:val="56"/>
        </w:rPr>
      </w:pPr>
    </w:p>
    <w:p w:rsidR="00FD37C2" w:rsidRDefault="00FD37C2">
      <w:pPr>
        <w:pStyle w:val="Default"/>
        <w:jc w:val="center"/>
        <w:rPr>
          <w:sz w:val="56"/>
          <w:szCs w:val="56"/>
        </w:rPr>
      </w:pPr>
    </w:p>
    <w:p w:rsidR="00FD37C2" w:rsidRDefault="00FD37C2">
      <w:pPr>
        <w:pStyle w:val="Default"/>
        <w:jc w:val="center"/>
        <w:rPr>
          <w:sz w:val="56"/>
          <w:szCs w:val="56"/>
        </w:rPr>
      </w:pPr>
    </w:p>
    <w:p w:rsidR="00FD37C2" w:rsidRDefault="00FD37C2">
      <w:pPr>
        <w:pStyle w:val="Default"/>
        <w:jc w:val="center"/>
        <w:rPr>
          <w:sz w:val="56"/>
          <w:szCs w:val="56"/>
        </w:rPr>
      </w:pPr>
    </w:p>
    <w:p w:rsidR="00FD37C2" w:rsidRDefault="00FD37C2">
      <w:pPr>
        <w:pStyle w:val="Default"/>
        <w:rPr>
          <w:sz w:val="32"/>
          <w:szCs w:val="32"/>
        </w:rPr>
      </w:pPr>
    </w:p>
    <w:p w:rsidR="00FD37C2" w:rsidRDefault="00FD37C2">
      <w:pPr>
        <w:pStyle w:val="Default"/>
        <w:jc w:val="center"/>
        <w:rPr>
          <w:sz w:val="32"/>
          <w:szCs w:val="32"/>
        </w:rPr>
      </w:pPr>
    </w:p>
    <w:p w:rsidR="00FD37C2" w:rsidRDefault="00FD37C2">
      <w:pPr>
        <w:pStyle w:val="Default"/>
        <w:jc w:val="center"/>
        <w:rPr>
          <w:sz w:val="32"/>
          <w:szCs w:val="32"/>
        </w:rPr>
      </w:pPr>
    </w:p>
    <w:p w:rsidR="00FD37C2" w:rsidRDefault="00FD37C2">
      <w:pPr>
        <w:pStyle w:val="Default"/>
        <w:jc w:val="center"/>
        <w:rPr>
          <w:sz w:val="32"/>
          <w:szCs w:val="32"/>
        </w:rPr>
      </w:pPr>
    </w:p>
    <w:p w:rsidR="00FD37C2" w:rsidRDefault="00FD37C2">
      <w:pPr>
        <w:pStyle w:val="Default"/>
        <w:spacing w:line="540" w:lineRule="exact"/>
        <w:jc w:val="center"/>
        <w:rPr>
          <w:sz w:val="56"/>
          <w:szCs w:val="56"/>
        </w:rPr>
      </w:pPr>
    </w:p>
    <w:p w:rsidR="00FD37C2" w:rsidRDefault="00FD37C2">
      <w:pPr>
        <w:pStyle w:val="Default"/>
        <w:spacing w:line="500" w:lineRule="exact"/>
        <w:jc w:val="both"/>
        <w:rPr>
          <w:b/>
          <w:sz w:val="36"/>
          <w:szCs w:val="28"/>
        </w:rPr>
      </w:pPr>
    </w:p>
    <w:p w:rsidR="00FD37C2" w:rsidRDefault="00035B64">
      <w:pPr>
        <w:pStyle w:val="Default"/>
        <w:spacing w:line="500" w:lineRule="exact"/>
        <w:jc w:val="center"/>
        <w:rPr>
          <w:b/>
          <w:sz w:val="36"/>
          <w:szCs w:val="28"/>
        </w:rPr>
      </w:pPr>
      <w:r>
        <w:rPr>
          <w:rFonts w:hint="eastAsia"/>
          <w:b/>
          <w:sz w:val="36"/>
          <w:szCs w:val="28"/>
        </w:rPr>
        <w:lastRenderedPageBreak/>
        <w:t>目录</w:t>
      </w:r>
    </w:p>
    <w:p w:rsidR="00FD37C2" w:rsidRDefault="00035B64">
      <w:pPr>
        <w:pStyle w:val="Default"/>
        <w:spacing w:line="500" w:lineRule="exact"/>
        <w:rPr>
          <w:rFonts w:ascii="仿宋_GB2312" w:hAnsi="仿宋_GB2312" w:cs="仿宋_GB2312"/>
          <w:b/>
          <w:sz w:val="28"/>
          <w:szCs w:val="28"/>
        </w:rPr>
      </w:pPr>
      <w:r>
        <w:rPr>
          <w:rFonts w:hint="eastAsia"/>
          <w:b/>
          <w:sz w:val="28"/>
          <w:szCs w:val="28"/>
        </w:rPr>
        <w:t>第一部分鹤城区政府办单位概况</w:t>
      </w:r>
    </w:p>
    <w:p w:rsidR="00FD37C2" w:rsidRDefault="00035B6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FD37C2" w:rsidRDefault="00035B6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FD37C2" w:rsidRDefault="00035B64">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20年度部门决算表</w:t>
      </w:r>
    </w:p>
    <w:p w:rsidR="00FD37C2" w:rsidRDefault="00035B6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FD37C2" w:rsidRDefault="00035B6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FD37C2" w:rsidRDefault="00035B6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FD37C2" w:rsidRDefault="00035B6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FD37C2" w:rsidRDefault="00035B6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FD37C2" w:rsidRDefault="00035B6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FD37C2" w:rsidRDefault="00035B6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七、一般公共预算财政拨款“三公”经费支出决算表</w:t>
      </w:r>
    </w:p>
    <w:p w:rsidR="00FD37C2" w:rsidRDefault="00035B6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FD37C2" w:rsidRDefault="00035B6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FD37C2" w:rsidRDefault="00035B64">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20年度部门决算情况说明</w:t>
      </w:r>
    </w:p>
    <w:p w:rsidR="00FD37C2" w:rsidRDefault="00035B6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FD37C2" w:rsidRDefault="00035B64">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FD37C2" w:rsidRDefault="00035B6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FD37C2" w:rsidRDefault="00035B6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FD37C2" w:rsidRDefault="00035B6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FD37C2" w:rsidRDefault="00035B6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FD37C2" w:rsidRDefault="00035B6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FD37C2" w:rsidRDefault="00035B6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FD37C2" w:rsidRDefault="00035B6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FD37C2" w:rsidRDefault="00035B6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FD37C2" w:rsidRDefault="00035B6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FD37C2" w:rsidRDefault="00035B64">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FD37C2" w:rsidRDefault="00035B64">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于2020年</w:t>
      </w:r>
      <w:r>
        <w:rPr>
          <w:rFonts w:ascii="仿宋_GB2312" w:eastAsiaTheme="minorEastAsia" w:hAnsi="仿宋_GB2312" w:cs="仿宋_GB2312" w:hint="eastAsia"/>
          <w:sz w:val="28"/>
          <w:szCs w:val="28"/>
        </w:rPr>
        <w:t>度预算绩效情况的说明</w:t>
      </w:r>
    </w:p>
    <w:p w:rsidR="00FD37C2" w:rsidRDefault="00035B64">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FD37C2" w:rsidRDefault="00035B64">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FD37C2" w:rsidRDefault="00FD37C2">
      <w:pPr>
        <w:jc w:val="center"/>
        <w:rPr>
          <w:sz w:val="72"/>
          <w:szCs w:val="72"/>
        </w:rPr>
      </w:pPr>
    </w:p>
    <w:p w:rsidR="00FD37C2" w:rsidRDefault="00FD37C2">
      <w:pPr>
        <w:jc w:val="center"/>
        <w:rPr>
          <w:sz w:val="72"/>
          <w:szCs w:val="72"/>
        </w:rPr>
      </w:pPr>
    </w:p>
    <w:p w:rsidR="00FD37C2" w:rsidRDefault="00FD37C2">
      <w:pPr>
        <w:jc w:val="center"/>
        <w:rPr>
          <w:sz w:val="72"/>
          <w:szCs w:val="72"/>
        </w:rPr>
      </w:pPr>
    </w:p>
    <w:p w:rsidR="00FD37C2" w:rsidRDefault="00FD37C2">
      <w:pPr>
        <w:jc w:val="center"/>
        <w:rPr>
          <w:sz w:val="72"/>
          <w:szCs w:val="72"/>
        </w:rPr>
      </w:pPr>
    </w:p>
    <w:p w:rsidR="00FD37C2" w:rsidRDefault="00FD37C2">
      <w:pPr>
        <w:rPr>
          <w:sz w:val="72"/>
          <w:szCs w:val="72"/>
        </w:rPr>
      </w:pPr>
    </w:p>
    <w:p w:rsidR="00FD37C2" w:rsidRDefault="00035B64">
      <w:pPr>
        <w:pStyle w:val="Default"/>
        <w:jc w:val="center"/>
        <w:rPr>
          <w:sz w:val="84"/>
          <w:szCs w:val="84"/>
        </w:rPr>
      </w:pPr>
      <w:r>
        <w:rPr>
          <w:rFonts w:hint="eastAsia"/>
          <w:sz w:val="84"/>
          <w:szCs w:val="84"/>
        </w:rPr>
        <w:t>第一部分</w:t>
      </w:r>
    </w:p>
    <w:p w:rsidR="00FD37C2" w:rsidRDefault="00FD37C2">
      <w:pPr>
        <w:pStyle w:val="Default"/>
        <w:jc w:val="center"/>
        <w:rPr>
          <w:sz w:val="84"/>
          <w:szCs w:val="84"/>
        </w:rPr>
      </w:pPr>
    </w:p>
    <w:p w:rsidR="00FD37C2" w:rsidRDefault="00035B64">
      <w:pPr>
        <w:pStyle w:val="Default"/>
        <w:jc w:val="center"/>
        <w:rPr>
          <w:sz w:val="84"/>
          <w:szCs w:val="84"/>
        </w:rPr>
      </w:pPr>
      <w:r>
        <w:rPr>
          <w:rFonts w:hint="eastAsia"/>
          <w:sz w:val="84"/>
          <w:szCs w:val="84"/>
        </w:rPr>
        <w:t>鹤城区人民政府办公室单位概况</w:t>
      </w:r>
    </w:p>
    <w:p w:rsidR="00FD37C2" w:rsidRDefault="00FD37C2">
      <w:pPr>
        <w:jc w:val="center"/>
        <w:rPr>
          <w:sz w:val="72"/>
          <w:szCs w:val="72"/>
        </w:rPr>
      </w:pPr>
    </w:p>
    <w:p w:rsidR="00FD37C2" w:rsidRDefault="00FD37C2">
      <w:pPr>
        <w:jc w:val="center"/>
        <w:rPr>
          <w:sz w:val="72"/>
          <w:szCs w:val="72"/>
        </w:rPr>
      </w:pPr>
    </w:p>
    <w:p w:rsidR="00FD37C2" w:rsidRDefault="00FD37C2">
      <w:pPr>
        <w:jc w:val="center"/>
        <w:rPr>
          <w:sz w:val="72"/>
          <w:szCs w:val="72"/>
        </w:rPr>
      </w:pPr>
    </w:p>
    <w:p w:rsidR="00FD37C2" w:rsidRDefault="00FD37C2">
      <w:pPr>
        <w:jc w:val="center"/>
        <w:rPr>
          <w:sz w:val="72"/>
          <w:szCs w:val="72"/>
        </w:rPr>
      </w:pPr>
    </w:p>
    <w:p w:rsidR="00FD37C2" w:rsidRDefault="00FD37C2">
      <w:pPr>
        <w:jc w:val="center"/>
        <w:rPr>
          <w:sz w:val="72"/>
          <w:szCs w:val="72"/>
        </w:rPr>
      </w:pPr>
    </w:p>
    <w:p w:rsidR="00FD37C2" w:rsidRDefault="00FD37C2">
      <w:pPr>
        <w:pStyle w:val="a6"/>
        <w:ind w:left="720" w:firstLineChars="0" w:firstLine="0"/>
        <w:jc w:val="left"/>
        <w:rPr>
          <w:rFonts w:ascii="黑体" w:eastAsia="黑体" w:hAnsi="黑体"/>
          <w:sz w:val="32"/>
          <w:szCs w:val="32"/>
        </w:rPr>
      </w:pPr>
    </w:p>
    <w:p w:rsidR="00FD37C2" w:rsidRDefault="00FD37C2">
      <w:pPr>
        <w:pStyle w:val="a6"/>
        <w:ind w:left="720" w:firstLineChars="0" w:firstLine="0"/>
        <w:jc w:val="left"/>
        <w:rPr>
          <w:rFonts w:ascii="黑体" w:eastAsia="黑体" w:hAnsi="黑体"/>
          <w:sz w:val="32"/>
          <w:szCs w:val="32"/>
        </w:rPr>
      </w:pPr>
    </w:p>
    <w:p w:rsidR="00FD37C2" w:rsidRDefault="00FD37C2">
      <w:pPr>
        <w:pStyle w:val="a6"/>
        <w:ind w:left="720" w:firstLineChars="0" w:firstLine="0"/>
        <w:jc w:val="left"/>
        <w:rPr>
          <w:rFonts w:ascii="黑体" w:eastAsia="黑体" w:hAnsi="黑体"/>
          <w:sz w:val="32"/>
          <w:szCs w:val="32"/>
        </w:rPr>
      </w:pPr>
    </w:p>
    <w:p w:rsidR="00FD37C2" w:rsidRDefault="00035B64">
      <w:pPr>
        <w:pStyle w:val="a6"/>
        <w:numPr>
          <w:ilvl w:val="0"/>
          <w:numId w:val="1"/>
        </w:numPr>
        <w:ind w:firstLineChars="0"/>
        <w:jc w:val="left"/>
        <w:rPr>
          <w:rFonts w:ascii="黑体" w:eastAsia="黑体" w:hAnsi="黑体"/>
          <w:sz w:val="32"/>
          <w:szCs w:val="32"/>
        </w:rPr>
      </w:pPr>
      <w:r>
        <w:rPr>
          <w:rFonts w:ascii="黑体" w:eastAsia="黑体" w:hAnsi="黑体"/>
          <w:sz w:val="32"/>
          <w:szCs w:val="32"/>
        </w:rPr>
        <w:t>部门职责</w:t>
      </w:r>
    </w:p>
    <w:p w:rsidR="00FD37C2" w:rsidRDefault="00035B64">
      <w:pPr>
        <w:spacing w:line="560" w:lineRule="exact"/>
        <w:ind w:firstLineChars="200" w:firstLine="640"/>
        <w:rPr>
          <w:rFonts w:ascii="宋体"/>
          <w:sz w:val="32"/>
          <w:szCs w:val="32"/>
        </w:rPr>
      </w:pPr>
      <w:r>
        <w:rPr>
          <w:rFonts w:ascii="宋体" w:hAnsi="宋体" w:hint="eastAsia"/>
          <w:sz w:val="32"/>
          <w:szCs w:val="32"/>
        </w:rPr>
        <w:t>一）部门职责</w:t>
      </w:r>
    </w:p>
    <w:p w:rsidR="00FD37C2" w:rsidRDefault="00035B64">
      <w:pPr>
        <w:ind w:firstLineChars="300" w:firstLine="960"/>
        <w:rPr>
          <w:rFonts w:ascii="仿宋_GB2312" w:eastAsia="仿宋_GB2312" w:hAnsiTheme="minorEastAsia"/>
          <w:sz w:val="28"/>
          <w:szCs w:val="32"/>
        </w:rPr>
      </w:pPr>
      <w:r>
        <w:rPr>
          <w:rFonts w:ascii="宋体" w:hAnsi="宋体" w:cs="仿宋_GB2312" w:hint="eastAsia"/>
          <w:sz w:val="32"/>
          <w:szCs w:val="32"/>
        </w:rPr>
        <w:t>鹤城区政府办的主要职能是综合协调、参谋决策、督察督办、行政复议等。</w:t>
      </w:r>
    </w:p>
    <w:p w:rsidR="00FD37C2" w:rsidRDefault="00035B64">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FD37C2" w:rsidRDefault="00035B64">
      <w:pPr>
        <w:widowControl/>
        <w:spacing w:line="600" w:lineRule="exact"/>
        <w:ind w:firstLineChars="150" w:firstLine="480"/>
        <w:rPr>
          <w:rFonts w:ascii="宋体"/>
          <w:bCs/>
          <w:kern w:val="0"/>
          <w:sz w:val="32"/>
          <w:szCs w:val="32"/>
        </w:rPr>
      </w:pPr>
      <w:r>
        <w:rPr>
          <w:rFonts w:asciiTheme="minorEastAsia" w:hAnsiTheme="minorEastAsia" w:hint="eastAsia"/>
          <w:bCs/>
          <w:kern w:val="0"/>
          <w:sz w:val="32"/>
          <w:szCs w:val="32"/>
        </w:rPr>
        <w:t>（一）内设机构设置。</w:t>
      </w:r>
      <w:r>
        <w:rPr>
          <w:rFonts w:ascii="宋体" w:hint="eastAsia"/>
          <w:bCs/>
          <w:kern w:val="0"/>
          <w:sz w:val="32"/>
          <w:szCs w:val="32"/>
        </w:rPr>
        <w:t>鹤城区政府办</w:t>
      </w:r>
      <w:r>
        <w:rPr>
          <w:rFonts w:ascii="宋体" w:hAnsi="宋体" w:hint="eastAsia"/>
          <w:bCs/>
          <w:kern w:val="0"/>
          <w:sz w:val="32"/>
          <w:szCs w:val="32"/>
        </w:rPr>
        <w:t>单位内设机构包括：</w:t>
      </w:r>
      <w:r>
        <w:rPr>
          <w:rFonts w:ascii="宋体" w:hAnsi="宋体" w:cs="仿宋_GB2312" w:hint="eastAsia"/>
          <w:sz w:val="32"/>
          <w:szCs w:val="32"/>
        </w:rPr>
        <w:t>经调室、督查室、文秘一室（值班机要室）、文秘二室（文电室）、文秘三室（城建室）、禁毒办、信息室、财务室、房改办、区对外联络管理办公室、政工室、优化办、小康办、金融办。</w:t>
      </w:r>
    </w:p>
    <w:p w:rsidR="00FD37C2" w:rsidRDefault="00FD37C2">
      <w:pPr>
        <w:widowControl/>
        <w:spacing w:line="600" w:lineRule="exact"/>
        <w:rPr>
          <w:rFonts w:asciiTheme="minorEastAsia" w:hAnsiTheme="minorEastAsia"/>
          <w:bCs/>
          <w:kern w:val="0"/>
          <w:sz w:val="32"/>
          <w:szCs w:val="32"/>
        </w:rPr>
      </w:pPr>
    </w:p>
    <w:p w:rsidR="00FD37C2" w:rsidRDefault="00035B64">
      <w:pPr>
        <w:widowControl/>
        <w:spacing w:line="600" w:lineRule="exact"/>
        <w:rPr>
          <w:rFonts w:asciiTheme="minorEastAsia" w:hAnsiTheme="minorEastAsia"/>
          <w:bCs/>
          <w:kern w:val="0"/>
          <w:sz w:val="32"/>
          <w:szCs w:val="32"/>
        </w:rPr>
      </w:pPr>
      <w:r>
        <w:rPr>
          <w:rFonts w:asciiTheme="minorEastAsia" w:hAnsiTheme="minorEastAsia" w:hint="eastAsia"/>
          <w:bCs/>
          <w:kern w:val="0"/>
          <w:sz w:val="32"/>
          <w:szCs w:val="32"/>
        </w:rPr>
        <w:t>（二）决算单位构成。鹤城区政府办单位</w:t>
      </w:r>
      <w:r>
        <w:rPr>
          <w:rFonts w:asciiTheme="minorEastAsia" w:hAnsiTheme="minorEastAsia"/>
          <w:bCs/>
          <w:kern w:val="0"/>
          <w:sz w:val="32"/>
          <w:szCs w:val="32"/>
        </w:rPr>
        <w:t>20</w:t>
      </w:r>
      <w:r>
        <w:rPr>
          <w:rFonts w:asciiTheme="minorEastAsia" w:hAnsiTheme="minorEastAsia" w:hint="eastAsia"/>
          <w:bCs/>
          <w:kern w:val="0"/>
          <w:sz w:val="32"/>
          <w:szCs w:val="32"/>
        </w:rPr>
        <w:t>20年部门决算汇总公开单位构成包括：鹤城区政府办单位本级。</w:t>
      </w:r>
    </w:p>
    <w:p w:rsidR="00FD37C2" w:rsidRDefault="00FD37C2">
      <w:pPr>
        <w:jc w:val="left"/>
        <w:rPr>
          <w:rFonts w:ascii="仿宋_GB2312" w:eastAsia="仿宋_GB2312" w:hAnsiTheme="minorEastAsia"/>
          <w:sz w:val="28"/>
          <w:szCs w:val="32"/>
        </w:rPr>
      </w:pPr>
    </w:p>
    <w:p w:rsidR="00FD37C2" w:rsidRDefault="00FD37C2">
      <w:pPr>
        <w:jc w:val="center"/>
        <w:rPr>
          <w:rFonts w:ascii="黑体" w:eastAsia="黑体" w:hAnsi="黑体"/>
          <w:sz w:val="28"/>
          <w:szCs w:val="28"/>
        </w:rPr>
      </w:pPr>
    </w:p>
    <w:p w:rsidR="00FD37C2" w:rsidRDefault="00FD37C2">
      <w:pPr>
        <w:jc w:val="center"/>
        <w:rPr>
          <w:rFonts w:ascii="黑体" w:eastAsia="黑体" w:hAnsi="黑体"/>
          <w:sz w:val="28"/>
          <w:szCs w:val="28"/>
        </w:rPr>
      </w:pPr>
    </w:p>
    <w:p w:rsidR="00FD37C2" w:rsidRDefault="00FD37C2">
      <w:pPr>
        <w:jc w:val="center"/>
        <w:rPr>
          <w:rFonts w:ascii="黑体" w:eastAsia="黑体" w:hAnsi="黑体"/>
          <w:sz w:val="28"/>
          <w:szCs w:val="28"/>
        </w:rPr>
      </w:pPr>
    </w:p>
    <w:p w:rsidR="00FD37C2" w:rsidRDefault="00FD37C2">
      <w:pPr>
        <w:jc w:val="center"/>
        <w:rPr>
          <w:rFonts w:ascii="黑体" w:eastAsia="黑体" w:hAnsi="黑体"/>
          <w:sz w:val="28"/>
          <w:szCs w:val="28"/>
        </w:rPr>
      </w:pPr>
    </w:p>
    <w:p w:rsidR="00FD37C2" w:rsidRDefault="00FD37C2">
      <w:pPr>
        <w:jc w:val="center"/>
        <w:rPr>
          <w:rFonts w:ascii="黑体" w:eastAsia="黑体" w:hAnsi="黑体"/>
          <w:sz w:val="28"/>
          <w:szCs w:val="28"/>
        </w:rPr>
      </w:pPr>
    </w:p>
    <w:p w:rsidR="00FD37C2" w:rsidRDefault="00FD37C2">
      <w:pPr>
        <w:jc w:val="center"/>
        <w:rPr>
          <w:rFonts w:ascii="黑体" w:eastAsia="黑体" w:hAnsi="黑体"/>
          <w:sz w:val="28"/>
          <w:szCs w:val="28"/>
        </w:rPr>
      </w:pPr>
    </w:p>
    <w:p w:rsidR="00FD37C2" w:rsidRDefault="00FD37C2">
      <w:pPr>
        <w:jc w:val="center"/>
        <w:rPr>
          <w:rFonts w:ascii="黑体" w:eastAsia="黑体" w:hAnsi="黑体"/>
          <w:sz w:val="28"/>
          <w:szCs w:val="28"/>
        </w:rPr>
      </w:pPr>
    </w:p>
    <w:p w:rsidR="00FD37C2" w:rsidRDefault="00FD37C2">
      <w:pPr>
        <w:jc w:val="center"/>
        <w:rPr>
          <w:rFonts w:ascii="黑体" w:eastAsia="黑体" w:hAnsi="黑体"/>
          <w:sz w:val="28"/>
          <w:szCs w:val="28"/>
        </w:rPr>
      </w:pPr>
    </w:p>
    <w:p w:rsidR="00FD37C2" w:rsidRDefault="00FD37C2">
      <w:pPr>
        <w:jc w:val="center"/>
        <w:rPr>
          <w:rFonts w:ascii="黑体" w:eastAsia="黑体" w:hAnsi="黑体"/>
          <w:sz w:val="28"/>
          <w:szCs w:val="28"/>
        </w:rPr>
      </w:pPr>
    </w:p>
    <w:p w:rsidR="00FD37C2" w:rsidRDefault="00FD37C2">
      <w:pPr>
        <w:jc w:val="center"/>
        <w:rPr>
          <w:rFonts w:ascii="黑体" w:eastAsia="黑体" w:hAnsi="黑体"/>
          <w:sz w:val="28"/>
          <w:szCs w:val="28"/>
        </w:rPr>
      </w:pPr>
    </w:p>
    <w:p w:rsidR="00FD37C2" w:rsidRDefault="00FD37C2">
      <w:pPr>
        <w:jc w:val="center"/>
        <w:rPr>
          <w:rFonts w:ascii="黑体" w:eastAsia="黑体" w:hAnsi="黑体"/>
          <w:sz w:val="28"/>
          <w:szCs w:val="28"/>
        </w:rPr>
      </w:pPr>
    </w:p>
    <w:p w:rsidR="00FD37C2" w:rsidRDefault="00FD37C2">
      <w:pPr>
        <w:jc w:val="center"/>
        <w:rPr>
          <w:rFonts w:ascii="黑体" w:eastAsia="黑体" w:hAnsi="黑体"/>
          <w:sz w:val="28"/>
          <w:szCs w:val="28"/>
        </w:rPr>
      </w:pPr>
    </w:p>
    <w:p w:rsidR="00FD37C2" w:rsidRDefault="00FD37C2">
      <w:pPr>
        <w:jc w:val="center"/>
        <w:rPr>
          <w:sz w:val="72"/>
          <w:szCs w:val="72"/>
        </w:rPr>
      </w:pPr>
    </w:p>
    <w:p w:rsidR="00FD37C2" w:rsidRDefault="00FD37C2">
      <w:pPr>
        <w:jc w:val="center"/>
        <w:rPr>
          <w:sz w:val="72"/>
          <w:szCs w:val="72"/>
        </w:rPr>
      </w:pPr>
    </w:p>
    <w:p w:rsidR="00FD37C2" w:rsidRDefault="00FD37C2">
      <w:pPr>
        <w:jc w:val="center"/>
        <w:rPr>
          <w:sz w:val="72"/>
          <w:szCs w:val="72"/>
        </w:rPr>
      </w:pPr>
    </w:p>
    <w:p w:rsidR="00FD37C2" w:rsidRDefault="00FD37C2">
      <w:pPr>
        <w:jc w:val="center"/>
        <w:rPr>
          <w:sz w:val="72"/>
          <w:szCs w:val="72"/>
        </w:rPr>
      </w:pPr>
    </w:p>
    <w:p w:rsidR="00FD37C2" w:rsidRDefault="00FD37C2">
      <w:pPr>
        <w:jc w:val="center"/>
        <w:rPr>
          <w:sz w:val="72"/>
          <w:szCs w:val="72"/>
        </w:rPr>
      </w:pPr>
    </w:p>
    <w:p w:rsidR="00FD37C2" w:rsidRDefault="00035B64">
      <w:pPr>
        <w:jc w:val="center"/>
        <w:rPr>
          <w:sz w:val="72"/>
          <w:szCs w:val="72"/>
        </w:rPr>
      </w:pPr>
      <w:r>
        <w:rPr>
          <w:rFonts w:hint="eastAsia"/>
          <w:sz w:val="72"/>
          <w:szCs w:val="72"/>
        </w:rPr>
        <w:t>第二部分</w:t>
      </w:r>
    </w:p>
    <w:p w:rsidR="00FD37C2" w:rsidRDefault="00FD37C2">
      <w:pPr>
        <w:jc w:val="center"/>
        <w:rPr>
          <w:sz w:val="72"/>
          <w:szCs w:val="72"/>
        </w:rPr>
      </w:pPr>
    </w:p>
    <w:p w:rsidR="00FD37C2" w:rsidRDefault="00035B64">
      <w:pPr>
        <w:jc w:val="center"/>
        <w:rPr>
          <w:sz w:val="72"/>
          <w:szCs w:val="72"/>
        </w:rPr>
      </w:pPr>
      <w:r>
        <w:rPr>
          <w:rFonts w:hint="eastAsia"/>
          <w:sz w:val="72"/>
          <w:szCs w:val="72"/>
        </w:rPr>
        <w:t>部门决算表</w:t>
      </w:r>
      <w:r>
        <w:rPr>
          <w:sz w:val="72"/>
          <w:szCs w:val="72"/>
        </w:rPr>
        <w:br/>
      </w:r>
      <w:r>
        <w:rPr>
          <w:rFonts w:hint="eastAsia"/>
          <w:sz w:val="72"/>
          <w:szCs w:val="72"/>
        </w:rPr>
        <w:t>（表格见附件）</w:t>
      </w:r>
    </w:p>
    <w:p w:rsidR="00FD37C2" w:rsidRDefault="00FD37C2">
      <w:pPr>
        <w:jc w:val="center"/>
        <w:rPr>
          <w:sz w:val="72"/>
          <w:szCs w:val="72"/>
        </w:rPr>
      </w:pPr>
    </w:p>
    <w:p w:rsidR="00FD37C2" w:rsidRDefault="00FD37C2">
      <w:pPr>
        <w:jc w:val="center"/>
        <w:rPr>
          <w:sz w:val="72"/>
          <w:szCs w:val="72"/>
        </w:rPr>
      </w:pPr>
    </w:p>
    <w:p w:rsidR="00FD37C2" w:rsidRDefault="00FD37C2">
      <w:pPr>
        <w:jc w:val="center"/>
        <w:rPr>
          <w:sz w:val="72"/>
          <w:szCs w:val="72"/>
        </w:rPr>
      </w:pPr>
    </w:p>
    <w:p w:rsidR="00FD37C2" w:rsidRDefault="00FD37C2">
      <w:pPr>
        <w:jc w:val="center"/>
        <w:rPr>
          <w:sz w:val="72"/>
          <w:szCs w:val="72"/>
        </w:rPr>
      </w:pPr>
    </w:p>
    <w:p w:rsidR="00FD37C2" w:rsidRDefault="00FD37C2">
      <w:pPr>
        <w:jc w:val="center"/>
        <w:rPr>
          <w:sz w:val="72"/>
          <w:szCs w:val="72"/>
        </w:rPr>
      </w:pPr>
    </w:p>
    <w:p w:rsidR="00FD37C2" w:rsidRDefault="00FD37C2">
      <w:pPr>
        <w:jc w:val="center"/>
        <w:rPr>
          <w:sz w:val="72"/>
          <w:szCs w:val="72"/>
        </w:rPr>
      </w:pPr>
    </w:p>
    <w:p w:rsidR="00FD37C2" w:rsidRDefault="00FD37C2">
      <w:pPr>
        <w:jc w:val="left"/>
        <w:rPr>
          <w:sz w:val="32"/>
          <w:szCs w:val="32"/>
        </w:rPr>
      </w:pPr>
    </w:p>
    <w:p w:rsidR="00FD37C2" w:rsidRDefault="00FD37C2">
      <w:pPr>
        <w:jc w:val="left"/>
        <w:rPr>
          <w:rFonts w:asciiTheme="minorEastAsia" w:hAnsiTheme="minorEastAsia"/>
          <w:sz w:val="32"/>
          <w:szCs w:val="32"/>
        </w:rPr>
        <w:sectPr w:rsidR="00FD37C2">
          <w:pgSz w:w="11906" w:h="16838"/>
          <w:pgMar w:top="720" w:right="720" w:bottom="720" w:left="720" w:header="851" w:footer="992" w:gutter="0"/>
          <w:cols w:space="425"/>
          <w:docGrid w:type="lines" w:linePitch="312"/>
        </w:sectPr>
      </w:pPr>
    </w:p>
    <w:p w:rsidR="00FD37C2" w:rsidRDefault="00FD37C2">
      <w:pPr>
        <w:pStyle w:val="Default"/>
        <w:rPr>
          <w:sz w:val="72"/>
          <w:szCs w:val="72"/>
        </w:rPr>
      </w:pPr>
    </w:p>
    <w:p w:rsidR="00FD37C2" w:rsidRDefault="00FD37C2">
      <w:pPr>
        <w:pStyle w:val="Default"/>
        <w:rPr>
          <w:sz w:val="72"/>
          <w:szCs w:val="72"/>
        </w:rPr>
      </w:pPr>
    </w:p>
    <w:p w:rsidR="00FD37C2" w:rsidRDefault="00FD37C2">
      <w:pPr>
        <w:pStyle w:val="Default"/>
        <w:rPr>
          <w:sz w:val="72"/>
          <w:szCs w:val="72"/>
        </w:rPr>
      </w:pPr>
    </w:p>
    <w:p w:rsidR="00FD37C2" w:rsidRDefault="00FD37C2">
      <w:pPr>
        <w:pStyle w:val="Default"/>
        <w:rPr>
          <w:sz w:val="72"/>
          <w:szCs w:val="72"/>
        </w:rPr>
      </w:pPr>
    </w:p>
    <w:p w:rsidR="00FD37C2" w:rsidRDefault="00FD37C2">
      <w:pPr>
        <w:pStyle w:val="Default"/>
        <w:jc w:val="center"/>
        <w:rPr>
          <w:sz w:val="72"/>
          <w:szCs w:val="72"/>
        </w:rPr>
      </w:pPr>
    </w:p>
    <w:p w:rsidR="00FD37C2" w:rsidRDefault="00FD37C2">
      <w:pPr>
        <w:pStyle w:val="Default"/>
        <w:jc w:val="center"/>
        <w:rPr>
          <w:sz w:val="72"/>
          <w:szCs w:val="72"/>
        </w:rPr>
      </w:pPr>
    </w:p>
    <w:p w:rsidR="00FD37C2" w:rsidRDefault="00035B64">
      <w:pPr>
        <w:pStyle w:val="Default"/>
        <w:jc w:val="center"/>
        <w:rPr>
          <w:sz w:val="72"/>
          <w:szCs w:val="72"/>
        </w:rPr>
      </w:pPr>
      <w:r>
        <w:rPr>
          <w:rFonts w:hint="eastAsia"/>
          <w:sz w:val="72"/>
          <w:szCs w:val="72"/>
        </w:rPr>
        <w:t>第三部分</w:t>
      </w:r>
    </w:p>
    <w:p w:rsidR="00FD37C2" w:rsidRDefault="00FD37C2">
      <w:pPr>
        <w:pStyle w:val="Default"/>
        <w:jc w:val="center"/>
        <w:rPr>
          <w:sz w:val="70"/>
          <w:szCs w:val="70"/>
        </w:rPr>
      </w:pPr>
    </w:p>
    <w:p w:rsidR="00FD37C2" w:rsidRDefault="00035B64">
      <w:pPr>
        <w:pStyle w:val="Default"/>
        <w:jc w:val="center"/>
        <w:rPr>
          <w:sz w:val="70"/>
          <w:szCs w:val="70"/>
        </w:rPr>
      </w:pPr>
      <w:r>
        <w:rPr>
          <w:sz w:val="70"/>
          <w:szCs w:val="70"/>
        </w:rPr>
        <w:t>20</w:t>
      </w:r>
      <w:r>
        <w:rPr>
          <w:rFonts w:hint="eastAsia"/>
          <w:sz w:val="70"/>
          <w:szCs w:val="70"/>
        </w:rPr>
        <w:t>20年度部门决算情况说明</w:t>
      </w:r>
    </w:p>
    <w:p w:rsidR="00FD37C2" w:rsidRDefault="00035B64">
      <w:pPr>
        <w:widowControl/>
        <w:jc w:val="left"/>
        <w:rPr>
          <w:rFonts w:ascii="黑体" w:eastAsia="黑体" w:cs="黑体"/>
          <w:color w:val="000000"/>
          <w:kern w:val="0"/>
          <w:sz w:val="70"/>
          <w:szCs w:val="70"/>
        </w:rPr>
      </w:pPr>
      <w:r>
        <w:rPr>
          <w:sz w:val="70"/>
          <w:szCs w:val="70"/>
        </w:rPr>
        <w:br w:type="page"/>
      </w:r>
    </w:p>
    <w:p w:rsidR="00FD37C2" w:rsidRDefault="00FD37C2">
      <w:pPr>
        <w:pStyle w:val="Default"/>
        <w:rPr>
          <w:rFonts w:asciiTheme="minorEastAsia" w:eastAsiaTheme="minorEastAsia" w:hAnsiTheme="minorEastAsia"/>
          <w:sz w:val="32"/>
          <w:szCs w:val="32"/>
        </w:rPr>
      </w:pPr>
    </w:p>
    <w:p w:rsidR="00FD37C2" w:rsidRDefault="00035B64">
      <w:pPr>
        <w:pStyle w:val="Default"/>
        <w:rPr>
          <w:rFonts w:hAnsi="黑体"/>
          <w:b/>
          <w:sz w:val="32"/>
          <w:szCs w:val="32"/>
        </w:rPr>
      </w:pPr>
      <w:r>
        <w:rPr>
          <w:rFonts w:hAnsi="黑体" w:hint="eastAsia"/>
          <w:b/>
          <w:sz w:val="32"/>
          <w:szCs w:val="32"/>
        </w:rPr>
        <w:t>一、收入支出决算总体情况说明</w:t>
      </w:r>
    </w:p>
    <w:p w:rsidR="00FD37C2" w:rsidRDefault="00035B6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2020年度收入合计1730.13万元。与上年相比，增加25.36万元，增长1.5%，主要是因为本年各项业务办公需要，经费相应增加。</w:t>
      </w:r>
    </w:p>
    <w:p w:rsidR="00FD37C2" w:rsidRDefault="00035B6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2020年度支出合计1658万元。与上年相比，减少70.17万元，减少4.23%，主要是因为本年结余资金尚未使用，结转下年度继续执行。</w:t>
      </w:r>
    </w:p>
    <w:p w:rsidR="00FD37C2" w:rsidRDefault="00035B64">
      <w:pPr>
        <w:pStyle w:val="Default"/>
        <w:rPr>
          <w:rFonts w:hAnsi="黑体"/>
          <w:b/>
          <w:sz w:val="32"/>
          <w:szCs w:val="32"/>
        </w:rPr>
      </w:pPr>
      <w:r>
        <w:rPr>
          <w:rFonts w:hAnsi="黑体" w:hint="eastAsia"/>
          <w:b/>
          <w:sz w:val="32"/>
          <w:szCs w:val="32"/>
        </w:rPr>
        <w:t>二、收入决算情况说明</w:t>
      </w:r>
    </w:p>
    <w:p w:rsidR="00FD37C2" w:rsidRDefault="00035B6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本年收入合计1730.13万元，其中：财政拨款收入1730.13万元，占100%；上级补助收入0万元，占0%；事业收入0万元，占0%；经营收入0万元，占0%；附属单位上缴收入0万元，占0%；其他收入0万元，占0%。</w:t>
      </w:r>
    </w:p>
    <w:p w:rsidR="00FD37C2" w:rsidRDefault="00035B64">
      <w:pPr>
        <w:pStyle w:val="Default"/>
        <w:rPr>
          <w:rFonts w:hAnsi="黑体"/>
          <w:b/>
          <w:sz w:val="32"/>
          <w:szCs w:val="32"/>
        </w:rPr>
      </w:pPr>
      <w:r>
        <w:rPr>
          <w:rFonts w:hAnsi="黑体" w:hint="eastAsia"/>
          <w:b/>
          <w:sz w:val="32"/>
          <w:szCs w:val="32"/>
        </w:rPr>
        <w:t>三、支出决算情况说明</w:t>
      </w:r>
    </w:p>
    <w:p w:rsidR="00FD37C2" w:rsidRDefault="00035B6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本年支出合计1658万元，其中：基本支出1237.75万元，占74.65%；项目支出420.25万元，占25.35%；上缴上级支出0万元，占0%；经营支出0万元，占0%；对附属单位补助支出0万元，占0%。</w:t>
      </w:r>
    </w:p>
    <w:p w:rsidR="00FD37C2" w:rsidRDefault="00035B64">
      <w:pPr>
        <w:pStyle w:val="Default"/>
        <w:rPr>
          <w:rFonts w:hAnsi="黑体"/>
          <w:b/>
          <w:sz w:val="32"/>
          <w:szCs w:val="32"/>
        </w:rPr>
      </w:pPr>
      <w:r>
        <w:rPr>
          <w:rFonts w:hAnsi="黑体" w:hint="eastAsia"/>
          <w:b/>
          <w:sz w:val="32"/>
          <w:szCs w:val="32"/>
        </w:rPr>
        <w:t>四、财政拨款收入支出决算总体情况说明</w:t>
      </w:r>
    </w:p>
    <w:p w:rsidR="00FD37C2" w:rsidRDefault="00035B6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2020年度财政拨款收入总计1730.13万元。与上年相比，增加25.36万元，增长1.5%，主要是因为本年各项业务办公需要，经费相应增加。</w:t>
      </w:r>
    </w:p>
    <w:p w:rsidR="00FD37C2" w:rsidRDefault="00035B6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2020年度财政拨款支出总计1658万元。与上年相比，减少70.17万元，减少4.23%，主要是因为本年结余资金尚未使用，结转下年度继续执行。</w:t>
      </w:r>
    </w:p>
    <w:p w:rsidR="00FD37C2" w:rsidRDefault="00035B64">
      <w:pPr>
        <w:pStyle w:val="Default"/>
        <w:rPr>
          <w:rFonts w:hAnsi="黑体"/>
          <w:b/>
          <w:sz w:val="32"/>
          <w:szCs w:val="32"/>
        </w:rPr>
      </w:pPr>
      <w:r>
        <w:rPr>
          <w:rFonts w:hAnsi="黑体" w:hint="eastAsia"/>
          <w:b/>
          <w:sz w:val="32"/>
          <w:szCs w:val="32"/>
        </w:rPr>
        <w:t>五、一般公共预算财政拨款支出决算情况说明</w:t>
      </w:r>
    </w:p>
    <w:p w:rsidR="00FD37C2" w:rsidRDefault="00035B64" w:rsidP="008067D6">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FD37C2" w:rsidRDefault="00035B6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2020年度财政拨款支出1658万元，占本年支出合计的100%，与上年相比，财政拨款支出减少70.17万元，减少4.23%，主要是因为本年结余资金尚未使用，结转下年度继续执行。</w:t>
      </w:r>
    </w:p>
    <w:p w:rsidR="00FD37C2" w:rsidRDefault="00FD37C2">
      <w:pPr>
        <w:pStyle w:val="Default"/>
        <w:ind w:firstLineChars="250" w:firstLine="800"/>
        <w:rPr>
          <w:rFonts w:asciiTheme="minorEastAsia" w:eastAsiaTheme="minorEastAsia" w:hAnsiTheme="minorEastAsia"/>
          <w:sz w:val="32"/>
          <w:szCs w:val="32"/>
        </w:rPr>
      </w:pPr>
    </w:p>
    <w:p w:rsidR="00FD37C2" w:rsidRDefault="00035B64" w:rsidP="008067D6">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FD37C2" w:rsidRDefault="00035B6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支出1658万元，主要用于以下方面：一般公共服务（类）支出1386.14万元，占83.6%；科学技术（类）支出22.4万元，占1.35%;社会保障和就业（类）支出180.53万元，占10.89%；;卫生健康（类）支出68.93万元，占4.15%;</w:t>
      </w:r>
    </w:p>
    <w:p w:rsidR="00FD37C2" w:rsidRDefault="00035B64" w:rsidP="008067D6">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FD37C2" w:rsidRDefault="00035B6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2020年度财政拨款支出年初预算数为1730.13万元，支出决算数为1658万元，完成年初预算的95.83%，其中：</w:t>
      </w:r>
    </w:p>
    <w:p w:rsidR="00FD37C2" w:rsidRDefault="00035B6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1、一般公共服务（类）政府办公厅（室）及相关机构事务（款）行政运行（项）。</w:t>
      </w:r>
    </w:p>
    <w:p w:rsidR="00FD37C2" w:rsidRDefault="00035B6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年初预算为1037.24万元，支出决算为965.12万元，完成年初预算的93.05%，决算数小于年初预算数的主要原因是：本年结余资金尚未使用，结转下年度继续执行。</w:t>
      </w:r>
    </w:p>
    <w:p w:rsidR="00FD37C2" w:rsidRDefault="00035B6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2、一般公共服务（类）政府办公厅（室）及相关机构事务（款）（款）一般行政管理事务（项）。</w:t>
      </w:r>
    </w:p>
    <w:p w:rsidR="00FD37C2" w:rsidRDefault="00035B6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年初预算为320.33万元，支出决算为320.33万元，完成年初预算的100%。</w:t>
      </w:r>
    </w:p>
    <w:p w:rsidR="00FD37C2" w:rsidRDefault="00035B64">
      <w:pPr>
        <w:pStyle w:val="Default"/>
        <w:numPr>
          <w:ilvl w:val="0"/>
          <w:numId w:val="2"/>
        </w:numPr>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一般公共服务（类）政府办公厅（室）及相关机构事务（款）（款）政务公开审批（项）。</w:t>
      </w:r>
    </w:p>
    <w:p w:rsidR="00FD37C2" w:rsidRDefault="00035B6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年初预算为45.17万元，支出决算为45.17万元，完成年初预算的100%。</w:t>
      </w:r>
    </w:p>
    <w:p w:rsidR="00FD37C2" w:rsidRDefault="00035B6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4、一般公共服务（类）其他一般公共服务支出（款）其他一般公共服务支出（项）。</w:t>
      </w:r>
    </w:p>
    <w:p w:rsidR="00FD37C2" w:rsidRDefault="00035B6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年初预算为55.52万元，支出决算为55.52万元，完成年初预算的100%。</w:t>
      </w:r>
    </w:p>
    <w:p w:rsidR="00FD37C2" w:rsidRDefault="00035B6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5、科学技术支出（类）其他科学技术支出（款）其他科学技术支出（项）。</w:t>
      </w:r>
    </w:p>
    <w:p w:rsidR="00FD37C2" w:rsidRDefault="00035B6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年初预算</w:t>
      </w:r>
      <w:bookmarkStart w:id="0" w:name="_GoBack"/>
      <w:r>
        <w:rPr>
          <w:rFonts w:asciiTheme="minorEastAsia" w:eastAsiaTheme="minorEastAsia" w:hAnsiTheme="minorEastAsia" w:hint="eastAsia"/>
          <w:sz w:val="32"/>
          <w:szCs w:val="32"/>
        </w:rPr>
        <w:t>为22.4万元，支出决算为22.4万元，完成年初预</w:t>
      </w:r>
      <w:bookmarkEnd w:id="0"/>
      <w:r>
        <w:rPr>
          <w:rFonts w:asciiTheme="minorEastAsia" w:eastAsiaTheme="minorEastAsia" w:hAnsiTheme="minorEastAsia" w:hint="eastAsia"/>
          <w:sz w:val="32"/>
          <w:szCs w:val="32"/>
        </w:rPr>
        <w:t>算的100%。</w:t>
      </w:r>
    </w:p>
    <w:p w:rsidR="00FD37C2" w:rsidRDefault="00035B6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6、社会保障和就业支出（类）行政事业单位养老支出（款）行政单位离退休（项）。</w:t>
      </w:r>
    </w:p>
    <w:p w:rsidR="00FD37C2" w:rsidRDefault="00035B6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年初预算为59.31万元，支出决算为59.31万元，完成年初预算的100%。</w:t>
      </w:r>
    </w:p>
    <w:p w:rsidR="00FD37C2" w:rsidRDefault="00035B6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7、社会保障和就业支出（类）行政事业单位养老支出（款）机关事业单位基本养老保险缴费支出（项）。</w:t>
      </w:r>
    </w:p>
    <w:p w:rsidR="00FD37C2" w:rsidRDefault="00035B64">
      <w:pPr>
        <w:pStyle w:val="Default"/>
        <w:ind w:leftChars="304" w:left="638" w:firstLineChars="50" w:firstLine="16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年初预算为102.92万元，支出决算为102.92万元，完成年初预算的100%。8、社会保障和就业支出（类）抚恤（款）死亡抚恤（项）。</w:t>
      </w:r>
    </w:p>
    <w:p w:rsidR="00FD37C2" w:rsidRDefault="00035B6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年初预算为18.31万元，支出决算为18.31万元，完成年初预算的100%。</w:t>
      </w:r>
    </w:p>
    <w:p w:rsidR="00FD37C2" w:rsidRDefault="00035B6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9、卫生健康支出（类）公共卫生（款）突发公共卫生事件应急处理（项）。</w:t>
      </w:r>
    </w:p>
    <w:p w:rsidR="00FD37C2" w:rsidRDefault="00035B6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年初预算为22万元，支出决算为22万元，完成年初预算的100%。</w:t>
      </w:r>
    </w:p>
    <w:p w:rsidR="00FD37C2" w:rsidRDefault="00035B6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10、卫生健康支出（类）行政事业单位医疗（款）行政单位医疗（项）。</w:t>
      </w:r>
    </w:p>
    <w:p w:rsidR="00FD37C2" w:rsidRDefault="00035B6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年初预算为46.93万元，支出决算为46.93万元，完成年初预算的100%。</w:t>
      </w:r>
    </w:p>
    <w:p w:rsidR="00FD37C2" w:rsidRDefault="00035B64">
      <w:pPr>
        <w:pStyle w:val="Default"/>
        <w:rPr>
          <w:rFonts w:hAnsi="黑体"/>
          <w:b/>
          <w:sz w:val="32"/>
          <w:szCs w:val="32"/>
        </w:rPr>
      </w:pPr>
      <w:r>
        <w:rPr>
          <w:rFonts w:hAnsi="黑体" w:hint="eastAsia"/>
          <w:b/>
          <w:sz w:val="32"/>
          <w:szCs w:val="32"/>
        </w:rPr>
        <w:t>六、一般公共预算财政拨款基本支出决算情况说明</w:t>
      </w:r>
    </w:p>
    <w:p w:rsidR="00FD37C2" w:rsidRDefault="00035B6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基本支出1237.75万元，其中：人员经费1055.91万元，占基本支出的85.3%,主要包括基本工资515.18万元、津贴补贴45.17万元、奖金3.31万元、伙食补助费49万元、绩效工资163.46万元、机关事业单位基本养老保险缴费102.92万元、职工基本医疗保险缴费46.93万元、其他社会保障缴费11.67万元、医疗费9.3万元、 其他工资福利支出108.97万元、抚恤金18.31万元、生活补助59.31万元、医疗费补助2.63万元、其他对个人和家庭的补助0.63万元；公用经费100.96万元，占基本支出的14.7%，主要包括办公费18.15万元、水费0.37万元、电费0.04万元、邮电费2.73万元、差旅费9.1万元、会议费3.03万元、公务接待费2.03万元、工会经费40万元、劳务费6.25万元、公务用车运行维护费13.25万元、其他交通费用0.3万元、</w:t>
      </w:r>
      <w:r>
        <w:rPr>
          <w:rFonts w:asciiTheme="minorEastAsia" w:eastAsiaTheme="minorEastAsia" w:hAnsiTheme="minorEastAsia" w:hint="eastAsia"/>
          <w:sz w:val="32"/>
          <w:szCs w:val="32"/>
        </w:rPr>
        <w:lastRenderedPageBreak/>
        <w:t>其他商品和服务支出0.46万元、办公设备购置5.26万元。</w:t>
      </w:r>
    </w:p>
    <w:p w:rsidR="00FD37C2" w:rsidRDefault="00035B64">
      <w:pPr>
        <w:pStyle w:val="Default"/>
        <w:rPr>
          <w:rFonts w:hAnsi="黑体"/>
          <w:b/>
          <w:sz w:val="32"/>
          <w:szCs w:val="32"/>
        </w:rPr>
      </w:pPr>
      <w:r>
        <w:rPr>
          <w:rFonts w:hAnsi="黑体" w:hint="eastAsia"/>
          <w:b/>
          <w:sz w:val="32"/>
          <w:szCs w:val="32"/>
        </w:rPr>
        <w:t>七、一般公共预算财政拨款三公经费支出决算情况说明</w:t>
      </w:r>
    </w:p>
    <w:p w:rsidR="00FD37C2" w:rsidRDefault="00035B64">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FD37C2" w:rsidRDefault="00035B6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“三公”经费财政拨款支出预算为18万元，支出决算为</w:t>
      </w:r>
      <w:r w:rsidR="009344F9">
        <w:rPr>
          <w:rFonts w:asciiTheme="minorEastAsia" w:eastAsiaTheme="minorEastAsia" w:hAnsiTheme="minorEastAsia" w:hint="eastAsia"/>
          <w:sz w:val="32"/>
          <w:szCs w:val="32"/>
        </w:rPr>
        <w:t>15.29</w:t>
      </w:r>
      <w:r>
        <w:rPr>
          <w:rFonts w:asciiTheme="minorEastAsia" w:eastAsiaTheme="minorEastAsia" w:hAnsiTheme="minorEastAsia" w:hint="eastAsia"/>
          <w:sz w:val="32"/>
          <w:szCs w:val="32"/>
        </w:rPr>
        <w:t>万元，完成预算的</w:t>
      </w:r>
      <w:r w:rsidR="009344F9">
        <w:rPr>
          <w:rFonts w:asciiTheme="minorEastAsia" w:eastAsiaTheme="minorEastAsia" w:hAnsiTheme="minorEastAsia" w:hint="eastAsia"/>
          <w:sz w:val="32"/>
          <w:szCs w:val="32"/>
        </w:rPr>
        <w:t>84.94</w:t>
      </w:r>
      <w:r>
        <w:rPr>
          <w:rFonts w:asciiTheme="minorEastAsia" w:eastAsiaTheme="minorEastAsia" w:hAnsiTheme="minorEastAsia" w:hint="eastAsia"/>
          <w:sz w:val="32"/>
          <w:szCs w:val="32"/>
        </w:rPr>
        <w:t>%，其中：</w:t>
      </w:r>
    </w:p>
    <w:p w:rsidR="00FD37C2" w:rsidRDefault="00035B6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因公出国（境）费支出预算为0万元，支出决算为0万元，完成预算的0%。</w:t>
      </w:r>
    </w:p>
    <w:p w:rsidR="00FD37C2" w:rsidRDefault="00035B6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3万元，支出决算为2.03万元，完成预算的67.66%，决算数小于预算数的主要原因是本年按照实际公务接待执行，与上年相比增加1.68万元，增长82.75%,增长的主要原因是本年单位也无需要，相关经费增加。</w:t>
      </w:r>
    </w:p>
    <w:p w:rsidR="00FD37C2" w:rsidRDefault="00035B6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支出预算为15万元，支出决算为13.25万元，完成预算的88.33%，决算数小于预算数的主要原因是按照公务用车相关文件执行开支，与上年相比减少1.56万元，减少11.77减少的主要原因是按照公务用车相关文件执行开支。</w:t>
      </w:r>
    </w:p>
    <w:p w:rsidR="00FD37C2" w:rsidRDefault="00035B64">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FD37C2" w:rsidRDefault="00035B6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2020年度“三公”经费财政拨款支出决算中，公务接待费支出决算2.03万元，占13.27%,因公出国（境）费支出决算0万元，占0%,公务用车购置费及运行维护费支出决算13.25万元，占86.73%。其中：</w:t>
      </w:r>
    </w:p>
    <w:p w:rsidR="00FD37C2" w:rsidRDefault="00035B64">
      <w:pPr>
        <w:pStyle w:val="Default"/>
        <w:ind w:firstLineChars="300" w:firstLine="960"/>
        <w:rPr>
          <w:rFonts w:asciiTheme="minorEastAsia" w:eastAsiaTheme="minorEastAsia" w:hAnsiTheme="minorEastAsia"/>
          <w:sz w:val="32"/>
          <w:szCs w:val="32"/>
        </w:rPr>
      </w:pPr>
      <w:r>
        <w:rPr>
          <w:rFonts w:asciiTheme="minorEastAsia" w:eastAsiaTheme="minorEastAsia" w:hAnsiTheme="minorEastAsia" w:hint="eastAsia"/>
          <w:sz w:val="32"/>
          <w:szCs w:val="32"/>
        </w:rPr>
        <w:t>1、因公出国（境）费支出决算为0万元，全年安排因公出国（境）团组0个，累计0人次。</w:t>
      </w:r>
    </w:p>
    <w:p w:rsidR="00FD37C2" w:rsidRDefault="00035B6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2、公务接待费支出决算为2.03万元，全年共接待来访团组65个、来宾630人次，主要是用于其他地区及单位部门来我区进行学习交流发生的接待支出。</w:t>
      </w:r>
    </w:p>
    <w:p w:rsidR="00FD37C2" w:rsidRDefault="00035B64">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lastRenderedPageBreak/>
        <w:t>3、公务用车购置费及运行维护费支出决算为13.25万元，其中：公务用车购置费0万元，0（单位本级或某二级机构）更新公务用车0辆</w:t>
      </w:r>
      <w:r>
        <w:rPr>
          <w:rFonts w:asciiTheme="minorEastAsia" w:hAnsiTheme="minorEastAsia" w:hint="eastAsia"/>
          <w:color w:val="000000" w:themeColor="text1"/>
          <w:sz w:val="32"/>
          <w:szCs w:val="32"/>
        </w:rPr>
        <w:t>。</w:t>
      </w:r>
      <w:r>
        <w:rPr>
          <w:rFonts w:asciiTheme="minorEastAsia" w:hAnsiTheme="minorEastAsia" w:hint="eastAsia"/>
          <w:sz w:val="32"/>
          <w:szCs w:val="32"/>
        </w:rPr>
        <w:t>公务用车运行维护费13.25万元，主要是</w:t>
      </w:r>
      <w:r>
        <w:rPr>
          <w:rFonts w:ascii="宋体" w:hint="eastAsia"/>
          <w:sz w:val="32"/>
          <w:szCs w:val="32"/>
        </w:rPr>
        <w:t>公务用车维修及加油</w:t>
      </w:r>
      <w:r>
        <w:rPr>
          <w:rFonts w:asciiTheme="minorEastAsia" w:hAnsiTheme="minorEastAsia" w:hint="eastAsia"/>
          <w:sz w:val="32"/>
          <w:szCs w:val="32"/>
        </w:rPr>
        <w:t>支出，截止2020年12月31日，我单位开支财政拨款的公务用车保有量为1辆。</w:t>
      </w:r>
    </w:p>
    <w:p w:rsidR="00FD37C2" w:rsidRDefault="00035B64">
      <w:pPr>
        <w:pStyle w:val="Default"/>
        <w:rPr>
          <w:rFonts w:hAnsi="黑体"/>
          <w:b/>
          <w:sz w:val="32"/>
          <w:szCs w:val="32"/>
        </w:rPr>
      </w:pPr>
      <w:r>
        <w:rPr>
          <w:rFonts w:hAnsi="黑体" w:hint="eastAsia"/>
          <w:b/>
          <w:sz w:val="32"/>
          <w:szCs w:val="32"/>
        </w:rPr>
        <w:t>八、政府性基金预算收入支出决算情况</w:t>
      </w:r>
    </w:p>
    <w:p w:rsidR="00FD37C2" w:rsidRDefault="00035B64">
      <w:pPr>
        <w:pStyle w:val="Default"/>
        <w:rPr>
          <w:rFonts w:ascii="宋体" w:eastAsia="宋体" w:hAnsi="宋体"/>
          <w:sz w:val="32"/>
          <w:szCs w:val="32"/>
        </w:rPr>
      </w:pPr>
      <w:r>
        <w:rPr>
          <w:rFonts w:ascii="宋体" w:eastAsia="宋体" w:hAnsi="宋体" w:hint="eastAsia"/>
          <w:sz w:val="32"/>
          <w:szCs w:val="32"/>
        </w:rPr>
        <w:t>2020年本单位无政府性基金收支。</w:t>
      </w:r>
    </w:p>
    <w:p w:rsidR="00FD37C2" w:rsidRDefault="00035B64">
      <w:pPr>
        <w:pStyle w:val="Default"/>
        <w:rPr>
          <w:rFonts w:hAnsi="黑体"/>
          <w:b/>
          <w:sz w:val="32"/>
          <w:szCs w:val="32"/>
        </w:rPr>
      </w:pPr>
      <w:r>
        <w:rPr>
          <w:rFonts w:hAnsi="黑体" w:hint="eastAsia"/>
          <w:b/>
          <w:sz w:val="32"/>
          <w:szCs w:val="32"/>
        </w:rPr>
        <w:t>九、关于机关运行经费支出说明</w:t>
      </w:r>
    </w:p>
    <w:p w:rsidR="00FD37C2" w:rsidRDefault="00035B6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本部门2020年度机关运行经费支出100.96万元，比年初预算数减少132.04 万元，降低130.78%。主要原因是：根据单位业务需要，本年经费相应减少。</w:t>
      </w:r>
    </w:p>
    <w:p w:rsidR="00FD37C2" w:rsidRDefault="00035B64">
      <w:pPr>
        <w:pStyle w:val="Default"/>
        <w:rPr>
          <w:rFonts w:hAnsi="黑体"/>
          <w:b/>
          <w:sz w:val="32"/>
          <w:szCs w:val="32"/>
        </w:rPr>
      </w:pPr>
      <w:r>
        <w:rPr>
          <w:rFonts w:hAnsi="黑体" w:hint="eastAsia"/>
          <w:b/>
          <w:sz w:val="32"/>
          <w:szCs w:val="32"/>
        </w:rPr>
        <w:t>十、一般性支出情况</w:t>
      </w:r>
    </w:p>
    <w:p w:rsidR="00FD37C2" w:rsidRDefault="00035B6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2020年本部门开支会议费3.03万元，用于召开全区各项会议，人数2800人，内容为召开全区各项会议；开支培训费0万元，举办各项节庆、晚会、论坛、赛事活动，开支0万元。</w:t>
      </w:r>
    </w:p>
    <w:p w:rsidR="00FD37C2" w:rsidRDefault="00035B64">
      <w:pPr>
        <w:pStyle w:val="Default"/>
        <w:rPr>
          <w:rFonts w:hAnsi="黑体"/>
          <w:b/>
          <w:sz w:val="32"/>
          <w:szCs w:val="32"/>
        </w:rPr>
      </w:pPr>
      <w:r>
        <w:rPr>
          <w:rFonts w:hAnsi="黑体" w:hint="eastAsia"/>
          <w:b/>
          <w:sz w:val="32"/>
          <w:szCs w:val="32"/>
        </w:rPr>
        <w:t>十一、关于政府采购支出说明</w:t>
      </w:r>
    </w:p>
    <w:p w:rsidR="00FD37C2" w:rsidRDefault="00035B6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本部门2020年度无政府采购支出。</w:t>
      </w:r>
    </w:p>
    <w:p w:rsidR="00FD37C2" w:rsidRDefault="00035B64">
      <w:pPr>
        <w:pStyle w:val="Default"/>
        <w:rPr>
          <w:rFonts w:hAnsi="黑体"/>
          <w:b/>
          <w:sz w:val="32"/>
          <w:szCs w:val="32"/>
        </w:rPr>
      </w:pPr>
      <w:r>
        <w:rPr>
          <w:rFonts w:hAnsi="黑体" w:hint="eastAsia"/>
          <w:b/>
          <w:sz w:val="32"/>
          <w:szCs w:val="32"/>
        </w:rPr>
        <w:t>十二、关于国有资产占用情况说明</w:t>
      </w:r>
    </w:p>
    <w:p w:rsidR="00FD37C2" w:rsidRDefault="00035B6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2020年12月31日，本单位共有车辆1辆，其中，主要领导干部用车1辆，机要通信用车0辆、应急保障用车0辆、执法执勤用车0辆、特种专业技术用车0辆、其他用车0辆；单位价值50万元以上通用设备0台（套）；单位价值100万元以上专用设备0台（套）。</w:t>
      </w:r>
    </w:p>
    <w:p w:rsidR="00FD37C2" w:rsidRDefault="00035B64">
      <w:pPr>
        <w:pStyle w:val="Default"/>
        <w:rPr>
          <w:rFonts w:hAnsi="黑体"/>
          <w:b/>
          <w:sz w:val="32"/>
          <w:szCs w:val="32"/>
        </w:rPr>
      </w:pPr>
      <w:r>
        <w:rPr>
          <w:rFonts w:hAnsi="黑体" w:hint="eastAsia"/>
          <w:b/>
          <w:sz w:val="32"/>
          <w:szCs w:val="32"/>
        </w:rPr>
        <w:t>十三、关于2020年度预算绩效情况的说明</w:t>
      </w:r>
    </w:p>
    <w:p w:rsidR="00FD37C2" w:rsidRDefault="00035B64">
      <w:pPr>
        <w:pStyle w:val="Default"/>
        <w:ind w:firstLineChars="200" w:firstLine="640"/>
        <w:rPr>
          <w:rFonts w:asciiTheme="minorEastAsia" w:eastAsiaTheme="minorEastAsia" w:hAnsiTheme="minorEastAsia"/>
          <w:sz w:val="32"/>
          <w:szCs w:val="32"/>
        </w:rPr>
      </w:pPr>
      <w:r>
        <w:rPr>
          <w:rFonts w:asciiTheme="majorEastAsia" w:eastAsiaTheme="majorEastAsia" w:hAnsiTheme="majorEastAsia" w:cstheme="majorEastAsia" w:hint="eastAsia"/>
          <w:sz w:val="32"/>
          <w:szCs w:val="32"/>
        </w:rPr>
        <w:t>2020年鹤城区政府办单位申报的项目共12个，其中重点项目0个。</w:t>
      </w:r>
      <w:r w:rsidR="008067D6">
        <w:rPr>
          <w:rFonts w:asciiTheme="majorEastAsia" w:eastAsiaTheme="majorEastAsia" w:hAnsiTheme="majorEastAsia" w:cstheme="majorEastAsia" w:hint="eastAsia"/>
          <w:sz w:val="32"/>
          <w:szCs w:val="32"/>
        </w:rPr>
        <w:t>详情附后</w:t>
      </w:r>
    </w:p>
    <w:p w:rsidR="00FD37C2" w:rsidRDefault="00FD37C2">
      <w:pPr>
        <w:pStyle w:val="Default"/>
        <w:rPr>
          <w:rFonts w:hAnsi="黑体"/>
          <w:b/>
          <w:sz w:val="32"/>
          <w:szCs w:val="32"/>
        </w:rPr>
      </w:pPr>
    </w:p>
    <w:p w:rsidR="00FD37C2" w:rsidRDefault="00FD37C2">
      <w:pPr>
        <w:pStyle w:val="Default"/>
        <w:jc w:val="both"/>
        <w:rPr>
          <w:sz w:val="72"/>
          <w:szCs w:val="72"/>
        </w:rPr>
      </w:pPr>
    </w:p>
    <w:p w:rsidR="00FD37C2" w:rsidRDefault="00035B64">
      <w:pPr>
        <w:pStyle w:val="Default"/>
        <w:jc w:val="center"/>
        <w:rPr>
          <w:sz w:val="72"/>
          <w:szCs w:val="72"/>
        </w:rPr>
      </w:pPr>
      <w:r>
        <w:rPr>
          <w:rFonts w:hint="eastAsia"/>
          <w:sz w:val="72"/>
          <w:szCs w:val="72"/>
        </w:rPr>
        <w:t>第四部分</w:t>
      </w:r>
    </w:p>
    <w:p w:rsidR="00FD37C2" w:rsidRDefault="00FD37C2">
      <w:pPr>
        <w:jc w:val="center"/>
        <w:rPr>
          <w:rFonts w:ascii="黑体" w:eastAsia="黑体" w:cs="黑体"/>
          <w:color w:val="000000"/>
          <w:kern w:val="0"/>
          <w:sz w:val="70"/>
          <w:szCs w:val="70"/>
        </w:rPr>
      </w:pPr>
    </w:p>
    <w:p w:rsidR="00FD37C2" w:rsidRDefault="00035B64">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FD37C2" w:rsidRDefault="00035B64">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FD37C2" w:rsidRDefault="00FD37C2">
      <w:pPr>
        <w:ind w:firstLineChars="200" w:firstLine="640"/>
        <w:jc w:val="left"/>
        <w:rPr>
          <w:rFonts w:asciiTheme="minorEastAsia" w:hAnsiTheme="minorEastAsia" w:cs="黑体"/>
          <w:color w:val="000000"/>
          <w:kern w:val="0"/>
          <w:sz w:val="32"/>
          <w:szCs w:val="32"/>
        </w:rPr>
      </w:pPr>
    </w:p>
    <w:p w:rsidR="00FD37C2" w:rsidRDefault="00035B64">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FD37C2" w:rsidRDefault="00035B64">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FD37C2" w:rsidRDefault="00FD37C2">
      <w:pPr>
        <w:pStyle w:val="Default"/>
        <w:jc w:val="center"/>
        <w:rPr>
          <w:sz w:val="72"/>
          <w:szCs w:val="72"/>
        </w:rPr>
      </w:pPr>
    </w:p>
    <w:p w:rsidR="00FD37C2" w:rsidRDefault="00FD37C2">
      <w:pPr>
        <w:pStyle w:val="Default"/>
        <w:jc w:val="center"/>
        <w:rPr>
          <w:sz w:val="72"/>
          <w:szCs w:val="72"/>
        </w:rPr>
      </w:pPr>
    </w:p>
    <w:p w:rsidR="00FD37C2" w:rsidRDefault="00FD37C2">
      <w:pPr>
        <w:pStyle w:val="Default"/>
        <w:jc w:val="center"/>
        <w:rPr>
          <w:sz w:val="72"/>
          <w:szCs w:val="72"/>
        </w:rPr>
      </w:pPr>
    </w:p>
    <w:p w:rsidR="00FD37C2" w:rsidRDefault="00FD37C2">
      <w:pPr>
        <w:pStyle w:val="Default"/>
        <w:jc w:val="center"/>
        <w:rPr>
          <w:sz w:val="72"/>
          <w:szCs w:val="72"/>
        </w:rPr>
      </w:pPr>
    </w:p>
    <w:p w:rsidR="00FD37C2" w:rsidRDefault="00FD37C2">
      <w:pPr>
        <w:pStyle w:val="Default"/>
        <w:jc w:val="center"/>
        <w:rPr>
          <w:sz w:val="72"/>
          <w:szCs w:val="72"/>
        </w:rPr>
      </w:pPr>
    </w:p>
    <w:p w:rsidR="00FD37C2" w:rsidRDefault="00FD37C2">
      <w:pPr>
        <w:pStyle w:val="Default"/>
        <w:jc w:val="center"/>
        <w:rPr>
          <w:sz w:val="72"/>
          <w:szCs w:val="72"/>
        </w:rPr>
      </w:pPr>
    </w:p>
    <w:p w:rsidR="00FD37C2" w:rsidRDefault="00FD37C2">
      <w:pPr>
        <w:pStyle w:val="Default"/>
        <w:jc w:val="center"/>
        <w:rPr>
          <w:sz w:val="72"/>
          <w:szCs w:val="72"/>
        </w:rPr>
      </w:pPr>
    </w:p>
    <w:p w:rsidR="00FD37C2" w:rsidRDefault="00FD37C2">
      <w:pPr>
        <w:pStyle w:val="Default"/>
        <w:jc w:val="center"/>
        <w:rPr>
          <w:sz w:val="72"/>
          <w:szCs w:val="72"/>
        </w:rPr>
      </w:pPr>
    </w:p>
    <w:p w:rsidR="00FD37C2" w:rsidRDefault="00FD37C2">
      <w:pPr>
        <w:pStyle w:val="Default"/>
        <w:jc w:val="center"/>
        <w:rPr>
          <w:sz w:val="72"/>
          <w:szCs w:val="72"/>
        </w:rPr>
      </w:pPr>
    </w:p>
    <w:p w:rsidR="00FD37C2" w:rsidRDefault="00FD37C2">
      <w:pPr>
        <w:pStyle w:val="Default"/>
        <w:jc w:val="center"/>
        <w:rPr>
          <w:sz w:val="72"/>
          <w:szCs w:val="72"/>
        </w:rPr>
      </w:pPr>
    </w:p>
    <w:p w:rsidR="00FD37C2" w:rsidRDefault="00FD37C2">
      <w:pPr>
        <w:pStyle w:val="Default"/>
        <w:jc w:val="center"/>
        <w:rPr>
          <w:sz w:val="72"/>
          <w:szCs w:val="72"/>
        </w:rPr>
      </w:pPr>
    </w:p>
    <w:p w:rsidR="00FD37C2" w:rsidRDefault="00FD37C2">
      <w:pPr>
        <w:pStyle w:val="Default"/>
        <w:jc w:val="center"/>
        <w:rPr>
          <w:sz w:val="72"/>
          <w:szCs w:val="72"/>
        </w:rPr>
      </w:pPr>
    </w:p>
    <w:p w:rsidR="00FD37C2" w:rsidRDefault="00FD37C2">
      <w:pPr>
        <w:pStyle w:val="Default"/>
        <w:jc w:val="center"/>
        <w:rPr>
          <w:sz w:val="72"/>
          <w:szCs w:val="72"/>
        </w:rPr>
      </w:pPr>
    </w:p>
    <w:p w:rsidR="00FD37C2" w:rsidRDefault="00FD37C2">
      <w:pPr>
        <w:pStyle w:val="Default"/>
        <w:jc w:val="center"/>
        <w:rPr>
          <w:sz w:val="72"/>
          <w:szCs w:val="72"/>
        </w:rPr>
      </w:pPr>
    </w:p>
    <w:p w:rsidR="00FD37C2" w:rsidRDefault="00FD37C2">
      <w:pPr>
        <w:pStyle w:val="Default"/>
        <w:jc w:val="center"/>
        <w:rPr>
          <w:sz w:val="72"/>
          <w:szCs w:val="72"/>
        </w:rPr>
      </w:pPr>
    </w:p>
    <w:p w:rsidR="00FD37C2" w:rsidRDefault="00FD37C2">
      <w:pPr>
        <w:pStyle w:val="Default"/>
        <w:jc w:val="center"/>
        <w:rPr>
          <w:sz w:val="72"/>
          <w:szCs w:val="72"/>
        </w:rPr>
      </w:pPr>
    </w:p>
    <w:p w:rsidR="00FD37C2" w:rsidRDefault="00FD37C2">
      <w:pPr>
        <w:pStyle w:val="Default"/>
        <w:jc w:val="center"/>
        <w:rPr>
          <w:sz w:val="72"/>
          <w:szCs w:val="72"/>
        </w:rPr>
      </w:pPr>
    </w:p>
    <w:p w:rsidR="00FD37C2" w:rsidRDefault="00FD37C2">
      <w:pPr>
        <w:pStyle w:val="Default"/>
        <w:jc w:val="center"/>
        <w:rPr>
          <w:sz w:val="72"/>
          <w:szCs w:val="72"/>
        </w:rPr>
      </w:pPr>
    </w:p>
    <w:p w:rsidR="00FD37C2" w:rsidRDefault="00035B64">
      <w:pPr>
        <w:pStyle w:val="Default"/>
        <w:jc w:val="center"/>
        <w:rPr>
          <w:sz w:val="72"/>
          <w:szCs w:val="72"/>
        </w:rPr>
      </w:pPr>
      <w:r>
        <w:rPr>
          <w:rFonts w:hint="eastAsia"/>
          <w:sz w:val="72"/>
          <w:szCs w:val="72"/>
        </w:rPr>
        <w:t>第五部分</w:t>
      </w:r>
    </w:p>
    <w:p w:rsidR="00FD37C2" w:rsidRDefault="00FD37C2">
      <w:pPr>
        <w:jc w:val="center"/>
        <w:rPr>
          <w:rFonts w:ascii="黑体" w:eastAsia="黑体" w:cs="黑体"/>
          <w:color w:val="000000"/>
          <w:kern w:val="0"/>
          <w:sz w:val="70"/>
          <w:szCs w:val="70"/>
        </w:rPr>
      </w:pPr>
    </w:p>
    <w:p w:rsidR="00FD37C2" w:rsidRDefault="00035B64">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FD37C2" w:rsidRDefault="00035B64">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FD37C2" w:rsidRDefault="00FD37C2">
      <w:pPr>
        <w:jc w:val="center"/>
        <w:rPr>
          <w:rFonts w:ascii="黑体" w:eastAsia="黑体" w:cs="黑体"/>
          <w:color w:val="000000"/>
          <w:kern w:val="0"/>
          <w:sz w:val="70"/>
          <w:szCs w:val="70"/>
        </w:rPr>
      </w:pPr>
    </w:p>
    <w:p w:rsidR="00FD37C2" w:rsidRDefault="00035B64" w:rsidP="008067D6">
      <w:pPr>
        <w:ind w:firstLineChars="200" w:firstLine="643"/>
        <w:jc w:val="center"/>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2020年度部门整体支出绩效评价报告</w:t>
      </w:r>
    </w:p>
    <w:p w:rsidR="00FD37C2" w:rsidRDefault="00035B64">
      <w:pPr>
        <w:widowControl/>
        <w:spacing w:line="600" w:lineRule="exact"/>
        <w:ind w:firstLineChars="350" w:firstLine="1120"/>
        <w:rPr>
          <w:rFonts w:ascii="宋体"/>
          <w:bCs/>
          <w:kern w:val="0"/>
          <w:sz w:val="32"/>
          <w:szCs w:val="32"/>
        </w:rPr>
      </w:pPr>
      <w:r>
        <w:rPr>
          <w:rFonts w:ascii="宋体" w:hAnsi="宋体" w:cs="仿宋_GB2312"/>
          <w:sz w:val="32"/>
          <w:szCs w:val="32"/>
        </w:rPr>
        <w:t>1</w:t>
      </w:r>
      <w:r>
        <w:rPr>
          <w:rFonts w:ascii="宋体" w:hAnsi="宋体" w:hint="eastAsia"/>
          <w:sz w:val="28"/>
          <w:szCs w:val="28"/>
        </w:rPr>
        <w:t>、</w:t>
      </w:r>
      <w:r>
        <w:rPr>
          <w:rFonts w:ascii="宋体" w:hAnsi="宋体" w:cs="仿宋_GB2312" w:hint="eastAsia"/>
          <w:sz w:val="32"/>
          <w:szCs w:val="32"/>
        </w:rPr>
        <w:t xml:space="preserve"> 区政府办公室是全额拨款行政单位，经调室、督查室、文秘一室（值班机要室）、文秘二室（文电室）、文秘三室（城建室）、禁毒办、信息室、财务室、房改办、区对外联络管理办公室、政工室、优化办、小康办、金融办。</w:t>
      </w:r>
    </w:p>
    <w:p w:rsidR="00FD37C2" w:rsidRDefault="00035B64">
      <w:pPr>
        <w:ind w:firstLineChars="400" w:firstLine="1280"/>
        <w:jc w:val="left"/>
        <w:rPr>
          <w:rFonts w:ascii="宋体" w:hAnsi="宋体"/>
          <w:sz w:val="32"/>
          <w:szCs w:val="32"/>
        </w:rPr>
      </w:pPr>
      <w:r>
        <w:rPr>
          <w:rFonts w:ascii="仿宋_GB2312" w:eastAsia="仿宋_GB2312" w:hAnsi="仿宋_GB2312" w:cs="仿宋_GB2312"/>
          <w:sz w:val="32"/>
          <w:szCs w:val="32"/>
        </w:rPr>
        <w:t>2</w:t>
      </w:r>
      <w:r>
        <w:rPr>
          <w:rFonts w:hint="eastAsia"/>
          <w:sz w:val="28"/>
          <w:szCs w:val="28"/>
        </w:rPr>
        <w:t>、</w:t>
      </w:r>
      <w:r>
        <w:rPr>
          <w:rFonts w:ascii="宋体" w:hAnsi="宋体"/>
          <w:sz w:val="32"/>
          <w:szCs w:val="32"/>
        </w:rPr>
        <w:t xml:space="preserve"> 20</w:t>
      </w:r>
      <w:r>
        <w:rPr>
          <w:rFonts w:ascii="宋体" w:hAnsi="宋体" w:hint="eastAsia"/>
          <w:sz w:val="32"/>
          <w:szCs w:val="32"/>
        </w:rPr>
        <w:t>20年度财政拨款收入总计1730.13万元，支出总计1658万元。与</w:t>
      </w:r>
      <w:r>
        <w:rPr>
          <w:rFonts w:ascii="宋体" w:hAnsi="宋体"/>
          <w:sz w:val="32"/>
          <w:szCs w:val="32"/>
        </w:rPr>
        <w:t>201</w:t>
      </w:r>
      <w:r>
        <w:rPr>
          <w:rFonts w:ascii="宋体" w:hAnsi="宋体" w:hint="eastAsia"/>
          <w:sz w:val="32"/>
          <w:szCs w:val="32"/>
        </w:rPr>
        <w:t>9年相比，收入增加25.36万元，增长</w:t>
      </w:r>
      <w:r>
        <w:rPr>
          <w:rFonts w:ascii="宋体" w:hAnsi="宋体"/>
          <w:sz w:val="32"/>
          <w:szCs w:val="32"/>
        </w:rPr>
        <w:t>1</w:t>
      </w:r>
      <w:r>
        <w:rPr>
          <w:rFonts w:ascii="宋体" w:hAnsi="宋体" w:hint="eastAsia"/>
          <w:sz w:val="32"/>
          <w:szCs w:val="32"/>
        </w:rPr>
        <w:t>.5</w:t>
      </w:r>
      <w:r>
        <w:rPr>
          <w:rFonts w:ascii="宋体" w:hAnsi="宋体"/>
          <w:sz w:val="32"/>
          <w:szCs w:val="32"/>
        </w:rPr>
        <w:t>%</w:t>
      </w:r>
      <w:r>
        <w:rPr>
          <w:rFonts w:ascii="宋体" w:hAnsi="宋体" w:hint="eastAsia"/>
          <w:sz w:val="32"/>
          <w:szCs w:val="32"/>
        </w:rPr>
        <w:t>。支出减少70.17万元，减少4.23</w:t>
      </w:r>
      <w:r>
        <w:rPr>
          <w:rFonts w:ascii="宋体" w:hAnsi="宋体"/>
          <w:sz w:val="32"/>
          <w:szCs w:val="32"/>
        </w:rPr>
        <w:t>%</w:t>
      </w:r>
      <w:r>
        <w:rPr>
          <w:rFonts w:ascii="宋体" w:hAnsi="宋体" w:hint="eastAsia"/>
          <w:sz w:val="32"/>
          <w:szCs w:val="32"/>
        </w:rPr>
        <w:t>，主要是因为</w:t>
      </w:r>
      <w:r>
        <w:rPr>
          <w:rFonts w:asciiTheme="minorEastAsia" w:hAnsiTheme="minorEastAsia" w:hint="eastAsia"/>
          <w:sz w:val="32"/>
          <w:szCs w:val="32"/>
        </w:rPr>
        <w:t>本年结余资金尚未使用，结转下年度继续执行。</w:t>
      </w:r>
    </w:p>
    <w:p w:rsidR="00FD37C2" w:rsidRDefault="00035B64">
      <w:pPr>
        <w:widowControl/>
        <w:spacing w:line="600" w:lineRule="exact"/>
        <w:ind w:firstLineChars="400" w:firstLine="1280"/>
        <w:jc w:val="left"/>
        <w:rPr>
          <w:rFonts w:ascii="宋体" w:hAnsi="宋体"/>
          <w:sz w:val="32"/>
          <w:szCs w:val="32"/>
        </w:rPr>
      </w:pPr>
      <w:r>
        <w:rPr>
          <w:rFonts w:ascii="宋体" w:hAnsi="宋体" w:hint="eastAsia"/>
          <w:sz w:val="32"/>
          <w:szCs w:val="32"/>
        </w:rPr>
        <w:t>3、进行部门决算分析</w:t>
      </w:r>
    </w:p>
    <w:p w:rsidR="00FD37C2" w:rsidRDefault="00035B64">
      <w:pPr>
        <w:widowControl/>
        <w:spacing w:line="600" w:lineRule="exact"/>
        <w:ind w:firstLineChars="196" w:firstLine="627"/>
        <w:jc w:val="left"/>
        <w:rPr>
          <w:rFonts w:ascii="宋体" w:hAnsi="宋体"/>
          <w:sz w:val="32"/>
          <w:szCs w:val="32"/>
        </w:rPr>
      </w:pPr>
      <w:r>
        <w:rPr>
          <w:rFonts w:ascii="宋体" w:hAnsi="宋体" w:hint="eastAsia"/>
          <w:sz w:val="32"/>
          <w:szCs w:val="32"/>
        </w:rPr>
        <w:t>我单位按照工作要求和规定程序有步骤的开展了决算编制、送审等工作，但在决算过程中存在对决算数据分析不够全面的问题。</w:t>
      </w:r>
    </w:p>
    <w:p w:rsidR="00FD37C2" w:rsidRDefault="00035B64">
      <w:pPr>
        <w:widowControl/>
        <w:spacing w:line="600" w:lineRule="exact"/>
        <w:ind w:firstLineChars="400" w:firstLine="1280"/>
        <w:jc w:val="left"/>
        <w:rPr>
          <w:rFonts w:ascii="宋体" w:hAnsi="宋体"/>
          <w:sz w:val="32"/>
          <w:szCs w:val="32"/>
        </w:rPr>
      </w:pPr>
      <w:r>
        <w:rPr>
          <w:rFonts w:ascii="宋体" w:hAnsi="宋体" w:hint="eastAsia"/>
          <w:sz w:val="32"/>
          <w:szCs w:val="32"/>
        </w:rPr>
        <w:t>4、提出改进措施</w:t>
      </w:r>
    </w:p>
    <w:p w:rsidR="00FD37C2" w:rsidRDefault="00035B64">
      <w:pPr>
        <w:ind w:firstLine="660"/>
        <w:rPr>
          <w:rFonts w:ascii="宋体" w:hAnsi="宋体"/>
          <w:sz w:val="32"/>
          <w:szCs w:val="32"/>
        </w:rPr>
      </w:pPr>
      <w:r>
        <w:rPr>
          <w:rFonts w:ascii="宋体" w:hAnsi="宋体" w:hint="eastAsia"/>
          <w:sz w:val="32"/>
          <w:szCs w:val="32"/>
        </w:rPr>
        <w:t>应多加强业务培训，积极学习新的财务知识和财经法规，不断提高财务人员工作能力和工作水平。</w:t>
      </w:r>
    </w:p>
    <w:p w:rsidR="00FD37C2" w:rsidRDefault="00FD37C2">
      <w:pPr>
        <w:ind w:firstLineChars="200" w:firstLine="640"/>
        <w:jc w:val="left"/>
        <w:rPr>
          <w:rFonts w:asciiTheme="minorEastAsia" w:hAnsiTheme="minorEastAsia" w:cs="黑体"/>
          <w:color w:val="000000"/>
          <w:kern w:val="0"/>
          <w:sz w:val="32"/>
          <w:szCs w:val="32"/>
        </w:rPr>
      </w:pPr>
    </w:p>
    <w:sectPr w:rsidR="00FD37C2" w:rsidSect="00FD37C2">
      <w:pgSz w:w="11906" w:h="16838"/>
      <w:pgMar w:top="720" w:right="720" w:bottom="720" w:left="720"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5547" w:rsidRDefault="00B65547" w:rsidP="008067D6">
      <w:r>
        <w:separator/>
      </w:r>
    </w:p>
  </w:endnote>
  <w:endnote w:type="continuationSeparator" w:id="0">
    <w:p w:rsidR="00B65547" w:rsidRDefault="00B65547" w:rsidP="00806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5547" w:rsidRDefault="00B65547" w:rsidP="008067D6">
      <w:r>
        <w:separator/>
      </w:r>
    </w:p>
  </w:footnote>
  <w:footnote w:type="continuationSeparator" w:id="0">
    <w:p w:rsidR="00B65547" w:rsidRDefault="00B65547" w:rsidP="008067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DC9909"/>
    <w:multiLevelType w:val="singleLevel"/>
    <w:tmpl w:val="B5DC9909"/>
    <w:lvl w:ilvl="0">
      <w:start w:val="3"/>
      <w:numFmt w:val="decimal"/>
      <w:suff w:val="nothing"/>
      <w:lvlText w:val="%1、"/>
      <w:lvlJc w:val="left"/>
    </w:lvl>
  </w:abstractNum>
  <w:abstractNum w:abstractNumId="1">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506F9"/>
    <w:rsid w:val="0002229B"/>
    <w:rsid w:val="000273BD"/>
    <w:rsid w:val="00035B64"/>
    <w:rsid w:val="000415B7"/>
    <w:rsid w:val="00041E3F"/>
    <w:rsid w:val="00055DAA"/>
    <w:rsid w:val="00061F7B"/>
    <w:rsid w:val="000658A3"/>
    <w:rsid w:val="00074155"/>
    <w:rsid w:val="000A3F69"/>
    <w:rsid w:val="00103957"/>
    <w:rsid w:val="00125FFA"/>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47E6"/>
    <w:rsid w:val="003C4FC2"/>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C4539"/>
    <w:rsid w:val="007F3657"/>
    <w:rsid w:val="008067D6"/>
    <w:rsid w:val="00812ED5"/>
    <w:rsid w:val="008277D9"/>
    <w:rsid w:val="0084478C"/>
    <w:rsid w:val="008556C3"/>
    <w:rsid w:val="0086638C"/>
    <w:rsid w:val="008A3E8D"/>
    <w:rsid w:val="009237C4"/>
    <w:rsid w:val="009344F9"/>
    <w:rsid w:val="00944C48"/>
    <w:rsid w:val="00950252"/>
    <w:rsid w:val="00953A4C"/>
    <w:rsid w:val="00967F5D"/>
    <w:rsid w:val="009A0F95"/>
    <w:rsid w:val="009B3ADF"/>
    <w:rsid w:val="009C3B52"/>
    <w:rsid w:val="009E6817"/>
    <w:rsid w:val="009E6E9A"/>
    <w:rsid w:val="00A01D2B"/>
    <w:rsid w:val="00A42218"/>
    <w:rsid w:val="00A70249"/>
    <w:rsid w:val="00A70B02"/>
    <w:rsid w:val="00A71D9F"/>
    <w:rsid w:val="00A841DF"/>
    <w:rsid w:val="00A92E9F"/>
    <w:rsid w:val="00B26304"/>
    <w:rsid w:val="00B33BEA"/>
    <w:rsid w:val="00B57C9F"/>
    <w:rsid w:val="00B63572"/>
    <w:rsid w:val="00B65547"/>
    <w:rsid w:val="00B845B3"/>
    <w:rsid w:val="00B85D8B"/>
    <w:rsid w:val="00BB4A40"/>
    <w:rsid w:val="00BD6C3E"/>
    <w:rsid w:val="00BE3674"/>
    <w:rsid w:val="00C10681"/>
    <w:rsid w:val="00C3049A"/>
    <w:rsid w:val="00C31B1E"/>
    <w:rsid w:val="00C77645"/>
    <w:rsid w:val="00CE04C3"/>
    <w:rsid w:val="00CE76A0"/>
    <w:rsid w:val="00CF46C4"/>
    <w:rsid w:val="00D0242F"/>
    <w:rsid w:val="00D148C6"/>
    <w:rsid w:val="00D17A8A"/>
    <w:rsid w:val="00D415BA"/>
    <w:rsid w:val="00D644EE"/>
    <w:rsid w:val="00DD06FF"/>
    <w:rsid w:val="00DD5FE9"/>
    <w:rsid w:val="00E00C7A"/>
    <w:rsid w:val="00E37D6C"/>
    <w:rsid w:val="00E55B68"/>
    <w:rsid w:val="00E67BE6"/>
    <w:rsid w:val="00E8683C"/>
    <w:rsid w:val="00EA2B72"/>
    <w:rsid w:val="00F74360"/>
    <w:rsid w:val="00FB462F"/>
    <w:rsid w:val="00FD37C2"/>
    <w:rsid w:val="00FE16FA"/>
    <w:rsid w:val="00FE328A"/>
    <w:rsid w:val="00FE6269"/>
    <w:rsid w:val="22160AD7"/>
    <w:rsid w:val="40967D72"/>
    <w:rsid w:val="4942019C"/>
    <w:rsid w:val="4C1B42C7"/>
    <w:rsid w:val="6980601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37C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D37C2"/>
    <w:rPr>
      <w:sz w:val="18"/>
      <w:szCs w:val="18"/>
    </w:rPr>
  </w:style>
  <w:style w:type="paragraph" w:styleId="a4">
    <w:name w:val="footer"/>
    <w:basedOn w:val="a"/>
    <w:link w:val="Char0"/>
    <w:uiPriority w:val="99"/>
    <w:unhideWhenUsed/>
    <w:rsid w:val="00FD37C2"/>
    <w:pPr>
      <w:tabs>
        <w:tab w:val="center" w:pos="4153"/>
        <w:tab w:val="right" w:pos="8306"/>
      </w:tabs>
      <w:snapToGrid w:val="0"/>
      <w:jc w:val="left"/>
    </w:pPr>
    <w:rPr>
      <w:sz w:val="18"/>
      <w:szCs w:val="18"/>
    </w:rPr>
  </w:style>
  <w:style w:type="paragraph" w:styleId="a5">
    <w:name w:val="header"/>
    <w:basedOn w:val="a"/>
    <w:link w:val="Char1"/>
    <w:uiPriority w:val="99"/>
    <w:unhideWhenUsed/>
    <w:rsid w:val="00FD37C2"/>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FD37C2"/>
    <w:rPr>
      <w:sz w:val="18"/>
      <w:szCs w:val="18"/>
    </w:rPr>
  </w:style>
  <w:style w:type="character" w:customStyle="1" w:styleId="Char0">
    <w:name w:val="页脚 Char"/>
    <w:basedOn w:val="a0"/>
    <w:link w:val="a4"/>
    <w:uiPriority w:val="99"/>
    <w:rsid w:val="00FD37C2"/>
    <w:rPr>
      <w:sz w:val="18"/>
      <w:szCs w:val="18"/>
    </w:rPr>
  </w:style>
  <w:style w:type="paragraph" w:customStyle="1" w:styleId="Default">
    <w:name w:val="Default"/>
    <w:rsid w:val="00FD37C2"/>
    <w:pPr>
      <w:widowControl w:val="0"/>
      <w:autoSpaceDE w:val="0"/>
      <w:autoSpaceDN w:val="0"/>
      <w:adjustRightInd w:val="0"/>
    </w:pPr>
    <w:rPr>
      <w:rFonts w:ascii="黑体" w:eastAsia="黑体" w:cs="黑体"/>
      <w:color w:val="000000"/>
      <w:sz w:val="24"/>
      <w:szCs w:val="24"/>
    </w:rPr>
  </w:style>
  <w:style w:type="paragraph" w:styleId="a6">
    <w:name w:val="List Paragraph"/>
    <w:basedOn w:val="a"/>
    <w:uiPriority w:val="34"/>
    <w:qFormat/>
    <w:rsid w:val="00FD37C2"/>
    <w:pPr>
      <w:ind w:firstLineChars="200" w:firstLine="420"/>
    </w:pPr>
  </w:style>
  <w:style w:type="character" w:customStyle="1" w:styleId="Char">
    <w:name w:val="批注框文本 Char"/>
    <w:basedOn w:val="a0"/>
    <w:link w:val="a3"/>
    <w:uiPriority w:val="99"/>
    <w:semiHidden/>
    <w:rsid w:val="00FD37C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C81063-41D2-42A1-9582-57056E585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16</Pages>
  <Words>737</Words>
  <Characters>4201</Characters>
  <Application>Microsoft Office Word</Application>
  <DocSecurity>0</DocSecurity>
  <Lines>35</Lines>
  <Paragraphs>9</Paragraphs>
  <ScaleCrop>false</ScaleCrop>
  <Company>Microsoft</Company>
  <LinksUpToDate>false</LinksUpToDate>
  <CharactersWithSpaces>4929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xb21cn</cp:lastModifiedBy>
  <cp:revision>3</cp:revision>
  <cp:lastPrinted>2021-07-28T00:12:00Z</cp:lastPrinted>
  <dcterms:created xsi:type="dcterms:W3CDTF">2021-09-23T07:25:00Z</dcterms:created>
  <dcterms:modified xsi:type="dcterms:W3CDTF">2022-09-01T09:46:00Z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82C50696CAB5403B82566CFB85D53FE7</vt:lpwstr>
  </property>
</Properties>
</file>