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2020年度鹤城区总工会部门决算</w:t>
      </w:r>
    </w:p>
    <w:p>
      <w:pPr>
        <w:pStyle w:val="10"/>
        <w:spacing w:line="500" w:lineRule="exact"/>
        <w:jc w:val="center"/>
        <w:rPr>
          <w:sz w:val="32"/>
          <w:szCs w:val="32"/>
        </w:rPr>
      </w:pPr>
    </w:p>
    <w:p>
      <w:pPr>
        <w:pStyle w:val="10"/>
        <w:spacing w:line="500" w:lineRule="exact"/>
        <w:jc w:val="center"/>
        <w:rPr>
          <w:b/>
          <w:sz w:val="36"/>
          <w:szCs w:val="28"/>
        </w:rPr>
      </w:pPr>
      <w:r>
        <w:rPr>
          <w:rFonts w:hint="eastAsia"/>
          <w:b/>
          <w:sz w:val="36"/>
          <w:szCs w:val="28"/>
        </w:rPr>
        <w:t>目录</w:t>
      </w:r>
    </w:p>
    <w:p>
      <w:pPr>
        <w:pStyle w:val="10"/>
        <w:spacing w:line="500" w:lineRule="exact"/>
        <w:rPr>
          <w:rFonts w:ascii="仿宋_GB2312" w:hAnsi="仿宋_GB2312" w:cs="仿宋_GB2312"/>
          <w:b/>
          <w:sz w:val="28"/>
          <w:szCs w:val="28"/>
        </w:rPr>
      </w:pPr>
      <w:r>
        <w:rPr>
          <w:rFonts w:hint="eastAsia"/>
          <w:b/>
          <w:sz w:val="28"/>
          <w:szCs w:val="28"/>
        </w:rPr>
        <w:t>第一部分总工会单位概况</w:t>
      </w:r>
    </w:p>
    <w:p>
      <w:pPr>
        <w:pStyle w:val="10"/>
        <w:numPr>
          <w:ilvl w:val="0"/>
          <w:numId w:val="1"/>
        </w:numPr>
        <w:spacing w:line="500" w:lineRule="exact"/>
        <w:rPr>
          <w:rFonts w:ascii="宋体" w:hAnsi="宋体" w:eastAsia="宋体" w:cs="仿宋_GB2312"/>
          <w:sz w:val="28"/>
          <w:szCs w:val="28"/>
        </w:rPr>
      </w:pPr>
      <w:r>
        <w:rPr>
          <w:rFonts w:ascii="宋体" w:hAnsi="宋体" w:eastAsia="宋体" w:cs="仿宋_GB2312"/>
          <w:sz w:val="28"/>
          <w:szCs w:val="28"/>
        </w:rPr>
        <w:t>部门职责</w:t>
      </w:r>
    </w:p>
    <w:p>
      <w:pPr>
        <w:pStyle w:val="10"/>
        <w:spacing w:line="500" w:lineRule="exact"/>
        <w:rPr>
          <w:rFonts w:ascii="宋体" w:hAnsi="宋体" w:eastAsia="宋体" w:cs="仿宋_GB2312"/>
          <w:sz w:val="28"/>
          <w:szCs w:val="28"/>
        </w:rPr>
      </w:pPr>
      <w:r>
        <w:rPr>
          <w:rFonts w:hint="eastAsia" w:ascii="宋体" w:hAnsi="宋体" w:eastAsia="宋体" w:cs="仿宋_GB2312"/>
          <w:sz w:val="28"/>
          <w:szCs w:val="28"/>
        </w:rPr>
        <w:t xml:space="preserve">     </w:t>
      </w:r>
      <w:r>
        <w:rPr>
          <w:rFonts w:ascii="宋体" w:hAnsi="宋体" w:eastAsia="宋体" w:cs="仿宋_GB2312"/>
          <w:sz w:val="28"/>
          <w:szCs w:val="28"/>
        </w:rPr>
        <w:t>二、机构设置</w:t>
      </w:r>
    </w:p>
    <w:p>
      <w:pPr>
        <w:pStyle w:val="10"/>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一、收入支出决算总表</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二、收入决算表</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三、支出决算表</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四、财政拨款收入支出决算总表</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五、一般公共预算财政拨款支出决算表</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六、一般公共预算财政拨款基本支出决算表</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七、一般公共预算财政拨款“三公”经费支出决算表</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八、政府性基金预算财政拨款收入支出决算表</w:t>
      </w:r>
    </w:p>
    <w:p>
      <w:pPr>
        <w:pStyle w:val="10"/>
        <w:spacing w:line="500" w:lineRule="exact"/>
        <w:ind w:firstLine="700" w:firstLineChars="250"/>
        <w:rPr>
          <w:rFonts w:ascii="宋体" w:hAnsi="宋体" w:eastAsia="宋体" w:cs="仿宋_GB2312"/>
          <w:sz w:val="28"/>
          <w:szCs w:val="28"/>
        </w:rPr>
      </w:pPr>
      <w:r>
        <w:rPr>
          <w:rFonts w:hint="eastAsia" w:ascii="宋体" w:hAnsi="宋体" w:eastAsia="宋体" w:cs="仿宋_GB2312"/>
          <w:sz w:val="28"/>
          <w:szCs w:val="28"/>
        </w:rPr>
        <w:t>九、国有资本经营预算财政拨款支出决算表</w:t>
      </w:r>
    </w:p>
    <w:p>
      <w:pPr>
        <w:pStyle w:val="10"/>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10"/>
        <w:spacing w:line="500" w:lineRule="exact"/>
        <w:ind w:firstLine="700" w:firstLineChars="250"/>
        <w:rPr>
          <w:rFonts w:ascii="宋体" w:hAnsi="宋体" w:eastAsia="宋体" w:cs="仿宋_GB2312"/>
          <w:sz w:val="28"/>
          <w:szCs w:val="28"/>
        </w:rPr>
      </w:pPr>
      <w:r>
        <w:rPr>
          <w:rFonts w:ascii="宋体" w:hAnsi="宋体" w:eastAsia="宋体" w:cs="仿宋_GB2312"/>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0"/>
        <w:spacing w:line="500" w:lineRule="exact"/>
        <w:ind w:firstLine="700" w:firstLineChars="250"/>
        <w:rPr>
          <w:rFonts w:ascii="仿宋_GB2312" w:hAnsi="仿宋_GB2312" w:eastAsia="宋体" w:cs="仿宋_GB2312"/>
          <w:sz w:val="28"/>
          <w:szCs w:val="28"/>
        </w:rPr>
      </w:pPr>
      <w:r>
        <w:rPr>
          <w:rFonts w:hint="eastAsia" w:ascii="仿宋_GB2312" w:hAnsi="仿宋_GB2312" w:eastAsia="宋体" w:cs="仿宋_GB2312"/>
          <w:sz w:val="28"/>
          <w:szCs w:val="28"/>
        </w:rPr>
        <w:t>十二、关于国有资产占用情况说明</w:t>
      </w:r>
    </w:p>
    <w:p>
      <w:pPr>
        <w:pStyle w:val="10"/>
        <w:spacing w:line="500" w:lineRule="exact"/>
        <w:ind w:firstLine="700" w:firstLineChars="250"/>
        <w:rPr>
          <w:rFonts w:ascii="仿宋_GB2312" w:hAnsi="仿宋_GB2312" w:eastAsia="宋体" w:cs="仿宋_GB2312"/>
          <w:sz w:val="28"/>
          <w:szCs w:val="28"/>
        </w:rPr>
      </w:pPr>
      <w:r>
        <w:rPr>
          <w:rFonts w:hint="eastAsia" w:ascii="仿宋_GB2312" w:hAnsi="仿宋_GB2312" w:eastAsia="宋体" w:cs="仿宋_GB2312"/>
          <w:sz w:val="28"/>
          <w:szCs w:val="28"/>
        </w:rPr>
        <w:t>十三、关</w:t>
      </w:r>
      <w:r>
        <w:rPr>
          <w:rFonts w:hint="eastAsia" w:ascii="宋体" w:hAnsi="宋体" w:eastAsia="宋体" w:cs="仿宋_GB2312"/>
          <w:sz w:val="28"/>
          <w:szCs w:val="28"/>
        </w:rPr>
        <w:t>于2020年</w:t>
      </w:r>
      <w:r>
        <w:rPr>
          <w:rFonts w:hint="eastAsia" w:ascii="仿宋_GB2312" w:hAnsi="仿宋_GB2312" w:eastAsia="宋体" w:cs="仿宋_GB2312"/>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0"/>
        <w:jc w:val="center"/>
        <w:rPr>
          <w:sz w:val="84"/>
          <w:szCs w:val="84"/>
        </w:rPr>
      </w:pPr>
    </w:p>
    <w:p>
      <w:pPr>
        <w:pStyle w:val="10"/>
        <w:jc w:val="center"/>
        <w:rPr>
          <w:sz w:val="84"/>
          <w:szCs w:val="84"/>
        </w:rPr>
      </w:pPr>
    </w:p>
    <w:p>
      <w:pPr>
        <w:pStyle w:val="10"/>
        <w:jc w:val="center"/>
        <w:rPr>
          <w:sz w:val="84"/>
          <w:szCs w:val="84"/>
        </w:rPr>
      </w:pPr>
    </w:p>
    <w:p>
      <w:pPr>
        <w:pStyle w:val="10"/>
        <w:jc w:val="center"/>
        <w:rPr>
          <w:sz w:val="84"/>
          <w:szCs w:val="84"/>
        </w:rPr>
      </w:pPr>
    </w:p>
    <w:p>
      <w:pPr>
        <w:pStyle w:val="10"/>
        <w:jc w:val="center"/>
        <w:rPr>
          <w:sz w:val="84"/>
          <w:szCs w:val="84"/>
        </w:rPr>
      </w:pPr>
    </w:p>
    <w:p>
      <w:pPr>
        <w:pStyle w:val="10"/>
        <w:jc w:val="center"/>
        <w:rPr>
          <w:sz w:val="84"/>
          <w:szCs w:val="84"/>
        </w:rPr>
      </w:pPr>
    </w:p>
    <w:p>
      <w:pPr>
        <w:pStyle w:val="10"/>
        <w:jc w:val="center"/>
        <w:rPr>
          <w:sz w:val="84"/>
          <w:szCs w:val="84"/>
        </w:rPr>
      </w:pPr>
      <w:r>
        <w:rPr>
          <w:rFonts w:hint="eastAsia"/>
          <w:sz w:val="84"/>
          <w:szCs w:val="84"/>
        </w:rPr>
        <w:t>第一部分</w:t>
      </w:r>
    </w:p>
    <w:p>
      <w:pPr>
        <w:pStyle w:val="10"/>
        <w:jc w:val="center"/>
        <w:rPr>
          <w:sz w:val="84"/>
          <w:szCs w:val="84"/>
        </w:rPr>
      </w:pPr>
      <w:r>
        <w:rPr>
          <w:rFonts w:hint="eastAsia"/>
          <w:sz w:val="84"/>
          <w:szCs w:val="84"/>
        </w:rPr>
        <w:t>鹤城区总工会概况</w:t>
      </w:r>
    </w:p>
    <w:p>
      <w:pPr>
        <w:pStyle w:val="11"/>
        <w:ind w:left="720" w:firstLine="0" w:firstLineChars="0"/>
        <w:jc w:val="left"/>
        <w:rPr>
          <w:rFonts w:ascii="黑体" w:hAnsi="黑体" w:eastAsia="黑体"/>
          <w:sz w:val="32"/>
          <w:szCs w:val="32"/>
        </w:rPr>
      </w:pPr>
    </w:p>
    <w:p>
      <w:pPr>
        <w:pStyle w:val="11"/>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widowControl/>
        <w:shd w:val="clear" w:color="auto" w:fill="FFFFFF"/>
        <w:spacing w:line="330" w:lineRule="atLeast"/>
        <w:ind w:firstLine="627" w:firstLineChars="196"/>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(一)依据党的基本理论、基本路线、基本纲领和工运方针，围绕党和国家的工作大局，贯彻执行中国工会全国代表大会和执委会议确定的方针任务和作出的决议。</w:t>
      </w:r>
    </w:p>
    <w:p>
      <w:pPr>
        <w:widowControl/>
        <w:shd w:val="clear" w:color="auto" w:fill="FFFFFF"/>
        <w:spacing w:line="330" w:lineRule="atLeast"/>
        <w:ind w:firstLine="560"/>
        <w:jc w:val="left"/>
        <w:rPr>
          <w:rFonts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二)依照法律和中国工会章程，领导全区各级工会组织围绕党的中心开展工会各项工作，组织和指导全区各级工会坚定不移地推动党的全心全意依靠工人阶级根本指导方针的贯彻落实，进一步突出和履行维护职能。通过维护，更好地保护、调动和发挥广大职工的积极性、创造性，并把这种积极性、创造性，通过各种形式组织和引导到完成党和政府提出的各项任务上来。</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三)围绕职工合法权益的重大问题进行调查研究，向区委和政府反映职工群众的思想、愿望和要求，提出意见和建议；参与涉及职工切身利益的有关立法和政策、措施、制度的制定；对侵犯职工合法权益重大事件进行调查并提出处理意见，参与职工重大伤亡事故的调查处理。</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四)负责工会理论政策研究，为全区各级工会提供理论政策服务；研究制定工会的组织制度和民主制度，监督检查《工会法》和《中国工会章程》的贯彻执行；研究指导工会自身改革和建设；指导基层工会组织职工开展以职工代表大会为基本制度的民主选举、民主决策、民主管理和民主监督工作，研究和推动基层工会建立平等协商、集体合同制度和监督保证机制；指导基层工会协助行政不断提高职工的思想道德和科学文化技术素质及组织、指导基层工会开展职工文体活动。</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(五)承担全国、全区、全市劳动模范的推荐、评选和管理工作；负责全国、全区五一劳动奖章、奖状获得者的评选表彰和管理工作。</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(六)负责全区工会经费和工会资产的管理、审查、审计工作；研究制定兴办职工劳动福利事业的有关制度和规定，负责对职工劳动福利事业的指导、协调工作。</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(七)负责全区工会国际交流工作，发展同各国工会的友好关系；负责与港澳台工会的交流合作工作。</w:t>
      </w:r>
    </w:p>
    <w:p>
      <w:pPr>
        <w:ind w:firstLine="435"/>
        <w:rPr>
          <w:rFonts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 xml:space="preserve"> (八)承担区委交办的其他事项和人民政府委托处理的有关问题。</w:t>
      </w:r>
    </w:p>
    <w:p>
      <w:pPr>
        <w:widowControl/>
        <w:spacing w:line="600" w:lineRule="exact"/>
        <w:ind w:firstLine="800" w:firstLineChars="250"/>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ascii="宋体" w:hAnsi="宋体"/>
          <w:bCs/>
          <w:kern w:val="0"/>
          <w:sz w:val="32"/>
          <w:szCs w:val="32"/>
        </w:rPr>
      </w:pPr>
      <w:r>
        <w:rPr>
          <w:rFonts w:hint="eastAsia" w:ascii="宋体" w:hAnsi="宋体"/>
          <w:bCs/>
          <w:kern w:val="0"/>
          <w:sz w:val="32"/>
          <w:szCs w:val="32"/>
        </w:rPr>
        <w:t>（一）内设机构设置。总工会作为一级部门预算单位，总工会内设4个部室，分别为：办公室</w:t>
      </w:r>
      <w:r>
        <w:rPr>
          <w:rFonts w:hint="eastAsia" w:ascii="宋体" w:hAnsi="宋体"/>
          <w:b/>
          <w:bCs/>
          <w:kern w:val="0"/>
          <w:sz w:val="32"/>
          <w:szCs w:val="32"/>
        </w:rPr>
        <w:t>、</w:t>
      </w:r>
      <w:r>
        <w:rPr>
          <w:rFonts w:hint="eastAsia" w:ascii="宋体" w:hAnsi="宋体"/>
          <w:bCs/>
          <w:kern w:val="0"/>
          <w:sz w:val="32"/>
          <w:szCs w:val="32"/>
        </w:rPr>
        <w:t>法保部、组宣部、财务部。2019年我会编制人数为在职编制数11人（其中行政编制3人，事业编制6人，自收自支编制2人）,离退休人员12人（离休1人，退休11人）。</w:t>
      </w:r>
    </w:p>
    <w:p>
      <w:pPr>
        <w:widowControl/>
        <w:spacing w:line="600" w:lineRule="exact"/>
        <w:ind w:firstLine="640" w:firstLineChars="200"/>
        <w:rPr>
          <w:rFonts w:ascii="宋体" w:hAnsi="宋体"/>
          <w:bCs/>
          <w:kern w:val="0"/>
          <w:sz w:val="32"/>
          <w:szCs w:val="32"/>
        </w:rPr>
      </w:pPr>
      <w:r>
        <w:rPr>
          <w:rFonts w:hint="eastAsia" w:ascii="宋体" w:hAnsi="宋体"/>
          <w:bCs/>
          <w:kern w:val="0"/>
          <w:sz w:val="32"/>
          <w:szCs w:val="32"/>
        </w:rPr>
        <w:t>（二）决算单位构成。鹤城区总工会</w:t>
      </w:r>
      <w:r>
        <w:rPr>
          <w:rFonts w:ascii="宋体" w:hAnsi="宋体"/>
          <w:bCs/>
          <w:kern w:val="0"/>
          <w:sz w:val="32"/>
          <w:szCs w:val="32"/>
        </w:rPr>
        <w:t>20</w:t>
      </w:r>
      <w:r>
        <w:rPr>
          <w:rFonts w:hint="eastAsia" w:ascii="宋体" w:hAnsi="宋体"/>
          <w:bCs/>
          <w:kern w:val="0"/>
          <w:sz w:val="32"/>
          <w:szCs w:val="32"/>
        </w:rPr>
        <w:t>20年部门决算汇总公开单位构成包括：鹤城区总工会本级。</w:t>
      </w:r>
    </w:p>
    <w:p>
      <w:pPr>
        <w:jc w:val="left"/>
        <w:rPr>
          <w:rFonts w:ascii="仿宋_GB2312" w:hAnsi="宋体" w:eastAsia="仿宋_GB2312"/>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r>
        <w:rPr>
          <w:rFonts w:hint="eastAsia"/>
          <w:sz w:val="72"/>
          <w:szCs w:val="72"/>
        </w:rPr>
        <w:t>第二部分</w:t>
      </w:r>
    </w:p>
    <w:p>
      <w:pPr>
        <w:jc w:val="center"/>
        <w:rPr>
          <w:sz w:val="72"/>
          <w:szCs w:val="72"/>
        </w:rPr>
      </w:pPr>
    </w:p>
    <w:p>
      <w:pPr>
        <w:jc w:val="center"/>
        <w:rPr>
          <w:rFonts w:hint="eastAsia" w:eastAsia="宋体"/>
          <w:sz w:val="72"/>
          <w:szCs w:val="72"/>
          <w:lang w:eastAsia="zh-CN"/>
        </w:rPr>
      </w:pPr>
      <w:r>
        <w:rPr>
          <w:rFonts w:hint="eastAsia"/>
          <w:sz w:val="72"/>
          <w:szCs w:val="72"/>
        </w:rPr>
        <w:t>部门决算表</w:t>
      </w:r>
    </w:p>
    <w:p>
      <w:pPr>
        <w:jc w:val="center"/>
        <w:rPr>
          <w:sz w:val="72"/>
          <w:szCs w:val="72"/>
        </w:rPr>
      </w:pPr>
      <w:r>
        <w:rPr>
          <w:rFonts w:hint="eastAsia"/>
          <w:sz w:val="72"/>
          <w:szCs w:val="72"/>
        </w:rPr>
        <w:t>（表格见附件）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宋体" w:hAnsi="宋体"/>
          <w:sz w:val="32"/>
          <w:szCs w:val="32"/>
        </w:rPr>
        <w:sectPr>
          <w:pgSz w:w="11906" w:h="16838"/>
          <w:pgMar w:top="720" w:right="720" w:bottom="720" w:left="720" w:header="851" w:footer="992" w:gutter="0"/>
          <w:cols w:space="720" w:num="1"/>
          <w:docGrid w:type="lines" w:linePitch="312" w:charSpace="0"/>
        </w:sectPr>
      </w:pPr>
    </w:p>
    <w:p>
      <w:pPr>
        <w:pStyle w:val="10"/>
        <w:ind w:firstLine="360" w:firstLineChars="50"/>
        <w:jc w:val="center"/>
        <w:rPr>
          <w:sz w:val="72"/>
          <w:szCs w:val="72"/>
        </w:rPr>
      </w:pPr>
      <w:r>
        <w:rPr>
          <w:rFonts w:hint="eastAsia"/>
          <w:sz w:val="72"/>
          <w:szCs w:val="72"/>
        </w:rPr>
        <w:t>第三部分</w:t>
      </w:r>
    </w:p>
    <w:p>
      <w:pPr>
        <w:pStyle w:val="10"/>
        <w:jc w:val="center"/>
        <w:rPr>
          <w:sz w:val="70"/>
          <w:szCs w:val="70"/>
        </w:rPr>
      </w:pPr>
    </w:p>
    <w:p>
      <w:pPr>
        <w:pStyle w:val="10"/>
        <w:jc w:val="center"/>
        <w:rPr>
          <w:sz w:val="70"/>
          <w:szCs w:val="70"/>
        </w:rPr>
      </w:pPr>
      <w:r>
        <w:rPr>
          <w:sz w:val="70"/>
          <w:szCs w:val="70"/>
        </w:rPr>
        <w:t>20</w:t>
      </w:r>
      <w:r>
        <w:rPr>
          <w:rFonts w:hint="eastAsia"/>
          <w:sz w:val="70"/>
          <w:szCs w:val="70"/>
        </w:rPr>
        <w:t>20年度部门决算情况说明</w:t>
      </w:r>
    </w:p>
    <w:p>
      <w:pPr>
        <w:widowControl/>
        <w:ind w:firstLine="640" w:firstLineChars="200"/>
        <w:jc w:val="left"/>
        <w:rPr>
          <w:rFonts w:ascii="黑体" w:eastAsia="黑体" w:cs="黑体"/>
          <w:color w:val="000000"/>
          <w:kern w:val="0"/>
          <w:sz w:val="70"/>
          <w:szCs w:val="70"/>
        </w:rPr>
      </w:pPr>
      <w:r>
        <w:rPr>
          <w:rFonts w:hint="eastAsia" w:hAnsi="黑体"/>
          <w:b/>
          <w:sz w:val="32"/>
          <w:szCs w:val="32"/>
        </w:rPr>
        <w:t>一、收入支出决算总体情况说明</w:t>
      </w:r>
    </w:p>
    <w:p>
      <w:pPr>
        <w:pStyle w:val="10"/>
        <w:ind w:firstLine="640" w:firstLineChars="200"/>
        <w:rPr>
          <w:rFonts w:ascii="宋体" w:hAnsi="宋体" w:eastAsia="宋体"/>
          <w:sz w:val="32"/>
          <w:szCs w:val="32"/>
        </w:rPr>
      </w:pPr>
      <w:r>
        <w:rPr>
          <w:rFonts w:hint="eastAsia" w:ascii="宋体" w:hAnsi="宋体" w:eastAsia="宋体"/>
          <w:sz w:val="32"/>
          <w:szCs w:val="32"/>
        </w:rPr>
        <w:t>2020年度收入总计223.21万元。与上年相比，增加31.19万元，增长13.97%，主要是因为人员经费增加了。</w:t>
      </w:r>
    </w:p>
    <w:p>
      <w:pPr>
        <w:pStyle w:val="10"/>
        <w:ind w:firstLine="640" w:firstLineChars="200"/>
        <w:rPr>
          <w:rFonts w:ascii="宋体" w:hAnsi="宋体" w:eastAsia="宋体"/>
          <w:sz w:val="32"/>
          <w:szCs w:val="32"/>
        </w:rPr>
      </w:pPr>
      <w:r>
        <w:rPr>
          <w:rFonts w:hint="eastAsia" w:ascii="宋体" w:hAnsi="宋体" w:eastAsia="宋体"/>
          <w:sz w:val="32"/>
          <w:szCs w:val="32"/>
        </w:rPr>
        <w:t>2020年度支出总计223.21万元。与上年相比，增加31.19万元，增长13.97%，主要是因为人员经费增加了。</w:t>
      </w:r>
    </w:p>
    <w:p>
      <w:pPr>
        <w:pStyle w:val="10"/>
        <w:ind w:firstLine="640" w:firstLineChars="200"/>
        <w:rPr>
          <w:rFonts w:hAnsi="黑体"/>
          <w:b/>
          <w:sz w:val="32"/>
          <w:szCs w:val="32"/>
        </w:rPr>
      </w:pPr>
      <w:r>
        <w:rPr>
          <w:rFonts w:hint="eastAsia" w:hAnsi="黑体"/>
          <w:b/>
          <w:sz w:val="32"/>
          <w:szCs w:val="32"/>
        </w:rPr>
        <w:t>二、收入决算情况说明</w:t>
      </w:r>
    </w:p>
    <w:p>
      <w:pPr>
        <w:pStyle w:val="10"/>
        <w:ind w:firstLine="640" w:firstLineChars="200"/>
        <w:rPr>
          <w:rFonts w:ascii="宋体" w:hAnsi="宋体" w:eastAsia="宋体"/>
          <w:sz w:val="32"/>
          <w:szCs w:val="32"/>
        </w:rPr>
      </w:pPr>
      <w:r>
        <w:rPr>
          <w:rFonts w:hint="eastAsia" w:ascii="宋体" w:hAnsi="宋体" w:eastAsia="宋体"/>
          <w:sz w:val="32"/>
          <w:szCs w:val="32"/>
        </w:rPr>
        <w:t>本年收入合计223.21万元，其中：财政拨款收入223.21万元，占100%；上级补助收入0万元，占0%；事业收入0万元，占0%；经营收入0万元，占0%；附属单位上缴收入0万元，占0%；其他收入0万元，占0%。</w:t>
      </w:r>
    </w:p>
    <w:p>
      <w:pPr>
        <w:pStyle w:val="10"/>
        <w:ind w:firstLine="640" w:firstLineChars="200"/>
        <w:rPr>
          <w:rFonts w:hAnsi="黑体"/>
          <w:b/>
          <w:sz w:val="32"/>
          <w:szCs w:val="32"/>
        </w:rPr>
      </w:pPr>
      <w:r>
        <w:rPr>
          <w:rFonts w:hint="eastAsia" w:hAnsi="黑体"/>
          <w:b/>
          <w:sz w:val="32"/>
          <w:szCs w:val="32"/>
        </w:rPr>
        <w:t>三、支出决算情况说明</w:t>
      </w:r>
    </w:p>
    <w:p>
      <w:pPr>
        <w:pStyle w:val="10"/>
        <w:ind w:firstLine="640" w:firstLineChars="200"/>
        <w:rPr>
          <w:rFonts w:ascii="宋体" w:hAnsi="宋体" w:eastAsia="宋体"/>
          <w:sz w:val="32"/>
          <w:szCs w:val="32"/>
        </w:rPr>
      </w:pPr>
      <w:r>
        <w:rPr>
          <w:rFonts w:hint="eastAsia" w:ascii="宋体" w:hAnsi="宋体" w:eastAsia="宋体"/>
          <w:sz w:val="32"/>
          <w:szCs w:val="32"/>
        </w:rPr>
        <w:t>本年支出合计223.21万元，其中：基本支出133.21万元，占59.68%；项目支出90万元，占40.32%；上缴上级支出90万元，占40.32%；经营支出0万元，占0%；对附属单位补助支出0万元，占0%。</w:t>
      </w:r>
    </w:p>
    <w:p>
      <w:pPr>
        <w:pStyle w:val="10"/>
        <w:ind w:firstLine="640" w:firstLineChars="200"/>
        <w:rPr>
          <w:rFonts w:hAnsi="黑体"/>
          <w:b/>
          <w:sz w:val="32"/>
          <w:szCs w:val="32"/>
        </w:rPr>
      </w:pPr>
      <w:r>
        <w:rPr>
          <w:rFonts w:hint="eastAsia" w:hAnsi="黑体"/>
          <w:b/>
          <w:sz w:val="32"/>
          <w:szCs w:val="32"/>
        </w:rPr>
        <w:t>四、财政拨款收入支出决算总体情况说明</w:t>
      </w:r>
    </w:p>
    <w:p>
      <w:pPr>
        <w:pStyle w:val="10"/>
        <w:ind w:firstLine="640" w:firstLineChars="200"/>
        <w:rPr>
          <w:rFonts w:ascii="宋体" w:hAnsi="宋体" w:eastAsia="宋体"/>
          <w:sz w:val="32"/>
          <w:szCs w:val="32"/>
        </w:rPr>
      </w:pPr>
      <w:r>
        <w:rPr>
          <w:rFonts w:hint="eastAsia" w:ascii="宋体" w:hAnsi="宋体" w:eastAsia="宋体"/>
          <w:sz w:val="32"/>
          <w:szCs w:val="32"/>
        </w:rPr>
        <w:t>2020年度财政拨款收入总计223.21万元。与上年相比，增加31.19万元，增长13.97%，主要是因为人员经费增加了。</w:t>
      </w:r>
    </w:p>
    <w:p>
      <w:pPr>
        <w:pStyle w:val="10"/>
        <w:ind w:firstLine="640" w:firstLineChars="200"/>
        <w:rPr>
          <w:rFonts w:ascii="宋体" w:hAnsi="宋体" w:eastAsia="宋体"/>
          <w:sz w:val="32"/>
          <w:szCs w:val="32"/>
        </w:rPr>
      </w:pPr>
      <w:r>
        <w:rPr>
          <w:rFonts w:hint="eastAsia" w:ascii="宋体" w:hAnsi="宋体" w:eastAsia="宋体"/>
          <w:sz w:val="32"/>
          <w:szCs w:val="32"/>
        </w:rPr>
        <w:t>2020年度财政拨款支出总计223.21万元。与上年相比，增加31.19万元，增长13.97%，主要是因为人员经费增加了。</w:t>
      </w:r>
    </w:p>
    <w:p>
      <w:pPr>
        <w:pStyle w:val="10"/>
        <w:ind w:firstLine="640" w:firstLineChars="200"/>
        <w:rPr>
          <w:rFonts w:hAnsi="黑体"/>
          <w:b/>
          <w:sz w:val="32"/>
          <w:szCs w:val="32"/>
        </w:rPr>
      </w:pPr>
      <w:r>
        <w:rPr>
          <w:rFonts w:hint="eastAsia" w:hAnsi="黑体"/>
          <w:b/>
          <w:sz w:val="32"/>
          <w:szCs w:val="32"/>
        </w:rPr>
        <w:t>五、一般公共预算财政拨款支出决算情况说明</w:t>
      </w:r>
    </w:p>
    <w:p>
      <w:pPr>
        <w:pStyle w:val="10"/>
        <w:ind w:firstLine="640" w:firstLineChars="200"/>
        <w:rPr>
          <w:rFonts w:ascii="宋体" w:hAnsi="宋体" w:eastAsia="宋体"/>
          <w:b/>
          <w:sz w:val="32"/>
          <w:szCs w:val="32"/>
        </w:rPr>
      </w:pPr>
      <w:r>
        <w:rPr>
          <w:rFonts w:hint="eastAsia" w:ascii="宋体" w:hAnsi="宋体" w:eastAsia="宋体"/>
          <w:b/>
          <w:sz w:val="32"/>
          <w:szCs w:val="32"/>
        </w:rPr>
        <w:t>（一）财政拨款支出决算总体情况</w:t>
      </w:r>
    </w:p>
    <w:p>
      <w:pPr>
        <w:pStyle w:val="10"/>
        <w:ind w:firstLine="800" w:firstLineChars="250"/>
        <w:rPr>
          <w:rFonts w:ascii="宋体" w:hAnsi="宋体" w:eastAsia="宋体"/>
          <w:sz w:val="32"/>
          <w:szCs w:val="32"/>
        </w:rPr>
      </w:pPr>
      <w:r>
        <w:rPr>
          <w:rFonts w:hint="eastAsia" w:ascii="宋体" w:hAnsi="宋体" w:eastAsia="宋体"/>
          <w:sz w:val="32"/>
          <w:szCs w:val="32"/>
        </w:rPr>
        <w:t>2020年度财政拨款支出223.21万元，占本年支出合计的13.97%，与上年相比，财政拨款支出增加31.19万元，增长13.97%，主要是因为人员经费增加了。</w:t>
      </w:r>
    </w:p>
    <w:p>
      <w:pPr>
        <w:pStyle w:val="10"/>
        <w:ind w:firstLine="480" w:firstLineChars="150"/>
        <w:rPr>
          <w:rFonts w:ascii="宋体" w:hAnsi="宋体" w:eastAsia="宋体"/>
          <w:b/>
          <w:sz w:val="32"/>
          <w:szCs w:val="32"/>
        </w:rPr>
      </w:pPr>
      <w:r>
        <w:rPr>
          <w:rFonts w:hint="eastAsia" w:ascii="宋体" w:hAnsi="宋体" w:eastAsia="宋体"/>
          <w:b/>
          <w:sz w:val="32"/>
          <w:szCs w:val="32"/>
        </w:rPr>
        <w:t>（二）财政拨款支出决算结构情况</w:t>
      </w:r>
    </w:p>
    <w:p>
      <w:pPr>
        <w:pStyle w:val="10"/>
        <w:ind w:firstLine="640" w:firstLineChars="200"/>
        <w:rPr>
          <w:rFonts w:ascii="宋体" w:hAnsi="宋体" w:eastAsia="宋体"/>
          <w:sz w:val="32"/>
          <w:szCs w:val="32"/>
        </w:rPr>
      </w:pPr>
      <w:r>
        <w:rPr>
          <w:rFonts w:hint="eastAsia" w:ascii="宋体" w:hAnsi="宋体" w:eastAsia="宋体"/>
          <w:sz w:val="32"/>
          <w:szCs w:val="32"/>
        </w:rPr>
        <w:t>2020年度财政拨款支出223.21万元，主要用于以下方面：一般公共服务（类）支出171.61万元，占79.12%；教育（类）支出0万元，占0%;社会保障和就业支出45.99万元，占20.88%。</w:t>
      </w:r>
    </w:p>
    <w:p>
      <w:pPr>
        <w:pStyle w:val="10"/>
        <w:ind w:firstLine="800" w:firstLineChars="250"/>
        <w:rPr>
          <w:rFonts w:ascii="宋体" w:hAnsi="宋体" w:eastAsia="宋体"/>
          <w:b/>
          <w:sz w:val="32"/>
          <w:szCs w:val="32"/>
        </w:rPr>
      </w:pPr>
      <w:r>
        <w:rPr>
          <w:rFonts w:hint="eastAsia" w:ascii="宋体" w:hAnsi="宋体" w:eastAsia="宋体"/>
          <w:b/>
          <w:sz w:val="32"/>
          <w:szCs w:val="32"/>
        </w:rPr>
        <w:t>（三）财政拨款支出决算具体情况</w:t>
      </w:r>
    </w:p>
    <w:p>
      <w:pPr>
        <w:pStyle w:val="10"/>
        <w:ind w:firstLine="800" w:firstLineChars="250"/>
        <w:rPr>
          <w:rFonts w:ascii="宋体" w:hAnsi="宋体" w:eastAsia="宋体"/>
          <w:sz w:val="32"/>
          <w:szCs w:val="32"/>
        </w:rPr>
      </w:pPr>
      <w:r>
        <w:rPr>
          <w:rFonts w:hint="eastAsia" w:ascii="宋体" w:hAnsi="宋体" w:eastAsia="宋体"/>
          <w:sz w:val="32"/>
          <w:szCs w:val="32"/>
        </w:rPr>
        <w:t>2020年度财政拨款支出年初预算数为223.21万元，支出决算数为223.21万元，完成年初预算的100%，其中：</w:t>
      </w:r>
    </w:p>
    <w:p>
      <w:pPr>
        <w:pStyle w:val="10"/>
        <w:ind w:firstLine="800" w:firstLineChars="250"/>
        <w:rPr>
          <w:rFonts w:ascii="宋体" w:hAnsi="宋体" w:eastAsia="宋体"/>
          <w:sz w:val="32"/>
          <w:szCs w:val="32"/>
        </w:rPr>
      </w:pPr>
      <w:r>
        <w:rPr>
          <w:rFonts w:hint="eastAsia" w:ascii="宋体" w:hAnsi="宋体" w:eastAsia="宋体"/>
          <w:sz w:val="32"/>
          <w:szCs w:val="32"/>
        </w:rPr>
        <w:t>1、一般公共服务（类）群众团体事务（款）行政运行（项）。</w:t>
      </w:r>
    </w:p>
    <w:p>
      <w:pPr>
        <w:pStyle w:val="10"/>
        <w:ind w:firstLine="800" w:firstLineChars="250"/>
        <w:rPr>
          <w:rFonts w:ascii="宋体" w:hAnsi="宋体" w:eastAsia="宋体"/>
          <w:sz w:val="32"/>
          <w:szCs w:val="32"/>
        </w:rPr>
      </w:pPr>
      <w:r>
        <w:rPr>
          <w:rFonts w:hint="eastAsia" w:ascii="宋体" w:hAnsi="宋体" w:eastAsia="宋体"/>
          <w:sz w:val="32"/>
          <w:szCs w:val="32"/>
        </w:rPr>
        <w:t>年初预算为171.61万元，支出决算为171.61万元，完成年初预算的100%，决算数与预算数持平。</w:t>
      </w:r>
    </w:p>
    <w:p>
      <w:pPr>
        <w:pStyle w:val="10"/>
        <w:ind w:firstLine="800" w:firstLineChars="250"/>
        <w:rPr>
          <w:rFonts w:ascii="宋体" w:hAnsi="宋体" w:eastAsia="宋体"/>
          <w:sz w:val="32"/>
          <w:szCs w:val="32"/>
        </w:rPr>
      </w:pPr>
      <w:r>
        <w:rPr>
          <w:rFonts w:hint="eastAsia" w:ascii="宋体" w:hAnsi="宋体" w:eastAsia="宋体"/>
          <w:sz w:val="32"/>
          <w:szCs w:val="32"/>
        </w:rPr>
        <w:t>2、行政事业单位养老支出（类）机关事业单位基本养老保险费支出（款）社会保障和就业支出（项）。</w:t>
      </w:r>
    </w:p>
    <w:p>
      <w:pPr>
        <w:pStyle w:val="10"/>
        <w:ind w:firstLine="800" w:firstLineChars="250"/>
        <w:rPr>
          <w:rFonts w:ascii="宋体" w:hAnsi="宋体" w:eastAsia="宋体"/>
          <w:sz w:val="32"/>
          <w:szCs w:val="32"/>
        </w:rPr>
      </w:pPr>
      <w:r>
        <w:rPr>
          <w:rFonts w:hint="eastAsia" w:ascii="宋体" w:hAnsi="宋体" w:eastAsia="宋体"/>
          <w:sz w:val="32"/>
          <w:szCs w:val="32"/>
        </w:rPr>
        <w:t>年初预算为45.99万元，支出决算为45.99万元，完成年初预算的100%，决算数与年初预算数持平。</w:t>
      </w:r>
    </w:p>
    <w:p>
      <w:pPr>
        <w:pStyle w:val="10"/>
        <w:ind w:firstLine="640" w:firstLineChars="200"/>
        <w:rPr>
          <w:rFonts w:hAnsi="黑体"/>
          <w:b/>
          <w:sz w:val="32"/>
          <w:szCs w:val="32"/>
        </w:rPr>
      </w:pPr>
      <w:r>
        <w:rPr>
          <w:rFonts w:hint="eastAsia" w:hAnsi="黑体"/>
          <w:b/>
          <w:sz w:val="32"/>
          <w:szCs w:val="32"/>
        </w:rPr>
        <w:t>六、一般公共预算财政拨款基本支出决算情况说明</w:t>
      </w:r>
    </w:p>
    <w:p>
      <w:pPr>
        <w:pStyle w:val="10"/>
        <w:ind w:firstLine="640" w:firstLineChars="200"/>
        <w:rPr>
          <w:rFonts w:ascii="宋体" w:hAnsi="宋体" w:eastAsia="宋体"/>
          <w:sz w:val="32"/>
          <w:szCs w:val="32"/>
        </w:rPr>
      </w:pPr>
      <w:r>
        <w:rPr>
          <w:rFonts w:hint="eastAsia" w:ascii="宋体" w:hAnsi="宋体" w:eastAsia="宋体"/>
          <w:sz w:val="32"/>
          <w:szCs w:val="32"/>
        </w:rPr>
        <w:t>2020年度财政拨款基本支出223.21万元，其中：人员经费128.23万元，占基本支出的57.45%,主要包括基本工资、津贴补贴、奖金、伙食补助费、机关事业单位基本养老保险缴费、奖励金、其他工资福利支出、奖励金；公用经费4.99万元，占基本支出的2.24%，主要包括办公费、水费、电费、差旅费、公务接待费。</w:t>
      </w:r>
    </w:p>
    <w:p>
      <w:pPr>
        <w:pStyle w:val="10"/>
        <w:ind w:firstLine="640" w:firstLineChars="200"/>
        <w:rPr>
          <w:rFonts w:hAnsi="黑体"/>
          <w:b/>
          <w:sz w:val="32"/>
          <w:szCs w:val="32"/>
        </w:rPr>
      </w:pPr>
      <w:r>
        <w:rPr>
          <w:rFonts w:hint="eastAsia" w:hAnsi="黑体"/>
          <w:b/>
          <w:sz w:val="32"/>
          <w:szCs w:val="32"/>
        </w:rPr>
        <w:t>七、一般公共预算财政拨款三公经费支出决算情况说明</w:t>
      </w:r>
    </w:p>
    <w:p>
      <w:pPr>
        <w:pStyle w:val="10"/>
        <w:ind w:firstLine="640" w:firstLineChars="200"/>
        <w:rPr>
          <w:rFonts w:ascii="宋体" w:hAnsi="宋体" w:eastAsia="宋体"/>
          <w:b/>
          <w:sz w:val="32"/>
          <w:szCs w:val="32"/>
        </w:rPr>
      </w:pPr>
      <w:r>
        <w:rPr>
          <w:rFonts w:hint="eastAsia" w:ascii="宋体" w:hAnsi="宋体" w:eastAsia="宋体"/>
          <w:b/>
          <w:sz w:val="32"/>
          <w:szCs w:val="32"/>
        </w:rPr>
        <w:t>（一）“三公”经费财政拨款支出决算总体情况说明</w:t>
      </w:r>
    </w:p>
    <w:p>
      <w:pPr>
        <w:pStyle w:val="10"/>
        <w:ind w:firstLine="800" w:firstLineChars="250"/>
        <w:rPr>
          <w:rFonts w:ascii="宋体" w:hAnsi="宋体" w:eastAsia="宋体"/>
          <w:sz w:val="32"/>
          <w:szCs w:val="32"/>
        </w:rPr>
      </w:pPr>
      <w:r>
        <w:rPr>
          <w:rFonts w:hint="eastAsia" w:ascii="宋体" w:hAnsi="宋体" w:eastAsia="宋体"/>
          <w:sz w:val="32"/>
          <w:szCs w:val="32"/>
        </w:rPr>
        <w:t>“三公”经费财政拨款支出预算为1.21万元，支出决算为0.5万元，完成预算的41.32%，其中：</w:t>
      </w:r>
    </w:p>
    <w:p>
      <w:pPr>
        <w:pStyle w:val="10"/>
        <w:ind w:firstLine="800" w:firstLineChars="250"/>
        <w:rPr>
          <w:rFonts w:ascii="宋体" w:hAnsi="宋体" w:eastAsia="宋体"/>
          <w:sz w:val="32"/>
          <w:szCs w:val="32"/>
        </w:rPr>
      </w:pPr>
      <w:r>
        <w:rPr>
          <w:rFonts w:hint="eastAsia" w:ascii="宋体" w:hAnsi="宋体" w:eastAsia="宋体"/>
          <w:sz w:val="32"/>
          <w:szCs w:val="32"/>
        </w:rPr>
        <w:t>因公出国（境）费支出预算为0万元，支出决算为0万元，完成预算的100%，决算数与预算数持平，与上年持平,没有这项开支。</w:t>
      </w:r>
    </w:p>
    <w:p>
      <w:pPr>
        <w:pStyle w:val="10"/>
        <w:ind w:firstLine="800" w:firstLineChars="250"/>
        <w:rPr>
          <w:rFonts w:ascii="宋体" w:hAnsi="宋体" w:eastAsia="宋体"/>
          <w:sz w:val="32"/>
          <w:szCs w:val="32"/>
        </w:rPr>
      </w:pPr>
      <w:r>
        <w:rPr>
          <w:rFonts w:hint="eastAsia" w:ascii="宋体" w:hAnsi="宋体" w:eastAsia="宋体"/>
          <w:sz w:val="32"/>
          <w:szCs w:val="32"/>
        </w:rPr>
        <w:t>公务接待费支出预算为1.21万元，支出决算为0.5万元，完成预算的41.32%，决算数比预算数减少的主要原因是减少了公务接待，与上年相比减少0.62万元，减少51.24%,减少的主要原因是减少了公务接待。</w:t>
      </w:r>
    </w:p>
    <w:p>
      <w:pPr>
        <w:pStyle w:val="10"/>
        <w:ind w:firstLine="640" w:firstLineChars="200"/>
        <w:rPr>
          <w:rFonts w:ascii="宋体" w:hAnsi="宋体" w:eastAsia="宋体"/>
          <w:sz w:val="32"/>
          <w:szCs w:val="32"/>
        </w:rPr>
      </w:pPr>
      <w:r>
        <w:rPr>
          <w:rFonts w:hint="eastAsia" w:ascii="宋体" w:hAnsi="宋体" w:eastAsia="宋体"/>
          <w:sz w:val="32"/>
          <w:szCs w:val="32"/>
        </w:rPr>
        <w:t>公务用车购置费及运行维护费支出预算为0万元，支出决算为0万元，完成预算的100%，决算数与预算数持平，我单位没有公务用车购置费及运行维护费。</w:t>
      </w:r>
    </w:p>
    <w:p>
      <w:pPr>
        <w:pStyle w:val="10"/>
        <w:ind w:firstLine="640" w:firstLineChars="200"/>
        <w:rPr>
          <w:rFonts w:ascii="宋体" w:hAnsi="宋体" w:eastAsia="宋体"/>
          <w:b/>
          <w:sz w:val="32"/>
          <w:szCs w:val="32"/>
        </w:rPr>
      </w:pPr>
      <w:r>
        <w:rPr>
          <w:rFonts w:hint="eastAsia" w:ascii="宋体" w:hAnsi="宋体" w:eastAsia="宋体"/>
          <w:b/>
          <w:sz w:val="32"/>
          <w:szCs w:val="32"/>
        </w:rPr>
        <w:t>（二）“三公”经费财政拨款支出决算具体情况说明</w:t>
      </w:r>
    </w:p>
    <w:p>
      <w:pPr>
        <w:pStyle w:val="10"/>
        <w:ind w:firstLine="640" w:firstLineChars="200"/>
        <w:rPr>
          <w:rFonts w:ascii="宋体" w:hAnsi="宋体" w:eastAsia="宋体"/>
          <w:sz w:val="32"/>
          <w:szCs w:val="32"/>
        </w:rPr>
      </w:pPr>
      <w:r>
        <w:rPr>
          <w:rFonts w:hint="eastAsia" w:ascii="宋体" w:hAnsi="宋体" w:eastAsia="宋体"/>
          <w:sz w:val="32"/>
          <w:szCs w:val="32"/>
        </w:rPr>
        <w:t>2020年度“三公”经费财政拨款支出决算中，公务接待费支出决算0.5万元，占0.22%,因公出国（境）费支出决算0万元，占0%,公务用车购置费及运行维护费支出决算0万元，占0%。其中：</w:t>
      </w:r>
    </w:p>
    <w:p>
      <w:pPr>
        <w:pStyle w:val="10"/>
        <w:ind w:firstLine="640" w:firstLineChars="200"/>
        <w:rPr>
          <w:rFonts w:ascii="宋体" w:hAnsi="宋体" w:eastAsia="宋体"/>
          <w:b/>
          <w:sz w:val="32"/>
          <w:szCs w:val="32"/>
        </w:rPr>
      </w:pPr>
      <w:r>
        <w:rPr>
          <w:rFonts w:hint="eastAsia" w:ascii="宋体" w:hAnsi="宋体" w:eastAsia="宋体"/>
          <w:sz w:val="32"/>
          <w:szCs w:val="32"/>
        </w:rPr>
        <w:t>1、因公出国（境）费支出决算为0万元，全年安排因公出国（境）团组0个，累计0人次,开支内容包括：</w:t>
      </w:r>
    </w:p>
    <w:p>
      <w:pPr>
        <w:pStyle w:val="10"/>
        <w:ind w:firstLine="800" w:firstLineChars="250"/>
        <w:rPr>
          <w:rFonts w:ascii="宋体" w:hAnsi="宋体" w:eastAsia="宋体"/>
          <w:sz w:val="32"/>
          <w:szCs w:val="32"/>
        </w:rPr>
      </w:pPr>
      <w:r>
        <w:rPr>
          <w:rFonts w:hint="eastAsia" w:ascii="宋体" w:hAnsi="宋体" w:eastAsia="宋体"/>
          <w:sz w:val="32"/>
          <w:szCs w:val="32"/>
        </w:rPr>
        <w:t>2、公务接待费支出决算为0.5万元，全年共接待来访团组8个、来宾56人次，主要是县级工会之间交流学习的接待支出。</w:t>
      </w:r>
    </w:p>
    <w:p>
      <w:pPr>
        <w:ind w:firstLine="800" w:firstLineChars="250"/>
        <w:rPr>
          <w:rFonts w:ascii="宋体" w:hAnsi="宋体" w:cs="黑体"/>
          <w:color w:val="000000"/>
          <w:kern w:val="0"/>
          <w:sz w:val="32"/>
          <w:szCs w:val="32"/>
        </w:rPr>
      </w:pPr>
      <w:r>
        <w:rPr>
          <w:rFonts w:hint="eastAsia" w:ascii="宋体" w:hAnsi="宋体"/>
          <w:sz w:val="32"/>
          <w:szCs w:val="32"/>
        </w:rPr>
        <w:t>3、公务用车购置费及运行维护费支出决算为0万元，其中：公务用车购置费0万元，更新公务用车0辆</w:t>
      </w:r>
      <w:r>
        <w:rPr>
          <w:rFonts w:hint="eastAsia" w:ascii="宋体" w:hAnsi="宋体"/>
          <w:color w:val="000000"/>
          <w:sz w:val="32"/>
          <w:szCs w:val="32"/>
        </w:rPr>
        <w:t>。</w:t>
      </w:r>
      <w:r>
        <w:rPr>
          <w:rFonts w:hint="eastAsia" w:ascii="宋体" w:hAnsi="宋体"/>
          <w:sz w:val="32"/>
          <w:szCs w:val="32"/>
        </w:rPr>
        <w:t>公务用车运行维护费0万元，没有这项支出，截止2020年12月31日，我单位开支财政拨款的公务用车保有量为0辆。</w:t>
      </w:r>
    </w:p>
    <w:p>
      <w:pPr>
        <w:pStyle w:val="10"/>
        <w:ind w:firstLine="640" w:firstLineChars="200"/>
        <w:rPr>
          <w:rFonts w:hAnsi="黑体"/>
          <w:b/>
          <w:sz w:val="32"/>
          <w:szCs w:val="32"/>
        </w:rPr>
      </w:pPr>
      <w:r>
        <w:rPr>
          <w:rFonts w:hint="eastAsia" w:hAnsi="黑体"/>
          <w:b/>
          <w:sz w:val="32"/>
          <w:szCs w:val="32"/>
        </w:rPr>
        <w:t>八、政府性基金预算收入支出决算情况</w:t>
      </w:r>
    </w:p>
    <w:p>
      <w:pPr>
        <w:pStyle w:val="10"/>
        <w:rPr>
          <w:rFonts w:ascii="宋体" w:hAnsi="宋体" w:eastAsia="宋体"/>
          <w:i/>
          <w:color w:val="FF0000"/>
          <w:sz w:val="32"/>
          <w:szCs w:val="32"/>
        </w:rPr>
      </w:pPr>
      <w:r>
        <w:rPr>
          <w:rFonts w:hint="eastAsia" w:ascii="宋体" w:hAnsi="宋体" w:eastAsia="宋体"/>
          <w:sz w:val="32"/>
          <w:szCs w:val="32"/>
        </w:rPr>
        <w:t xml:space="preserve">     2020年度政府性基金预算财政拨款收入0万元；年初结转和结余0万元；支出0万元，其中基本支出0万元，项目支出0万元；年末结转和结余0万元。</w:t>
      </w:r>
    </w:p>
    <w:p>
      <w:pPr>
        <w:pStyle w:val="10"/>
        <w:ind w:firstLine="640" w:firstLineChars="200"/>
        <w:rPr>
          <w:rFonts w:hAnsi="黑体"/>
          <w:b/>
          <w:sz w:val="32"/>
          <w:szCs w:val="32"/>
        </w:rPr>
      </w:pPr>
      <w:r>
        <w:rPr>
          <w:rFonts w:hint="eastAsia" w:hAnsi="黑体"/>
          <w:b/>
          <w:sz w:val="32"/>
          <w:szCs w:val="32"/>
        </w:rPr>
        <w:t>九、关于机关运行经费支出说明</w:t>
      </w:r>
    </w:p>
    <w:p>
      <w:pPr>
        <w:pStyle w:val="10"/>
        <w:ind w:firstLine="640" w:firstLineChars="200"/>
        <w:rPr>
          <w:rFonts w:ascii="宋体" w:hAnsi="宋体" w:eastAsia="宋体"/>
          <w:sz w:val="32"/>
          <w:szCs w:val="32"/>
        </w:rPr>
      </w:pPr>
      <w:r>
        <w:rPr>
          <w:rFonts w:hint="eastAsia" w:ascii="宋体" w:hAnsi="宋体" w:eastAsia="宋体"/>
          <w:sz w:val="32"/>
          <w:szCs w:val="32"/>
        </w:rPr>
        <w:t>本部门2020年度机关运行经费支出4.99万元，比年初预算数上年决算数减少1.51万元，降低23.19%。主要原因是：</w:t>
      </w:r>
      <w:r>
        <w:rPr>
          <w:rFonts w:hint="eastAsia" w:ascii="宋体" w:hAnsi="宋体" w:eastAsia="宋体"/>
          <w:i/>
          <w:color w:val="auto"/>
          <w:sz w:val="32"/>
          <w:szCs w:val="32"/>
        </w:rPr>
        <w:t>减少了办公费用开支</w:t>
      </w:r>
      <w:r>
        <w:rPr>
          <w:rFonts w:hint="eastAsia" w:ascii="宋体" w:hAnsi="宋体" w:eastAsia="宋体"/>
          <w:sz w:val="32"/>
          <w:szCs w:val="32"/>
        </w:rPr>
        <w:t>。</w:t>
      </w:r>
    </w:p>
    <w:p>
      <w:pPr>
        <w:pStyle w:val="10"/>
        <w:ind w:firstLine="640" w:firstLineChars="200"/>
        <w:rPr>
          <w:rFonts w:hAnsi="黑体"/>
          <w:b/>
          <w:sz w:val="32"/>
          <w:szCs w:val="32"/>
        </w:rPr>
      </w:pPr>
      <w:r>
        <w:rPr>
          <w:rFonts w:hint="eastAsia" w:hAnsi="黑体"/>
          <w:b/>
          <w:sz w:val="32"/>
          <w:szCs w:val="32"/>
        </w:rPr>
        <w:t>十、一般性支出情况</w:t>
      </w:r>
    </w:p>
    <w:p>
      <w:pPr>
        <w:pStyle w:val="10"/>
        <w:ind w:firstLine="640" w:firstLineChars="200"/>
        <w:rPr>
          <w:rFonts w:ascii="宋体" w:hAnsi="宋体" w:eastAsia="宋体"/>
          <w:sz w:val="32"/>
          <w:szCs w:val="32"/>
        </w:rPr>
      </w:pPr>
      <w:r>
        <w:rPr>
          <w:rFonts w:hint="eastAsia" w:ascii="宋体" w:hAnsi="宋体" w:eastAsia="宋体"/>
          <w:sz w:val="32"/>
          <w:szCs w:val="32"/>
        </w:rPr>
        <w:t>2020年本部门开支会议费0万元</w:t>
      </w:r>
      <w:r>
        <w:rPr>
          <w:rFonts w:hint="eastAsia" w:ascii="宋体" w:hAnsi="宋体" w:eastAsia="宋体"/>
          <w:b/>
          <w:sz w:val="32"/>
          <w:szCs w:val="32"/>
        </w:rPr>
        <w:t>，</w:t>
      </w:r>
      <w:r>
        <w:rPr>
          <w:rFonts w:hint="eastAsia" w:ascii="宋体" w:hAnsi="宋体" w:eastAsia="宋体"/>
          <w:sz w:val="32"/>
          <w:szCs w:val="32"/>
        </w:rPr>
        <w:t>人数0人，；开支培训费0万元，人数0人；为举办节庆、晚会、论坛、赛事活动，开支0万元。</w:t>
      </w:r>
    </w:p>
    <w:p>
      <w:pPr>
        <w:pStyle w:val="10"/>
        <w:ind w:firstLine="800" w:firstLineChars="250"/>
        <w:rPr>
          <w:rFonts w:hAnsi="黑体"/>
          <w:b/>
          <w:sz w:val="32"/>
          <w:szCs w:val="32"/>
        </w:rPr>
      </w:pPr>
      <w:r>
        <w:rPr>
          <w:rFonts w:hint="eastAsia" w:hAnsi="黑体"/>
          <w:b/>
          <w:sz w:val="32"/>
          <w:szCs w:val="32"/>
        </w:rPr>
        <w:t>十一、关于政府采购支出说明</w:t>
      </w:r>
    </w:p>
    <w:p>
      <w:pPr>
        <w:pStyle w:val="10"/>
        <w:ind w:firstLine="640" w:firstLineChars="200"/>
        <w:rPr>
          <w:rFonts w:ascii="宋体" w:hAnsi="宋体" w:eastAsia="宋体"/>
          <w:sz w:val="32"/>
          <w:szCs w:val="32"/>
        </w:rPr>
      </w:pPr>
      <w:r>
        <w:rPr>
          <w:rFonts w:hint="eastAsia" w:ascii="宋体" w:hAnsi="宋体" w:eastAsia="宋体"/>
          <w:sz w:val="32"/>
          <w:szCs w:val="32"/>
        </w:rPr>
        <w:t>本部门2020年度政府采购支出总额0万元，其中：政府采购货物支出0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pPr>
        <w:pStyle w:val="10"/>
        <w:ind w:firstLine="640" w:firstLineChars="200"/>
        <w:rPr>
          <w:rFonts w:hAnsi="黑体"/>
          <w:b/>
          <w:sz w:val="32"/>
          <w:szCs w:val="32"/>
        </w:rPr>
      </w:pPr>
      <w:r>
        <w:rPr>
          <w:rFonts w:hint="eastAsia" w:hAnsi="黑体"/>
          <w:b/>
          <w:sz w:val="32"/>
          <w:szCs w:val="32"/>
        </w:rPr>
        <w:t>十二、关于国有资产占用情况说明</w:t>
      </w:r>
    </w:p>
    <w:p>
      <w:pPr>
        <w:pStyle w:val="10"/>
        <w:ind w:firstLine="640" w:firstLineChars="200"/>
        <w:rPr>
          <w:rFonts w:ascii="宋体" w:hAnsi="宋体" w:eastAsia="宋体"/>
          <w:sz w:val="32"/>
          <w:szCs w:val="32"/>
        </w:rPr>
      </w:pPr>
      <w:r>
        <w:rPr>
          <w:rFonts w:hint="eastAsia" w:ascii="宋体" w:hAnsi="宋体" w:eastAsia="宋体"/>
          <w:sz w:val="32"/>
          <w:szCs w:val="32"/>
        </w:rPr>
        <w:t>截至2020年12月31日，本单位共有车辆0辆，其中，主要领导干部用车0辆，机要通信用车0辆、应急保障用车0辆、执法执勤用车0辆、特种专业技术用车0辆、其他用车0辆，没有公务用车；单位价值50万元以上通用设备0台（套）；单位价值100万元以上专用设备0台（套）。</w:t>
      </w:r>
    </w:p>
    <w:p>
      <w:pPr>
        <w:pStyle w:val="10"/>
        <w:ind w:firstLine="640" w:firstLineChars="200"/>
        <w:rPr>
          <w:rFonts w:hAnsi="黑体"/>
          <w:b/>
          <w:sz w:val="32"/>
          <w:szCs w:val="32"/>
        </w:rPr>
      </w:pPr>
      <w:r>
        <w:rPr>
          <w:rFonts w:hint="eastAsia" w:hAnsi="黑体"/>
          <w:b/>
          <w:sz w:val="32"/>
          <w:szCs w:val="32"/>
        </w:rPr>
        <w:t>十三、关于2020年度预算绩效情况的说明</w:t>
      </w:r>
    </w:p>
    <w:p>
      <w:pPr>
        <w:pStyle w:val="10"/>
        <w:rPr>
          <w:rFonts w:hAnsi="黑体"/>
          <w:b/>
          <w:sz w:val="32"/>
          <w:szCs w:val="32"/>
        </w:rPr>
      </w:pPr>
      <w:r>
        <w:rPr>
          <w:rFonts w:hint="eastAsia" w:ascii="宋体" w:hAnsi="宋体" w:eastAsia="宋体"/>
          <w:sz w:val="32"/>
          <w:szCs w:val="32"/>
        </w:rPr>
        <w:t xml:space="preserve">    2020年，我单位积极推进预算绩效管理，合理制定和编报年度预算，加强资金管理，提高资金使用效益，建立完善内部监督机制，合理列支年度经费支出。按照我区预算绩效管理工作的总体要求，2020年我单位全部实行整体支出绩效目标管理，具体情况附后。</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rFonts w:hint="eastAsia"/>
          <w:sz w:val="72"/>
          <w:szCs w:val="72"/>
        </w:rPr>
      </w:pPr>
    </w:p>
    <w:p>
      <w:pPr>
        <w:pStyle w:val="10"/>
        <w:jc w:val="center"/>
        <w:rPr>
          <w:rFonts w:hint="eastAsia"/>
          <w:sz w:val="72"/>
          <w:szCs w:val="72"/>
        </w:rPr>
      </w:pPr>
    </w:p>
    <w:p>
      <w:pPr>
        <w:pStyle w:val="1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ascii="宋体" w:hAnsi="宋体" w:cs="黑体"/>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p>
    <w:p>
      <w:pPr>
        <w:pStyle w:val="1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640" w:firstLineChars="200"/>
        <w:jc w:val="center"/>
        <w:rPr>
          <w:rFonts w:ascii="宋体" w:hAnsi="宋体" w:cs="黑体"/>
          <w:b/>
          <w:color w:val="000000"/>
          <w:kern w:val="0"/>
          <w:sz w:val="32"/>
          <w:szCs w:val="32"/>
        </w:rPr>
      </w:pPr>
      <w:r>
        <w:rPr>
          <w:rFonts w:hint="eastAsia" w:ascii="宋体" w:hAnsi="宋体" w:cs="黑体"/>
          <w:b/>
          <w:color w:val="000000"/>
          <w:kern w:val="0"/>
          <w:sz w:val="32"/>
          <w:szCs w:val="32"/>
        </w:rPr>
        <w:t>2020年度部门整体支出绩效评价报告</w:t>
      </w:r>
    </w:p>
    <w:p>
      <w:pPr>
        <w:spacing w:line="600" w:lineRule="exact"/>
        <w:jc w:val="center"/>
        <w:rPr>
          <w:rFonts w:eastAsia="方正小标宋_GBK"/>
          <w:sz w:val="32"/>
          <w:szCs w:val="32"/>
        </w:rPr>
      </w:pPr>
      <w:r>
        <w:rPr>
          <w:rFonts w:eastAsia="方正小标宋_GBK"/>
          <w:sz w:val="36"/>
          <w:szCs w:val="36"/>
        </w:rPr>
        <w:t>部门整体支出绩效评价报告</w:t>
      </w:r>
    </w:p>
    <w:p>
      <w:pPr>
        <w:pStyle w:val="11"/>
        <w:widowControl/>
        <w:spacing w:line="600" w:lineRule="exact"/>
        <w:ind w:left="640" w:firstLine="0" w:firstLineChars="0"/>
        <w:rPr>
          <w:rFonts w:ascii="Times New Roman" w:hAnsi="Times New Roman" w:eastAsia="黑体"/>
          <w:sz w:val="32"/>
          <w:szCs w:val="32"/>
        </w:rPr>
      </w:pPr>
      <w:r>
        <w:rPr>
          <w:rFonts w:hint="eastAsia" w:eastAsia="黑体"/>
          <w:sz w:val="32"/>
          <w:szCs w:val="32"/>
        </w:rPr>
        <w:t>一、</w:t>
      </w:r>
      <w:r>
        <w:rPr>
          <w:rFonts w:eastAsia="黑体"/>
          <w:sz w:val="32"/>
          <w:szCs w:val="32"/>
        </w:rPr>
        <w:t>部门</w:t>
      </w:r>
      <w:r>
        <w:rPr>
          <w:rFonts w:hint="eastAsia" w:ascii="仿宋" w:hAnsi="仿宋" w:eastAsia="仿宋" w:cs="仿宋"/>
          <w:color w:val="333333"/>
          <w:kern w:val="0"/>
          <w:sz w:val="28"/>
          <w:szCs w:val="28"/>
          <w:shd w:val="clear" w:color="auto" w:fill="FFFFFF"/>
        </w:rPr>
        <w:t>、</w:t>
      </w:r>
      <w:r>
        <w:rPr>
          <w:rFonts w:ascii="Times New Roman" w:hAnsi="Times New Roman" w:eastAsia="黑体"/>
          <w:sz w:val="32"/>
          <w:szCs w:val="32"/>
        </w:rPr>
        <w:t>单位基本情况</w:t>
      </w:r>
    </w:p>
    <w:p>
      <w:pPr>
        <w:spacing w:line="560" w:lineRule="exact"/>
        <w:ind w:firstLine="320" w:firstLineChars="100"/>
        <w:jc w:val="left"/>
        <w:rPr>
          <w:rFonts w:ascii="仿宋_GB2312" w:eastAsia="仿宋_GB2312"/>
          <w:sz w:val="32"/>
          <w:szCs w:val="32"/>
        </w:rPr>
      </w:pPr>
      <w:r>
        <w:rPr>
          <w:rFonts w:hint="eastAsia" w:ascii="仿宋_GB2312" w:eastAsia="仿宋_GB2312"/>
          <w:sz w:val="32"/>
          <w:szCs w:val="32"/>
        </w:rPr>
        <w:t xml:space="preserve"> (一)</w:t>
      </w:r>
      <w:r>
        <w:rPr>
          <w:rFonts w:hint="eastAsia" w:ascii="仿宋" w:hAnsi="仿宋" w:eastAsia="仿宋" w:cs="仿宋"/>
          <w:color w:val="333333"/>
          <w:kern w:val="0"/>
          <w:sz w:val="28"/>
          <w:szCs w:val="28"/>
          <w:shd w:val="clear" w:color="auto" w:fill="FFFFFF"/>
        </w:rPr>
        <w:t xml:space="preserve"> 、</w:t>
      </w:r>
      <w:r>
        <w:rPr>
          <w:rFonts w:hint="eastAsia" w:ascii="仿宋_GB2312" w:eastAsia="仿宋_GB2312"/>
          <w:sz w:val="32"/>
          <w:szCs w:val="32"/>
        </w:rPr>
        <w:t>单位机构设置:怀化市鹤城区总工会作为一级部门预算单位，是全额拨款的行政单位，内设4个职能股室：办公室、组宣部、法保部、财务部。单位编制人员情况:现有编制数9个（其中：行政编制3人，工勤编制1人，事业编制5人），全单位实有在职人员11人（其中：全额拨款人员9人，自收自支人员2人），退休人员12人。</w:t>
      </w:r>
    </w:p>
    <w:p>
      <w:pPr>
        <w:spacing w:line="560" w:lineRule="exact"/>
        <w:ind w:firstLine="320" w:firstLineChars="100"/>
        <w:jc w:val="left"/>
        <w:rPr>
          <w:rFonts w:ascii="仿宋_GB2312" w:eastAsia="仿宋_GB2312"/>
          <w:sz w:val="32"/>
          <w:szCs w:val="32"/>
        </w:rPr>
      </w:pPr>
      <w:r>
        <w:rPr>
          <w:rFonts w:hint="eastAsia" w:ascii="仿宋_GB2312" w:eastAsia="仿宋_GB2312"/>
          <w:sz w:val="32"/>
          <w:szCs w:val="32"/>
        </w:rPr>
        <w:t>（二）</w:t>
      </w:r>
      <w:r>
        <w:rPr>
          <w:rFonts w:hint="eastAsia" w:eastAsia="黑体"/>
          <w:sz w:val="32"/>
          <w:szCs w:val="32"/>
        </w:rPr>
        <w:t xml:space="preserve"> </w:t>
      </w:r>
      <w:r>
        <w:rPr>
          <w:rFonts w:hint="eastAsia" w:ascii="仿宋_GB2312" w:eastAsia="仿宋_GB2312"/>
          <w:sz w:val="32"/>
          <w:szCs w:val="32"/>
        </w:rPr>
        <w:t>单位主要工作职责:</w:t>
      </w:r>
    </w:p>
    <w:p>
      <w:pPr>
        <w:widowControl/>
        <w:shd w:val="clear" w:color="auto" w:fill="FFFFFF"/>
        <w:spacing w:line="330" w:lineRule="atLeast"/>
        <w:ind w:firstLine="627" w:firstLineChars="196"/>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1、依据党的基本理论、基本路线、基本纲领和工运方针，围绕党和国家的工作大局，贯彻执行中国工会全国代表大会和执委会议确定的方针任务和作出的决议。</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2、依照法律和中国工会章程，领导全区各级工会组织围绕党的中心开展工会各项工作，组织和指导全区各级工会坚定不移地推动党的全心全意依靠工人阶级根本指导方针的贯彻落实，进一步突出和履行维护职能。通过维护，更好地保护、调动和发挥广大职工的积极性、创造性，并把这种积极性、创造性，通过各种形式组织和引导到完成党和政府提出的各项任务上来。</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3、围绕职工合法权益的重大问题进行调查研究，向区委和政府反映职工群众的思想、愿望和要求，提出意见和建议；参与涉及职工切身利益的有关立法和政策、措施、制度的制定；对侵犯职工合法权益重大事件进行调查并提出处理意见，参与职工重大伤亡事故的调查处理。</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4、负责工会理论政策研究，为全区各级工会提供理论政策服务；研究制定工会的组织制度和民主制度，监督检查《工会法》和《中国工会章程》的贯彻执行；研究指导工会自身改革和建设；指导基层工会组织职工开展以职工代表大会为基本制度的民主选举、民主决策、民主管理和民主监督工作，研究和推动基层工会建立平等协商、集体合同制度和监督保证机制；指导基层工会协助行政不断提高职工的思想道德和科学文化技术素质及组织、指导基层工会开展职工文体活动。</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5、承担全国、全区、全市劳动模范的推荐、评选和管理工作；负责全国、全区五一劳动奖章、奖状获得者的评选表彰和管理工作。</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6、负责全区工会经费和工会资产的管理、审查、审计工作；研究制定兴办职工劳动福利事业的有关制度和规定，负责对职工劳动福利事业的指导、协调工作。</w:t>
      </w:r>
    </w:p>
    <w:p>
      <w:pPr>
        <w:widowControl/>
        <w:shd w:val="clear" w:color="auto" w:fill="FFFFFF"/>
        <w:spacing w:line="330" w:lineRule="atLeast"/>
        <w:jc w:val="left"/>
        <w:rPr>
          <w:rFonts w:ascii="仿宋" w:hAnsi="仿宋" w:eastAsia="仿宋" w:cs="仿宋"/>
          <w:color w:val="333333"/>
          <w:sz w:val="32"/>
          <w:szCs w:val="32"/>
        </w:rPr>
      </w:pPr>
      <w:r>
        <w:rPr>
          <w:rFonts w:hint="eastAsia" w:ascii="仿宋" w:hAnsi="仿宋" w:eastAsia="仿宋" w:cs="仿宋"/>
          <w:color w:val="333333"/>
          <w:kern w:val="0"/>
          <w:sz w:val="32"/>
          <w:szCs w:val="32"/>
          <w:shd w:val="clear" w:color="auto" w:fill="FFFFFF"/>
        </w:rPr>
        <w:t xml:space="preserve">    7、负责全区工会国际交流工作，发展同各国工会的友好关系；负责与港澳台工会的交流合作工作。</w:t>
      </w:r>
    </w:p>
    <w:p>
      <w:pPr>
        <w:ind w:firstLine="435"/>
        <w:rPr>
          <w:rFonts w:ascii="仿宋" w:hAnsi="仿宋" w:eastAsia="仿宋" w:cs="仿宋"/>
          <w:color w:val="333333"/>
          <w:kern w:val="0"/>
          <w:sz w:val="32"/>
          <w:szCs w:val="32"/>
          <w:shd w:val="clear" w:color="auto" w:fill="FFFFFF"/>
        </w:rPr>
      </w:pPr>
      <w:r>
        <w:rPr>
          <w:rFonts w:hint="eastAsia" w:ascii="仿宋" w:hAnsi="仿宋" w:eastAsia="仿宋" w:cs="仿宋"/>
          <w:color w:val="333333"/>
          <w:kern w:val="0"/>
          <w:sz w:val="32"/>
          <w:szCs w:val="32"/>
          <w:shd w:val="clear" w:color="auto" w:fill="FFFFFF"/>
        </w:rPr>
        <w:t xml:space="preserve"> 8、承担区委交办的其他事项和人民政府委托处理的有关问题。</w:t>
      </w:r>
    </w:p>
    <w:p>
      <w:pPr>
        <w:spacing w:line="560" w:lineRule="exact"/>
        <w:ind w:firstLine="320" w:firstLineChars="100"/>
        <w:jc w:val="left"/>
        <w:rPr>
          <w:rFonts w:ascii="仿宋_GB2312" w:eastAsia="仿宋_GB2312"/>
          <w:sz w:val="32"/>
          <w:szCs w:val="32"/>
        </w:rPr>
      </w:pPr>
    </w:p>
    <w:p>
      <w:pPr>
        <w:pStyle w:val="11"/>
        <w:widowControl/>
        <w:spacing w:line="600" w:lineRule="exact"/>
        <w:ind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spacing w:line="560" w:lineRule="exact"/>
        <w:ind w:firstLine="640" w:firstLineChars="200"/>
        <w:jc w:val="left"/>
        <w:rPr>
          <w:rFonts w:eastAsia="黑体"/>
          <w:sz w:val="32"/>
          <w:szCs w:val="32"/>
        </w:rPr>
      </w:pPr>
      <w:r>
        <w:rPr>
          <w:rFonts w:hint="eastAsia" w:eastAsia="黑体"/>
          <w:sz w:val="32"/>
          <w:szCs w:val="32"/>
        </w:rPr>
        <w:t>（一）</w:t>
      </w:r>
      <w:r>
        <w:rPr>
          <w:rFonts w:eastAsia="黑体"/>
          <w:sz w:val="32"/>
          <w:szCs w:val="32"/>
        </w:rPr>
        <w:t>基本支出情况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2020年年初预算数为223.21万元，是指为完成上解市总下达的工会经费任务、保障单位机构正常运转、完成日常工作任务而发生的各项支出，包括用于基本工资、津贴补贴等人员经费以及办公费、印刷费、水电费、物业管理费等日常公用经费；</w:t>
      </w:r>
    </w:p>
    <w:p>
      <w:pPr>
        <w:pStyle w:val="11"/>
        <w:widowControl/>
        <w:spacing w:line="600" w:lineRule="exact"/>
        <w:ind w:firstLine="64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11"/>
        <w:widowControl/>
        <w:spacing w:line="600" w:lineRule="exact"/>
        <w:ind w:firstLine="640"/>
        <w:rPr>
          <w:rFonts w:ascii="Times New Roman" w:hAnsi="Times New Roman" w:eastAsia="仿宋_GB2312"/>
          <w:sz w:val="32"/>
          <w:szCs w:val="32"/>
        </w:rPr>
      </w:pPr>
      <w:r>
        <w:rPr>
          <w:rFonts w:hint="eastAsia" w:ascii="仿宋_GB2312" w:eastAsia="仿宋_GB2312"/>
          <w:sz w:val="32"/>
          <w:szCs w:val="32"/>
        </w:rPr>
        <w:t>2020年年初预算数为90万元，是指单位为完成特定行政工作任务或事业发展目标而发生的支出，包括有产业发展引导类0万元、专项业务费用类90万元、基本建设类0万元、对个人和家庭补助类0万元。</w:t>
      </w:r>
    </w:p>
    <w:p>
      <w:pPr>
        <w:numPr>
          <w:ilvl w:val="0"/>
          <w:numId w:val="2"/>
        </w:numPr>
        <w:spacing w:line="560" w:lineRule="exact"/>
        <w:ind w:firstLine="640" w:firstLineChars="200"/>
        <w:jc w:val="left"/>
        <w:rPr>
          <w:rFonts w:eastAsia="黑体"/>
          <w:sz w:val="32"/>
          <w:szCs w:val="32"/>
        </w:rPr>
      </w:pPr>
      <w:r>
        <w:rPr>
          <w:rFonts w:eastAsia="黑体"/>
          <w:sz w:val="32"/>
          <w:szCs w:val="32"/>
        </w:rPr>
        <w:t>政府性基金预算支出情况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2020年政府性基金支出为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备注：2020年怀化市鹤城区总工会无政府性基金支出。</w:t>
      </w:r>
    </w:p>
    <w:p>
      <w:pPr>
        <w:pStyle w:val="11"/>
        <w:widowControl/>
        <w:numPr>
          <w:ilvl w:val="0"/>
          <w:numId w:val="2"/>
        </w:numPr>
        <w:spacing w:line="600" w:lineRule="exact"/>
        <w:ind w:firstLine="640"/>
        <w:jc w:val="left"/>
        <w:rPr>
          <w:rFonts w:ascii="Times New Roman" w:hAnsi="Times New Roman" w:eastAsia="黑体"/>
          <w:sz w:val="32"/>
          <w:szCs w:val="32"/>
        </w:rPr>
      </w:pPr>
      <w:r>
        <w:rPr>
          <w:rFonts w:ascii="Times New Roman" w:hAnsi="Times New Roman" w:eastAsia="黑体"/>
          <w:sz w:val="32"/>
          <w:szCs w:val="32"/>
        </w:rPr>
        <w:t>国有资本经营预算支出情况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2020年国有资本经营支出为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jc w:val="left"/>
        <w:rPr>
          <w:rFonts w:eastAsia="黑体"/>
          <w:sz w:val="32"/>
          <w:szCs w:val="32"/>
        </w:rPr>
      </w:pPr>
      <w:r>
        <w:rPr>
          <w:rFonts w:hint="eastAsia" w:ascii="仿宋_GB2312" w:eastAsia="仿宋_GB2312"/>
          <w:sz w:val="32"/>
          <w:szCs w:val="32"/>
        </w:rPr>
        <w:t>备注：2020年怀化市鹤城区总工会无国有资本经营支出。</w:t>
      </w:r>
    </w:p>
    <w:p>
      <w:pPr>
        <w:pStyle w:val="11"/>
        <w:widowControl/>
        <w:numPr>
          <w:ilvl w:val="0"/>
          <w:numId w:val="2"/>
        </w:numPr>
        <w:spacing w:line="600" w:lineRule="exact"/>
        <w:ind w:firstLine="640"/>
        <w:jc w:val="left"/>
        <w:rPr>
          <w:rFonts w:ascii="Times New Roman" w:hAnsi="Times New Roman" w:eastAsia="黑体"/>
          <w:sz w:val="32"/>
          <w:szCs w:val="32"/>
        </w:rPr>
      </w:pPr>
      <w:r>
        <w:rPr>
          <w:rFonts w:ascii="Times New Roman" w:hAnsi="Times New Roman" w:eastAsia="黑体"/>
          <w:sz w:val="32"/>
          <w:szCs w:val="32"/>
        </w:rPr>
        <w:t>社会保险基金预算支出情况</w:t>
      </w:r>
    </w:p>
    <w:p>
      <w:pPr>
        <w:spacing w:line="560" w:lineRule="exact"/>
        <w:ind w:firstLine="640" w:firstLineChars="200"/>
        <w:jc w:val="left"/>
        <w:rPr>
          <w:rFonts w:ascii="仿宋_GB2312" w:eastAsia="仿宋_GB2312"/>
          <w:sz w:val="32"/>
          <w:szCs w:val="32"/>
        </w:rPr>
      </w:pPr>
      <w:r>
        <w:rPr>
          <w:rFonts w:hint="eastAsia" w:ascii="仿宋_GB2312" w:eastAsia="仿宋_GB2312"/>
          <w:sz w:val="32"/>
          <w:szCs w:val="32"/>
        </w:rPr>
        <w:t>2020年社会保险基金支出为</w:t>
      </w:r>
      <w:r>
        <w:rPr>
          <w:rFonts w:ascii="仿宋_GB2312" w:eastAsia="仿宋_GB2312"/>
          <w:sz w:val="32"/>
          <w:szCs w:val="32"/>
        </w:rPr>
        <w:t>0</w:t>
      </w:r>
      <w:r>
        <w:rPr>
          <w:rFonts w:hint="eastAsia" w:ascii="仿宋_GB2312" w:eastAsia="仿宋_GB2312"/>
          <w:sz w:val="32"/>
          <w:szCs w:val="32"/>
        </w:rPr>
        <w:t>万元。</w:t>
      </w:r>
    </w:p>
    <w:p>
      <w:pPr>
        <w:spacing w:line="560" w:lineRule="exact"/>
        <w:ind w:firstLine="640" w:firstLineChars="200"/>
        <w:jc w:val="left"/>
        <w:rPr>
          <w:rFonts w:eastAsia="黑体"/>
          <w:sz w:val="32"/>
          <w:szCs w:val="32"/>
        </w:rPr>
      </w:pPr>
      <w:r>
        <w:rPr>
          <w:rFonts w:hint="eastAsia" w:ascii="仿宋_GB2312" w:eastAsia="仿宋_GB2312"/>
          <w:sz w:val="32"/>
          <w:szCs w:val="32"/>
        </w:rPr>
        <w:t>备注：2020年怀化市鹤城区总工会无社会保险基金支出。</w:t>
      </w:r>
    </w:p>
    <w:p>
      <w:pPr>
        <w:widowControl/>
        <w:numPr>
          <w:ilvl w:val="0"/>
          <w:numId w:val="2"/>
        </w:numPr>
        <w:spacing w:line="600" w:lineRule="exact"/>
        <w:ind w:firstLine="640" w:firstLineChars="200"/>
        <w:jc w:val="left"/>
        <w:rPr>
          <w:rFonts w:ascii="仿宋_GB2312" w:eastAsia="仿宋_GB2312"/>
          <w:sz w:val="32"/>
          <w:szCs w:val="32"/>
        </w:rPr>
      </w:pPr>
      <w:r>
        <w:rPr>
          <w:rFonts w:eastAsia="黑体"/>
          <w:sz w:val="32"/>
          <w:szCs w:val="32"/>
        </w:rPr>
        <w:t>部门整体支出绩效情况</w:t>
      </w:r>
    </w:p>
    <w:p>
      <w:pPr>
        <w:widowControl/>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按照我区预算绩效管理工作的总体要求，2020年我单位整体支出223.21万元，全部实行整体支出绩效目标管理，其中：人员支出128.23万元（工资福利支出）；公用支出（一般商品和服务支出）4.99万元；编报绩效目标的项目1个，涉及项目支出</w:t>
      </w:r>
      <w:r>
        <w:rPr>
          <w:rFonts w:hint="eastAsia" w:ascii="仿宋_GB2312" w:eastAsia="仿宋_GB2312"/>
          <w:sz w:val="32"/>
          <w:szCs w:val="32"/>
          <w:lang w:val="en-US" w:eastAsia="zh-CN"/>
        </w:rPr>
        <w:t>90</w:t>
      </w:r>
      <w:r>
        <w:rPr>
          <w:rFonts w:hint="eastAsia" w:ascii="仿宋_GB2312" w:eastAsia="仿宋_GB2312"/>
          <w:sz w:val="32"/>
          <w:szCs w:val="32"/>
        </w:rPr>
        <w:t xml:space="preserve">万元，其中专项业务费用类项目1个，共90万元，基本建设类项目0个，共0万元，对个人和家庭补助类项目0个，共0万元，产业发展引导类项目0个，共0万元。  </w:t>
      </w:r>
    </w:p>
    <w:p>
      <w:pPr>
        <w:widowControl/>
        <w:spacing w:line="600" w:lineRule="exact"/>
        <w:jc w:val="left"/>
        <w:rPr>
          <w:rFonts w:ascii="仿宋_GB2312" w:eastAsia="仿宋_GB2312"/>
          <w:sz w:val="32"/>
          <w:szCs w:val="32"/>
        </w:rPr>
      </w:pPr>
      <w:r>
        <w:rPr>
          <w:rFonts w:hint="eastAsia" w:ascii="仿宋_GB2312" w:eastAsia="仿宋_GB2312"/>
          <w:sz w:val="32"/>
          <w:szCs w:val="32"/>
        </w:rPr>
        <w:t>2020年我单位项目绩效目标：</w:t>
      </w:r>
    </w:p>
    <w:p>
      <w:pPr>
        <w:pStyle w:val="11"/>
        <w:widowControl/>
        <w:numPr>
          <w:ilvl w:val="0"/>
          <w:numId w:val="3"/>
        </w:numPr>
        <w:spacing w:line="600" w:lineRule="exact"/>
        <w:ind w:firstLineChars="0"/>
        <w:jc w:val="left"/>
        <w:rPr>
          <w:rFonts w:ascii="仿宋_GB2312" w:eastAsia="仿宋_GB2312"/>
          <w:sz w:val="32"/>
          <w:szCs w:val="32"/>
        </w:rPr>
      </w:pPr>
      <w:r>
        <w:rPr>
          <w:rFonts w:hint="eastAsia" w:ascii="仿宋_GB2312" w:eastAsia="仿宋_GB2312"/>
          <w:sz w:val="32"/>
          <w:szCs w:val="32"/>
        </w:rPr>
        <w:t>为我区17名建档困难职工提供医疗救助、生活救助。</w:t>
      </w:r>
    </w:p>
    <w:p>
      <w:pPr>
        <w:pStyle w:val="11"/>
        <w:widowControl/>
        <w:numPr>
          <w:ilvl w:val="0"/>
          <w:numId w:val="3"/>
        </w:numPr>
        <w:spacing w:line="600" w:lineRule="exact"/>
        <w:ind w:firstLineChars="0"/>
        <w:jc w:val="left"/>
        <w:rPr>
          <w:rFonts w:ascii="仿宋_GB2312" w:eastAsia="仿宋_GB2312"/>
          <w:sz w:val="32"/>
          <w:szCs w:val="32"/>
        </w:rPr>
      </w:pPr>
      <w:r>
        <w:rPr>
          <w:rFonts w:hint="eastAsia" w:ascii="仿宋_GB2312" w:eastAsia="仿宋_GB2312"/>
          <w:sz w:val="32"/>
          <w:szCs w:val="32"/>
        </w:rPr>
        <w:t>完成上级工会下达的工会经费上解任务。</w:t>
      </w:r>
    </w:p>
    <w:p>
      <w:pPr>
        <w:widowControl/>
        <w:spacing w:line="600" w:lineRule="exact"/>
        <w:ind w:firstLine="320" w:firstLineChars="100"/>
        <w:jc w:val="left"/>
        <w:rPr>
          <w:rFonts w:ascii="仿宋_GB2312" w:eastAsia="仿宋_GB2312"/>
          <w:sz w:val="32"/>
          <w:szCs w:val="32"/>
        </w:rPr>
      </w:pPr>
      <w:r>
        <w:rPr>
          <w:rFonts w:hint="eastAsia" w:ascii="仿宋_GB2312" w:eastAsia="仿宋_GB2312"/>
          <w:sz w:val="32"/>
          <w:szCs w:val="32"/>
        </w:rPr>
        <w:t>2.项目验收合格率100%</w:t>
      </w:r>
    </w:p>
    <w:p>
      <w:pPr>
        <w:widowControl/>
        <w:spacing w:line="600" w:lineRule="exact"/>
        <w:ind w:firstLine="320" w:firstLineChars="100"/>
        <w:jc w:val="left"/>
        <w:rPr>
          <w:rFonts w:ascii="仿宋_GB2312" w:eastAsia="仿宋_GB2312"/>
          <w:sz w:val="32"/>
          <w:szCs w:val="32"/>
        </w:rPr>
      </w:pPr>
      <w:r>
        <w:rPr>
          <w:rFonts w:hint="eastAsia" w:ascii="仿宋_GB2312" w:eastAsia="仿宋_GB2312"/>
          <w:sz w:val="32"/>
          <w:szCs w:val="32"/>
        </w:rPr>
        <w:t>3.项目工程完成及时率100%</w:t>
      </w:r>
    </w:p>
    <w:p>
      <w:pPr>
        <w:widowControl/>
        <w:spacing w:line="600" w:lineRule="exact"/>
        <w:ind w:firstLine="320" w:firstLineChars="100"/>
        <w:jc w:val="left"/>
        <w:rPr>
          <w:rFonts w:ascii="仿宋_GB2312" w:eastAsia="仿宋_GB2312"/>
          <w:sz w:val="32"/>
          <w:szCs w:val="32"/>
        </w:rPr>
      </w:pPr>
      <w:r>
        <w:rPr>
          <w:rFonts w:hint="eastAsia" w:ascii="仿宋_GB2312" w:eastAsia="仿宋_GB2312"/>
          <w:sz w:val="32"/>
          <w:szCs w:val="32"/>
        </w:rPr>
        <w:t>4.2020年度为困难职工提供医疗救助、生活困难补助、法律援助等工作经费51.85万元，完成工会经费上解任务90万元。</w:t>
      </w:r>
    </w:p>
    <w:p>
      <w:pPr>
        <w:widowControl/>
        <w:spacing w:line="600" w:lineRule="exact"/>
        <w:ind w:firstLine="640" w:firstLineChars="200"/>
        <w:jc w:val="left"/>
        <w:rPr>
          <w:rFonts w:ascii="仿宋_GB2312" w:eastAsia="仿宋_GB2312"/>
          <w:sz w:val="32"/>
          <w:szCs w:val="32"/>
        </w:rPr>
      </w:pPr>
      <w:r>
        <w:rPr>
          <w:rFonts w:hint="eastAsia" w:ascii="仿宋_GB2312" w:eastAsia="仿宋_GB2312"/>
          <w:sz w:val="32"/>
          <w:szCs w:val="32"/>
        </w:rPr>
        <w:t>综上所述，2020年我单位认真贯彻落实省总工会下达的“五个年”的工作任务和目标，扩大了工会的号召力和影响力为全区广大职工开展了丰富多彩的文化娱乐生活，取得了较好的社会效应，服务对象满意度较高。</w:t>
      </w:r>
    </w:p>
    <w:p>
      <w:pPr>
        <w:widowControl/>
        <w:spacing w:line="600" w:lineRule="exact"/>
        <w:jc w:val="left"/>
        <w:rPr>
          <w:rFonts w:eastAsia="仿宋_GB2312"/>
          <w:sz w:val="32"/>
          <w:szCs w:val="32"/>
        </w:rPr>
      </w:pPr>
      <w:bookmarkStart w:id="0" w:name="_GoBack"/>
      <w:bookmarkEnd w:id="0"/>
    </w:p>
    <w:p>
      <w:pPr>
        <w:widowControl/>
        <w:spacing w:line="600" w:lineRule="exact"/>
        <w:jc w:val="left"/>
        <w:rPr>
          <w:rFonts w:eastAsia="仿宋_GB2312"/>
          <w:sz w:val="32"/>
          <w:szCs w:val="32"/>
        </w:rPr>
      </w:pPr>
    </w:p>
    <w:p>
      <w:pPr>
        <w:widowControl/>
        <w:spacing w:line="600" w:lineRule="exact"/>
        <w:jc w:val="left"/>
        <w:rPr>
          <w:rFonts w:eastAsia="仿宋_GB2312"/>
          <w:sz w:val="32"/>
          <w:szCs w:val="32"/>
        </w:rPr>
      </w:pPr>
    </w:p>
    <w:p>
      <w:pPr>
        <w:widowControl/>
        <w:spacing w:line="600" w:lineRule="exact"/>
        <w:jc w:val="left"/>
        <w:rPr>
          <w:rFonts w:eastAsia="黑体"/>
          <w:kern w:val="0"/>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widowControl/>
        <w:spacing w:line="600" w:lineRule="exact"/>
        <w:ind w:firstLine="640" w:firstLineChars="200"/>
        <w:jc w:val="left"/>
        <w:rPr>
          <w:rFonts w:eastAsia="仿宋_GB2312"/>
          <w:sz w:val="32"/>
          <w:szCs w:val="32"/>
        </w:rPr>
      </w:pPr>
    </w:p>
    <w:p>
      <w:pPr>
        <w:ind w:firstLine="640" w:firstLineChars="200"/>
        <w:jc w:val="left"/>
        <w:rPr>
          <w:rFonts w:ascii="宋体" w:hAnsi="宋体" w:cs="黑体"/>
          <w:color w:val="000000"/>
          <w:kern w:val="0"/>
          <w:sz w:val="32"/>
          <w:szCs w:val="32"/>
        </w:rPr>
      </w:pPr>
    </w:p>
    <w:sectPr>
      <w:pgSz w:w="11906" w:h="16838"/>
      <w:pgMar w:top="720" w:right="720" w:bottom="720" w:left="72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13CC65"/>
    <w:multiLevelType w:val="singleLevel"/>
    <w:tmpl w:val="F613CC65"/>
    <w:lvl w:ilvl="0" w:tentative="0">
      <w:start w:val="3"/>
      <w:numFmt w:val="chineseCounting"/>
      <w:suff w:val="nothing"/>
      <w:lvlText w:val="%1、"/>
      <w:lvlJc w:val="left"/>
      <w:rPr>
        <w:rFonts w:hint="eastAsia"/>
      </w:rPr>
    </w:lvl>
  </w:abstractNum>
  <w:abstractNum w:abstractNumId="1">
    <w:nsid w:val="0BC833D5"/>
    <w:multiLevelType w:val="multilevel"/>
    <w:tmpl w:val="0BC833D5"/>
    <w:lvl w:ilvl="0" w:tentative="0">
      <w:start w:val="1"/>
      <w:numFmt w:val="none"/>
      <w:lvlText w:val="一、"/>
      <w:lvlJc w:val="left"/>
      <w:pPr>
        <w:ind w:left="1420" w:hanging="720"/>
      </w:pPr>
      <w:rPr>
        <w:rFonts w:hint="default"/>
      </w:rPr>
    </w:lvl>
    <w:lvl w:ilvl="1" w:tentative="0">
      <w:start w:val="1"/>
      <w:numFmt w:val="lowerLetter"/>
      <w:lvlText w:val="%2)"/>
      <w:lvlJc w:val="left"/>
      <w:pPr>
        <w:ind w:left="1540" w:hanging="420"/>
      </w:pPr>
    </w:lvl>
    <w:lvl w:ilvl="2" w:tentative="0">
      <w:start w:val="1"/>
      <w:numFmt w:val="lowerRoman"/>
      <w:lvlText w:val="%3."/>
      <w:lvlJc w:val="right"/>
      <w:pPr>
        <w:ind w:left="1960" w:hanging="420"/>
      </w:pPr>
    </w:lvl>
    <w:lvl w:ilvl="3" w:tentative="0">
      <w:start w:val="1"/>
      <w:numFmt w:val="decimal"/>
      <w:lvlText w:val="%4."/>
      <w:lvlJc w:val="left"/>
      <w:pPr>
        <w:ind w:left="2380" w:hanging="420"/>
      </w:pPr>
    </w:lvl>
    <w:lvl w:ilvl="4" w:tentative="0">
      <w:start w:val="1"/>
      <w:numFmt w:val="lowerLetter"/>
      <w:lvlText w:val="%5)"/>
      <w:lvlJc w:val="left"/>
      <w:pPr>
        <w:ind w:left="2800" w:hanging="420"/>
      </w:pPr>
    </w:lvl>
    <w:lvl w:ilvl="5" w:tentative="0">
      <w:start w:val="1"/>
      <w:numFmt w:val="lowerRoman"/>
      <w:lvlText w:val="%6."/>
      <w:lvlJc w:val="right"/>
      <w:pPr>
        <w:ind w:left="3220" w:hanging="420"/>
      </w:pPr>
    </w:lvl>
    <w:lvl w:ilvl="6" w:tentative="0">
      <w:start w:val="1"/>
      <w:numFmt w:val="decimal"/>
      <w:lvlText w:val="%7."/>
      <w:lvlJc w:val="left"/>
      <w:pPr>
        <w:ind w:left="3640" w:hanging="420"/>
      </w:pPr>
    </w:lvl>
    <w:lvl w:ilvl="7" w:tentative="0">
      <w:start w:val="1"/>
      <w:numFmt w:val="lowerLetter"/>
      <w:lvlText w:val="%8)"/>
      <w:lvlJc w:val="left"/>
      <w:pPr>
        <w:ind w:left="4060" w:hanging="420"/>
      </w:pPr>
    </w:lvl>
    <w:lvl w:ilvl="8" w:tentative="0">
      <w:start w:val="1"/>
      <w:numFmt w:val="lowerRoman"/>
      <w:lvlText w:val="%9."/>
      <w:lvlJc w:val="right"/>
      <w:pPr>
        <w:ind w:left="4480" w:hanging="420"/>
      </w:pPr>
    </w:lvl>
  </w:abstractNum>
  <w:abstractNum w:abstractNumId="2">
    <w:nsid w:val="1F5238E0"/>
    <w:multiLevelType w:val="multilevel"/>
    <w:tmpl w:val="1F5238E0"/>
    <w:lvl w:ilvl="0" w:tentative="0">
      <w:start w:val="1"/>
      <w:numFmt w:val="decimal"/>
      <w:lvlText w:val="%1."/>
      <w:lvlJc w:val="left"/>
      <w:pPr>
        <w:ind w:left="680" w:hanging="360"/>
      </w:pPr>
      <w:rPr>
        <w:rFonts w:hint="default"/>
      </w:rPr>
    </w:lvl>
    <w:lvl w:ilvl="1" w:tentative="0">
      <w:start w:val="1"/>
      <w:numFmt w:val="lowerLetter"/>
      <w:lvlText w:val="%2)"/>
      <w:lvlJc w:val="left"/>
      <w:pPr>
        <w:ind w:left="1160" w:hanging="420"/>
      </w:pPr>
    </w:lvl>
    <w:lvl w:ilvl="2" w:tentative="0">
      <w:start w:val="1"/>
      <w:numFmt w:val="lowerRoman"/>
      <w:lvlText w:val="%3."/>
      <w:lvlJc w:val="right"/>
      <w:pPr>
        <w:ind w:left="1580" w:hanging="420"/>
      </w:pPr>
    </w:lvl>
    <w:lvl w:ilvl="3" w:tentative="0">
      <w:start w:val="1"/>
      <w:numFmt w:val="decimal"/>
      <w:lvlText w:val="%4."/>
      <w:lvlJc w:val="left"/>
      <w:pPr>
        <w:ind w:left="2000" w:hanging="420"/>
      </w:pPr>
    </w:lvl>
    <w:lvl w:ilvl="4" w:tentative="0">
      <w:start w:val="1"/>
      <w:numFmt w:val="lowerLetter"/>
      <w:lvlText w:val="%5)"/>
      <w:lvlJc w:val="left"/>
      <w:pPr>
        <w:ind w:left="2420" w:hanging="420"/>
      </w:pPr>
    </w:lvl>
    <w:lvl w:ilvl="5" w:tentative="0">
      <w:start w:val="1"/>
      <w:numFmt w:val="lowerRoman"/>
      <w:lvlText w:val="%6."/>
      <w:lvlJc w:val="right"/>
      <w:pPr>
        <w:ind w:left="2840" w:hanging="420"/>
      </w:pPr>
    </w:lvl>
    <w:lvl w:ilvl="6" w:tentative="0">
      <w:start w:val="1"/>
      <w:numFmt w:val="decimal"/>
      <w:lvlText w:val="%7."/>
      <w:lvlJc w:val="left"/>
      <w:pPr>
        <w:ind w:left="3260" w:hanging="420"/>
      </w:pPr>
    </w:lvl>
    <w:lvl w:ilvl="7" w:tentative="0">
      <w:start w:val="1"/>
      <w:numFmt w:val="lowerLetter"/>
      <w:lvlText w:val="%8)"/>
      <w:lvlJc w:val="left"/>
      <w:pPr>
        <w:ind w:left="3680" w:hanging="420"/>
      </w:pPr>
    </w:lvl>
    <w:lvl w:ilvl="8" w:tentative="0">
      <w:start w:val="1"/>
      <w:numFmt w:val="lowerRoman"/>
      <w:lvlText w:val="%9."/>
      <w:lvlJc w:val="right"/>
      <w:pPr>
        <w:ind w:left="410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YjUwNDlhNDViZmI3MGMwNDhjMjgyNDJlNzZjMTcifQ=="/>
  </w:docVars>
  <w:rsids>
    <w:rsidRoot w:val="004506F9"/>
    <w:rsid w:val="0002229B"/>
    <w:rsid w:val="000273BD"/>
    <w:rsid w:val="000415B7"/>
    <w:rsid w:val="00041E3F"/>
    <w:rsid w:val="00055DAA"/>
    <w:rsid w:val="00061F7B"/>
    <w:rsid w:val="000658A3"/>
    <w:rsid w:val="00074155"/>
    <w:rsid w:val="000A3F69"/>
    <w:rsid w:val="00103957"/>
    <w:rsid w:val="00152C6D"/>
    <w:rsid w:val="0016222E"/>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192C"/>
    <w:rsid w:val="003130C4"/>
    <w:rsid w:val="00316C4B"/>
    <w:rsid w:val="0032192B"/>
    <w:rsid w:val="003479BD"/>
    <w:rsid w:val="0037197D"/>
    <w:rsid w:val="003768D5"/>
    <w:rsid w:val="003838D5"/>
    <w:rsid w:val="003C47E6"/>
    <w:rsid w:val="003C4FC2"/>
    <w:rsid w:val="00416E61"/>
    <w:rsid w:val="0042790C"/>
    <w:rsid w:val="004506F9"/>
    <w:rsid w:val="004717A2"/>
    <w:rsid w:val="00472A00"/>
    <w:rsid w:val="00473DF3"/>
    <w:rsid w:val="00487911"/>
    <w:rsid w:val="00491741"/>
    <w:rsid w:val="004C7EFB"/>
    <w:rsid w:val="00500E5F"/>
    <w:rsid w:val="005122EF"/>
    <w:rsid w:val="0051441A"/>
    <w:rsid w:val="00517C33"/>
    <w:rsid w:val="00523644"/>
    <w:rsid w:val="0054069E"/>
    <w:rsid w:val="00544866"/>
    <w:rsid w:val="005767CC"/>
    <w:rsid w:val="00582A57"/>
    <w:rsid w:val="00590D9F"/>
    <w:rsid w:val="00595D26"/>
    <w:rsid w:val="005A74E6"/>
    <w:rsid w:val="005B404E"/>
    <w:rsid w:val="005D4D55"/>
    <w:rsid w:val="005E2CFB"/>
    <w:rsid w:val="005F3D1C"/>
    <w:rsid w:val="006037C9"/>
    <w:rsid w:val="0062378F"/>
    <w:rsid w:val="00641842"/>
    <w:rsid w:val="00651EEC"/>
    <w:rsid w:val="00691E8C"/>
    <w:rsid w:val="006A22C4"/>
    <w:rsid w:val="006A351B"/>
    <w:rsid w:val="006B0422"/>
    <w:rsid w:val="006C1B53"/>
    <w:rsid w:val="006D6AB0"/>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7904"/>
    <w:rsid w:val="00B33BEA"/>
    <w:rsid w:val="00B376CD"/>
    <w:rsid w:val="00B57C9F"/>
    <w:rsid w:val="00B63572"/>
    <w:rsid w:val="00B84277"/>
    <w:rsid w:val="00B845B3"/>
    <w:rsid w:val="00B85D8B"/>
    <w:rsid w:val="00BA3F96"/>
    <w:rsid w:val="00BB2090"/>
    <w:rsid w:val="00BB4A40"/>
    <w:rsid w:val="00BD6C3E"/>
    <w:rsid w:val="00BE3674"/>
    <w:rsid w:val="00C10681"/>
    <w:rsid w:val="00C3049A"/>
    <w:rsid w:val="00C31B1E"/>
    <w:rsid w:val="00C52D66"/>
    <w:rsid w:val="00C77645"/>
    <w:rsid w:val="00CE04C3"/>
    <w:rsid w:val="00CE76A0"/>
    <w:rsid w:val="00CF359B"/>
    <w:rsid w:val="00D0242F"/>
    <w:rsid w:val="00D148C6"/>
    <w:rsid w:val="00D17A8A"/>
    <w:rsid w:val="00D35DAD"/>
    <w:rsid w:val="00D415BA"/>
    <w:rsid w:val="00D644EE"/>
    <w:rsid w:val="00DD06FF"/>
    <w:rsid w:val="00DD5FE9"/>
    <w:rsid w:val="00E00C7A"/>
    <w:rsid w:val="00E37D6C"/>
    <w:rsid w:val="00E55B68"/>
    <w:rsid w:val="00E67BE6"/>
    <w:rsid w:val="00E7195F"/>
    <w:rsid w:val="00E8683C"/>
    <w:rsid w:val="00EA2B72"/>
    <w:rsid w:val="00F65160"/>
    <w:rsid w:val="00F74360"/>
    <w:rsid w:val="00FB462F"/>
    <w:rsid w:val="00FE16FA"/>
    <w:rsid w:val="00FE328A"/>
    <w:rsid w:val="00FE6269"/>
    <w:rsid w:val="1FE312CB"/>
    <w:rsid w:val="33DC74D3"/>
    <w:rsid w:val="4E1956FC"/>
    <w:rsid w:val="51053BF3"/>
    <w:rsid w:val="56B31001"/>
    <w:rsid w:val="637F79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7"/>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semiHidden/>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页眉 Char"/>
    <w:basedOn w:val="6"/>
    <w:link w:val="4"/>
    <w:qFormat/>
    <w:uiPriority w:val="99"/>
    <w:rPr>
      <w:sz w:val="18"/>
      <w:szCs w:val="18"/>
    </w:rPr>
  </w:style>
  <w:style w:type="paragraph" w:customStyle="1" w:styleId="10">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5673</Words>
  <Characters>6106</Characters>
  <Lines>46</Lines>
  <Paragraphs>13</Paragraphs>
  <TotalTime>993</TotalTime>
  <ScaleCrop>false</ScaleCrop>
  <LinksUpToDate>false</LinksUpToDate>
  <CharactersWithSpaces>6170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2022-09-02T14:37:36Z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59D1EF44A97D4ED9AB970F7D674DFEA1</vt:lpwstr>
  </property>
</Properties>
</file>