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rFonts w:hint="eastAsia" w:eastAsia="黑体"/>
          <w:sz w:val="84"/>
          <w:szCs w:val="84"/>
          <w:lang w:val="en-US" w:eastAsia="zh-CN"/>
        </w:rPr>
      </w:pPr>
      <w:r>
        <w:rPr>
          <w:rFonts w:hint="eastAsia"/>
          <w:sz w:val="84"/>
          <w:szCs w:val="84"/>
          <w:lang w:val="en-US" w:eastAsia="zh-CN"/>
        </w:rPr>
        <w:t>鹤城区人力资源服务中心</w:t>
      </w:r>
    </w:p>
    <w:p>
      <w:pPr>
        <w:pStyle w:val="9"/>
        <w:jc w:val="center"/>
        <w:rPr>
          <w:sz w:val="84"/>
          <w:szCs w:val="84"/>
        </w:rPr>
      </w:pPr>
      <w:r>
        <w:rPr>
          <w:rFonts w:hint="eastAsia"/>
          <w:sz w:val="84"/>
          <w:szCs w:val="84"/>
        </w:rPr>
        <w:t>单位部门决算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00" w:lineRule="exact"/>
        <w:jc w:val="both"/>
        <w:rPr>
          <w:b/>
          <w:sz w:val="36"/>
          <w:szCs w:val="28"/>
        </w:rPr>
      </w:pPr>
    </w:p>
    <w:p>
      <w:pPr>
        <w:pStyle w:val="9"/>
        <w:spacing w:line="500" w:lineRule="exact"/>
        <w:jc w:val="both"/>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鹤城区人力资源服务中心</w:t>
      </w:r>
      <w:r>
        <w:rPr>
          <w:rFonts w:hint="eastAsia"/>
          <w:b/>
          <w:sz w:val="28"/>
          <w:szCs w:val="28"/>
        </w:rPr>
        <w:t>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eastAsia="zh-CN"/>
        </w:rPr>
        <w:t>鹤城区人力资源服务中心</w:t>
      </w:r>
      <w:r>
        <w:rPr>
          <w:rFonts w:hint="eastAsia"/>
          <w:sz w:val="84"/>
          <w:szCs w:val="84"/>
          <w:lang w:val="en-US" w:eastAsia="zh-CN"/>
        </w:rPr>
        <w:t xml:space="preserve"> </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both"/>
        <w:rPr>
          <w:sz w:val="72"/>
          <w:szCs w:val="72"/>
        </w:rPr>
      </w:pPr>
    </w:p>
    <w:p>
      <w:pPr>
        <w:jc w:val="both"/>
        <w:rPr>
          <w:sz w:val="72"/>
          <w:szCs w:val="72"/>
        </w:rPr>
      </w:pPr>
    </w:p>
    <w:p>
      <w:pPr>
        <w:jc w:val="both"/>
        <w:rPr>
          <w:sz w:val="72"/>
          <w:szCs w:val="7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40" w:firstLineChars="200"/>
        <w:jc w:val="left"/>
        <w:rPr>
          <w:rFonts w:ascii="仿宋_GB2312" w:eastAsia="仿宋_GB2312" w:hAnsiTheme="minorEastAsia"/>
          <w:sz w:val="28"/>
          <w:szCs w:val="32"/>
        </w:rPr>
      </w:pPr>
      <w:r>
        <w:rPr>
          <w:rFonts w:hint="eastAsia" w:asciiTheme="minorEastAsia" w:hAnsiTheme="minorEastAsia"/>
          <w:sz w:val="32"/>
          <w:szCs w:val="32"/>
        </w:rPr>
        <w:t>职业介绍、职业指导、职业培训、流动人员人事档案管理和人力资源服务代理、劳动争议调解、人力资源和社会保障法规政策宣传。设置就业困难人员服务专门通道、贫困人员服务专门通道和高校毕业生服务专门通道、劳务协作招聘专区为上述人员提供一对一服务。并根据用工单位的需求，开展信息发布、委托招聘、专场招聘、中高级人才招聘等服务。</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hint="eastAsia" w:asciiTheme="minorEastAsia" w:hAnsiTheme="minorEastAsia"/>
          <w:bCs/>
          <w:kern w:val="0"/>
          <w:sz w:val="32"/>
          <w:szCs w:val="32"/>
        </w:rPr>
      </w:pPr>
      <w:r>
        <w:rPr>
          <w:rFonts w:hint="eastAsia" w:asciiTheme="minorEastAsia" w:hAnsiTheme="minorEastAsia"/>
          <w:bCs/>
          <w:kern w:val="0"/>
          <w:sz w:val="32"/>
          <w:szCs w:val="32"/>
        </w:rPr>
        <w:t xml:space="preserve">（一）内设机构设置。鹤城区人力资源服务中心是隶属区人社局的全额拨款事业单位，作为一级部门预算单位，内设五个部门，分别为：                                                                                                                                                                                                                                                                                                                                                    </w:t>
      </w:r>
    </w:p>
    <w:p>
      <w:pPr>
        <w:widowControl/>
        <w:spacing w:line="600" w:lineRule="exact"/>
        <w:rPr>
          <w:rFonts w:hint="eastAsia" w:asciiTheme="minorEastAsia" w:hAnsiTheme="minorEastAsia"/>
          <w:bCs/>
          <w:kern w:val="0"/>
          <w:sz w:val="32"/>
          <w:szCs w:val="32"/>
        </w:rPr>
      </w:pPr>
      <w:r>
        <w:rPr>
          <w:rFonts w:hint="eastAsia" w:asciiTheme="minorEastAsia" w:hAnsiTheme="minorEastAsia"/>
          <w:bCs/>
          <w:kern w:val="0"/>
          <w:sz w:val="32"/>
          <w:szCs w:val="32"/>
        </w:rPr>
        <w:t>1．综合办公室：协助中心领导对政务、业务工作进行综合协调和督促检查，负责中心纪检、综治、维稳、信访、安全生产、重点民生实事、文明创建、爱卫、文电、会务、机要、档案、文印、行政后勤和接待工作，负责综合调研、综合性文字材料起草和有关新闻宣传工作。</w:t>
      </w:r>
    </w:p>
    <w:p>
      <w:pPr>
        <w:widowControl/>
        <w:spacing w:line="600" w:lineRule="exact"/>
        <w:rPr>
          <w:rFonts w:hint="eastAsia" w:asciiTheme="minorEastAsia" w:hAnsiTheme="minorEastAsia"/>
          <w:bCs/>
          <w:kern w:val="0"/>
          <w:sz w:val="32"/>
          <w:szCs w:val="32"/>
        </w:rPr>
      </w:pPr>
      <w:r>
        <w:rPr>
          <w:rFonts w:hint="eastAsia" w:asciiTheme="minorEastAsia" w:hAnsiTheme="minorEastAsia"/>
          <w:bCs/>
          <w:kern w:val="0"/>
          <w:sz w:val="32"/>
          <w:szCs w:val="32"/>
        </w:rPr>
        <w:t>2．党建办公室：负责中心党建工作。</w:t>
      </w:r>
    </w:p>
    <w:p>
      <w:pPr>
        <w:widowControl/>
        <w:spacing w:line="600" w:lineRule="exact"/>
        <w:rPr>
          <w:rFonts w:hint="eastAsia" w:asciiTheme="minorEastAsia" w:hAnsiTheme="minorEastAsia"/>
          <w:bCs/>
          <w:kern w:val="0"/>
          <w:sz w:val="32"/>
          <w:szCs w:val="32"/>
        </w:rPr>
      </w:pPr>
      <w:r>
        <w:rPr>
          <w:rFonts w:hint="eastAsia" w:asciiTheme="minorEastAsia" w:hAnsiTheme="minorEastAsia"/>
          <w:bCs/>
          <w:kern w:val="0"/>
          <w:sz w:val="32"/>
          <w:szCs w:val="32"/>
        </w:rPr>
        <w:t>3．计划财务室：负责中心财务管理及内部财务审计、内部控制、组织人事、计划生育、工青妇工作。</w:t>
      </w:r>
    </w:p>
    <w:p>
      <w:pPr>
        <w:widowControl/>
        <w:spacing w:line="600" w:lineRule="exact"/>
        <w:rPr>
          <w:rFonts w:hint="eastAsia" w:asciiTheme="minorEastAsia" w:hAnsiTheme="minorEastAsia"/>
          <w:bCs/>
          <w:kern w:val="0"/>
          <w:sz w:val="32"/>
          <w:szCs w:val="32"/>
        </w:rPr>
      </w:pPr>
      <w:r>
        <w:rPr>
          <w:rFonts w:hint="eastAsia" w:asciiTheme="minorEastAsia" w:hAnsiTheme="minorEastAsia"/>
          <w:bCs/>
          <w:kern w:val="0"/>
          <w:sz w:val="32"/>
          <w:szCs w:val="32"/>
        </w:rPr>
        <w:t>4．公共就业服务办公室：负责组织和指导人力资源供需双方洽谈，收集、发布、统计职业供求信息、组织召开招聘会、职业介绍、职业指导、职业培训及公共就业网络服务平台建设及维护工作。</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5．人事档案管理办公室：负责辖区内流动人员人事档案管理工作。</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（二）决算单位构成。鹤城区人力资源服务中心单位20</w:t>
      </w:r>
      <w:r>
        <w:rPr>
          <w:rFonts w:hint="eastAsia" w:asciiTheme="minorEastAsia" w:hAnsiTheme="minorEastAsia"/>
          <w:bCs/>
          <w:kern w:val="0"/>
          <w:sz w:val="32"/>
          <w:szCs w:val="32"/>
          <w:lang w:val="en-US" w:eastAsia="zh-CN"/>
        </w:rPr>
        <w:t>20</w:t>
      </w:r>
      <w:r>
        <w:rPr>
          <w:rFonts w:hint="eastAsia" w:asciiTheme="minorEastAsia" w:hAnsiTheme="minorEastAsia"/>
          <w:bCs/>
          <w:kern w:val="0"/>
          <w:sz w:val="32"/>
          <w:szCs w:val="32"/>
        </w:rPr>
        <w:t>年部门决算汇总公开单位构成包括：鹤城区人力资源服务中心单位本级。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both"/>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Theme="minorEastAsia" w:hAnsiTheme="minorEastAsia" w:eastAsiaTheme="minorEastAsia"/>
          <w:sz w:val="32"/>
          <w:szCs w:val="32"/>
        </w:rPr>
      </w:pPr>
      <w:r>
        <w:rPr>
          <w:sz w:val="70"/>
          <w:szCs w:val="70"/>
        </w:rPr>
        <w:br w:type="page"/>
      </w: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sz w:val="32"/>
          <w:szCs w:val="32"/>
          <w:lang w:val="en-US" w:eastAsia="zh-CN"/>
        </w:rPr>
        <w:t>392.41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115.76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41.84</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财政提前下达</w:t>
      </w:r>
      <w:r>
        <w:rPr>
          <w:rFonts w:hint="eastAsia" w:asciiTheme="minorEastAsia" w:hAnsiTheme="minorEastAsia" w:eastAsiaTheme="minorEastAsia"/>
          <w:sz w:val="32"/>
          <w:szCs w:val="32"/>
          <w:lang w:val="en-US" w:eastAsia="zh-CN"/>
        </w:rPr>
        <w:t>2021年再就业资金80万元。</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w:t>
      </w:r>
      <w:r>
        <w:rPr>
          <w:rFonts w:hint="eastAsia" w:asciiTheme="minorEastAsia" w:hAnsiTheme="minorEastAsia" w:eastAsiaTheme="minorEastAsia"/>
          <w:sz w:val="32"/>
          <w:szCs w:val="32"/>
          <w:lang w:val="en-US" w:eastAsia="zh-CN"/>
        </w:rPr>
        <w:t>312.69</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39.9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14.63</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财政提前下达</w:t>
      </w:r>
      <w:r>
        <w:rPr>
          <w:rFonts w:hint="eastAsia" w:asciiTheme="minorEastAsia" w:hAnsiTheme="minorEastAsia" w:eastAsiaTheme="minorEastAsia"/>
          <w:sz w:val="32"/>
          <w:szCs w:val="32"/>
          <w:lang w:val="en-US" w:eastAsia="zh-CN"/>
        </w:rPr>
        <w:t>2021年再就业资金80万元结转至2021年年末结转和结余。</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392.41</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392.41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312.69</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148.35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47.44</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164.35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52.56</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396.27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119.62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43.24</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财政提前下达</w:t>
      </w:r>
      <w:r>
        <w:rPr>
          <w:rFonts w:hint="eastAsia" w:asciiTheme="minorEastAsia" w:hAnsiTheme="minorEastAsia" w:eastAsiaTheme="minorEastAsia"/>
          <w:sz w:val="32"/>
          <w:szCs w:val="32"/>
          <w:lang w:val="en-US" w:eastAsia="zh-CN"/>
        </w:rPr>
        <w:t>2021年再就业资金80万元。</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396.27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119.62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43.24</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财政提前下达</w:t>
      </w:r>
      <w:r>
        <w:rPr>
          <w:rFonts w:hint="eastAsia" w:asciiTheme="minorEastAsia" w:hAnsiTheme="minorEastAsia" w:eastAsiaTheme="minorEastAsia"/>
          <w:sz w:val="32"/>
          <w:szCs w:val="32"/>
          <w:lang w:val="en-US" w:eastAsia="zh-CN"/>
        </w:rPr>
        <w:t>2021年再就业资金80万元。</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312.69</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39.9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14.63</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财政提前下达</w:t>
      </w:r>
      <w:r>
        <w:rPr>
          <w:rFonts w:hint="eastAsia" w:asciiTheme="minorEastAsia" w:hAnsiTheme="minorEastAsia" w:eastAsiaTheme="minorEastAsia"/>
          <w:sz w:val="32"/>
          <w:szCs w:val="32"/>
          <w:lang w:val="en-US" w:eastAsia="zh-CN"/>
        </w:rPr>
        <w:t>2021年再就业资金80万元结转至2021年年末结转和结余。</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312.69</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25.75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8.23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社会保障和就业</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281.51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90.03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；卫生健康</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1.47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0.47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；住房保障</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281.51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1.27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233.49</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312.69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133.92</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w:t>
      </w:r>
      <w:r>
        <w:rPr>
          <w:rFonts w:hint="eastAsia" w:asciiTheme="minorEastAsia" w:hAnsiTheme="minorEastAsia" w:eastAsiaTheme="minorEastAsia"/>
          <w:sz w:val="32"/>
          <w:szCs w:val="32"/>
          <w:lang w:eastAsia="zh-CN"/>
        </w:rPr>
        <w:t>人大事务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其他人大事务支出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211.55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25.66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12.13</w:t>
      </w:r>
      <w:r>
        <w:rPr>
          <w:rFonts w:hint="eastAsia" w:asciiTheme="minorEastAsia" w:hAnsiTheme="minorEastAsia" w:eastAsiaTheme="minorEastAsia"/>
          <w:sz w:val="32"/>
          <w:szCs w:val="32"/>
        </w:rPr>
        <w:t>%，决算数小于年初预算数的主要原因是：</w:t>
      </w:r>
      <w:r>
        <w:rPr>
          <w:rFonts w:hint="eastAsia" w:ascii="宋体" w:hAnsi="宋体" w:eastAsia="宋体"/>
          <w:sz w:val="32"/>
          <w:szCs w:val="32"/>
          <w:lang w:eastAsia="zh-CN"/>
        </w:rPr>
        <w:t>做年初预算时一般公共服务支出与社会保障和就业支出项目预算数混淆。</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一般公共服务（类）</w:t>
      </w:r>
      <w:r>
        <w:rPr>
          <w:rFonts w:hint="eastAsia" w:asciiTheme="minorEastAsia" w:hAnsiTheme="minorEastAsia" w:eastAsiaTheme="minorEastAsia"/>
          <w:sz w:val="32"/>
          <w:szCs w:val="32"/>
          <w:lang w:eastAsia="zh-CN"/>
        </w:rPr>
        <w:t>人力资源事务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其他人力资源事务支出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0.09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0.09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社会保障和就业</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行政运行支出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 xml:space="preserve"> 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109.98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109.98</w:t>
      </w:r>
      <w:r>
        <w:rPr>
          <w:rFonts w:hint="eastAsia" w:asciiTheme="minorEastAsia" w:hAnsiTheme="minorEastAsia" w:eastAsiaTheme="minorEastAsia"/>
          <w:sz w:val="32"/>
          <w:szCs w:val="32"/>
        </w:rPr>
        <w:t>%，决算数大于年初预算数的主要原因是：</w:t>
      </w:r>
      <w:r>
        <w:rPr>
          <w:rFonts w:hint="eastAsia" w:ascii="宋体" w:hAnsi="宋体" w:eastAsia="宋体"/>
          <w:sz w:val="32"/>
          <w:szCs w:val="32"/>
          <w:lang w:eastAsia="zh-CN"/>
        </w:rPr>
        <w:t>年初预算时一般公共服务支出与社会保障和就业支出项目预算数混淆。</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社会保障和就业</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）行政事业单位养老</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机关事业单位基本养老保险缴费支出</w:t>
      </w:r>
      <w:r>
        <w:rPr>
          <w:rFonts w:hint="eastAsia" w:asciiTheme="minorEastAsia" w:hAnsiTheme="minorEastAsia" w:eastAsiaTheme="minorEastAsia"/>
          <w:sz w:val="32"/>
          <w:szCs w:val="32"/>
        </w:rPr>
        <w:t>（项）。</w:t>
      </w:r>
    </w:p>
    <w:p>
      <w:pPr>
        <w:pStyle w:val="9"/>
        <w:ind w:firstLine="800" w:firstLineChars="250"/>
        <w:rPr>
          <w:rFonts w:hint="eastAsia" w:eastAsia="宋体" w:asciiTheme="minorEastAsia" w:hAnsi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9.8</w:t>
      </w:r>
      <w:r>
        <w:rPr>
          <w:rFonts w:hint="eastAsia" w:asciiTheme="minorEastAsia" w:hAnsiTheme="minorEastAsia" w:eastAsiaTheme="minorEastAsia"/>
          <w:sz w:val="32"/>
          <w:szCs w:val="32"/>
        </w:rPr>
        <w:t>万元，支出决算</w:t>
      </w:r>
      <w:r>
        <w:rPr>
          <w:rFonts w:hint="eastAsia" w:asciiTheme="minorEastAsia" w:hAnsiTheme="minorEastAsia" w:eastAsiaTheme="minorEastAsia"/>
          <w:sz w:val="32"/>
          <w:szCs w:val="32"/>
          <w:lang w:val="en-US" w:eastAsia="zh-CN"/>
        </w:rPr>
        <w:t>8.66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88.37</w:t>
      </w:r>
      <w:r>
        <w:rPr>
          <w:rFonts w:hint="eastAsia" w:asciiTheme="minorEastAsia" w:hAnsiTheme="minorEastAsia" w:eastAsiaTheme="minorEastAsia"/>
          <w:sz w:val="32"/>
          <w:szCs w:val="32"/>
        </w:rPr>
        <w:t>%，决算数小于年初预算数的主要原因是：</w:t>
      </w:r>
      <w:r>
        <w:rPr>
          <w:rFonts w:hint="eastAsia" w:ascii="宋体" w:hAnsi="宋体" w:eastAsia="宋体"/>
          <w:sz w:val="32"/>
          <w:szCs w:val="32"/>
        </w:rPr>
        <w:t>根据</w:t>
      </w:r>
      <w:r>
        <w:rPr>
          <w:rFonts w:hint="eastAsia" w:ascii="宋体" w:hAnsi="宋体" w:eastAsia="宋体"/>
          <w:sz w:val="32"/>
          <w:szCs w:val="32"/>
          <w:lang w:eastAsia="zh-CN"/>
        </w:rPr>
        <w:t>当年</w:t>
      </w:r>
      <w:r>
        <w:rPr>
          <w:rFonts w:hint="eastAsia" w:ascii="宋体" w:hAnsi="宋体" w:eastAsia="宋体"/>
          <w:sz w:val="32"/>
          <w:szCs w:val="32"/>
        </w:rPr>
        <w:t>实际开支减少</w:t>
      </w:r>
      <w:r>
        <w:rPr>
          <w:rFonts w:hint="eastAsia" w:ascii="宋体" w:hAnsi="宋体" w:eastAsia="宋体"/>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社会保障和就业</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行政运行支出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162.88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162.88</w:t>
      </w:r>
      <w:r>
        <w:rPr>
          <w:rFonts w:hint="eastAsia" w:asciiTheme="minorEastAsia" w:hAnsiTheme="minorEastAsia" w:eastAsiaTheme="minorEastAsia"/>
          <w:sz w:val="32"/>
          <w:szCs w:val="32"/>
        </w:rPr>
        <w:t>%，决算数大于年初预算数的主要原因是：</w:t>
      </w:r>
      <w:r>
        <w:rPr>
          <w:rFonts w:hint="eastAsia" w:ascii="宋体" w:hAnsi="宋体" w:eastAsia="宋体"/>
          <w:sz w:val="32"/>
          <w:szCs w:val="32"/>
          <w:lang w:eastAsia="zh-CN"/>
        </w:rPr>
        <w:t>年初预算时一般公共服务支出与社会保障和就业支出项目预算数混淆。</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卫生健康</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公共卫生</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突发公共卫生事件应急处理支出</w:t>
      </w:r>
      <w:r>
        <w:rPr>
          <w:rFonts w:hint="eastAsia" w:asciiTheme="minorEastAsia" w:hAnsiTheme="minorEastAsia" w:eastAsiaTheme="minorEastAsia"/>
          <w:sz w:val="32"/>
          <w:szCs w:val="32"/>
        </w:rPr>
        <w:t>（项）。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4.72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1.47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31.14</w:t>
      </w:r>
      <w:r>
        <w:rPr>
          <w:rFonts w:hint="eastAsia" w:asciiTheme="minorEastAsia" w:hAnsiTheme="minorEastAsia" w:eastAsiaTheme="minorEastAsia"/>
          <w:sz w:val="32"/>
          <w:szCs w:val="32"/>
        </w:rPr>
        <w:t>%，决算数小于年初预算数的主要原因是：</w:t>
      </w:r>
      <w:r>
        <w:rPr>
          <w:rFonts w:hint="eastAsia" w:ascii="宋体" w:hAnsi="宋体" w:eastAsia="宋体"/>
          <w:sz w:val="32"/>
          <w:szCs w:val="32"/>
        </w:rPr>
        <w:t>根据</w:t>
      </w:r>
      <w:r>
        <w:rPr>
          <w:rFonts w:hint="eastAsia" w:ascii="宋体" w:hAnsi="宋体" w:eastAsia="宋体"/>
          <w:sz w:val="32"/>
          <w:szCs w:val="32"/>
          <w:lang w:eastAsia="zh-CN"/>
        </w:rPr>
        <w:t>当年</w:t>
      </w:r>
      <w:r>
        <w:rPr>
          <w:rFonts w:hint="eastAsia" w:ascii="宋体" w:hAnsi="宋体" w:eastAsia="宋体"/>
          <w:sz w:val="32"/>
          <w:szCs w:val="32"/>
        </w:rPr>
        <w:t>实际开支减少</w:t>
      </w:r>
      <w:r>
        <w:rPr>
          <w:rFonts w:hint="eastAsia" w:ascii="宋体" w:hAnsi="宋体" w:eastAsia="宋体"/>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住房保障</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住房改革</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住房公积金支出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7.33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3.96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54.02</w:t>
      </w:r>
      <w:r>
        <w:rPr>
          <w:rFonts w:hint="eastAsia" w:asciiTheme="minorEastAsia" w:hAnsiTheme="minorEastAsia" w:eastAsiaTheme="minorEastAsia"/>
          <w:sz w:val="32"/>
          <w:szCs w:val="32"/>
        </w:rPr>
        <w:t>%，决算数小于年初预算数的主要原因是：</w:t>
      </w:r>
      <w:r>
        <w:rPr>
          <w:rFonts w:hint="eastAsia" w:ascii="宋体" w:hAnsi="宋体" w:eastAsia="宋体"/>
          <w:sz w:val="32"/>
          <w:szCs w:val="32"/>
        </w:rPr>
        <w:t>根据</w:t>
      </w:r>
      <w:r>
        <w:rPr>
          <w:rFonts w:hint="eastAsia" w:ascii="宋体" w:hAnsi="宋体" w:eastAsia="宋体"/>
          <w:sz w:val="32"/>
          <w:szCs w:val="32"/>
          <w:lang w:eastAsia="zh-CN"/>
        </w:rPr>
        <w:t>当年</w:t>
      </w:r>
      <w:r>
        <w:rPr>
          <w:rFonts w:hint="eastAsia" w:ascii="宋体" w:hAnsi="宋体" w:eastAsia="宋体"/>
          <w:sz w:val="32"/>
          <w:szCs w:val="32"/>
        </w:rPr>
        <w:t>实际开支减少</w:t>
      </w:r>
      <w:r>
        <w:rPr>
          <w:rFonts w:hint="eastAsia" w:ascii="宋体" w:hAnsi="宋体" w:eastAsia="宋体"/>
          <w:sz w:val="32"/>
          <w:szCs w:val="32"/>
          <w:lang w:eastAsia="zh-CN"/>
        </w:rPr>
        <w:t>。</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148.34</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113.94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76.81</w:t>
      </w:r>
      <w:r>
        <w:rPr>
          <w:rFonts w:hint="eastAsia" w:asciiTheme="minorEastAsia" w:hAnsiTheme="minorEastAsia" w:eastAsiaTheme="minorEastAsia"/>
          <w:sz w:val="32"/>
          <w:szCs w:val="32"/>
        </w:rPr>
        <w:t>%,主要包括基本工资</w:t>
      </w:r>
      <w:r>
        <w:rPr>
          <w:rFonts w:hint="eastAsia" w:asciiTheme="minorEastAsia" w:hAnsiTheme="minorEastAsia" w:eastAsiaTheme="minorEastAsia"/>
          <w:sz w:val="32"/>
          <w:szCs w:val="32"/>
          <w:lang w:val="en-US" w:eastAsia="zh-CN"/>
        </w:rPr>
        <w:t>46.03万元</w:t>
      </w:r>
      <w:r>
        <w:rPr>
          <w:rFonts w:hint="eastAsia" w:asciiTheme="minorEastAsia" w:hAnsiTheme="minorEastAsia" w:eastAsiaTheme="minorEastAsia"/>
          <w:sz w:val="32"/>
          <w:szCs w:val="32"/>
        </w:rPr>
        <w:t>、津贴补贴</w:t>
      </w:r>
      <w:r>
        <w:rPr>
          <w:rFonts w:hint="eastAsia" w:asciiTheme="minorEastAsia" w:hAnsiTheme="minorEastAsia" w:eastAsiaTheme="minorEastAsia"/>
          <w:sz w:val="32"/>
          <w:szCs w:val="32"/>
          <w:lang w:val="en-US" w:eastAsia="zh-CN"/>
        </w:rPr>
        <w:t>0.22万元</w:t>
      </w:r>
      <w:r>
        <w:rPr>
          <w:rFonts w:hint="eastAsia" w:asciiTheme="minorEastAsia" w:hAnsiTheme="minorEastAsia" w:eastAsiaTheme="minorEastAsia"/>
          <w:sz w:val="32"/>
          <w:szCs w:val="32"/>
        </w:rPr>
        <w:t>、奖金</w:t>
      </w:r>
      <w:r>
        <w:rPr>
          <w:rFonts w:hint="eastAsia" w:asciiTheme="minorEastAsia" w:hAnsiTheme="minorEastAsia" w:eastAsiaTheme="minorEastAsia"/>
          <w:sz w:val="32"/>
          <w:szCs w:val="32"/>
          <w:lang w:val="en-US" w:eastAsia="zh-CN"/>
        </w:rPr>
        <w:t>16.99万元</w:t>
      </w:r>
      <w:r>
        <w:rPr>
          <w:rFonts w:hint="eastAsia" w:asciiTheme="minorEastAsia" w:hAnsiTheme="minorEastAsia" w:eastAsiaTheme="minorEastAsia"/>
          <w:sz w:val="32"/>
          <w:szCs w:val="32"/>
        </w:rPr>
        <w:t>、伙食补助费</w:t>
      </w:r>
      <w:r>
        <w:rPr>
          <w:rFonts w:hint="eastAsia" w:asciiTheme="minorEastAsia" w:hAnsiTheme="minorEastAsia" w:eastAsiaTheme="minorEastAsia"/>
          <w:sz w:val="32"/>
          <w:szCs w:val="32"/>
          <w:lang w:val="en-US" w:eastAsia="zh-CN"/>
        </w:rPr>
        <w:t>2.97万元</w:t>
      </w:r>
      <w:r>
        <w:rPr>
          <w:rFonts w:hint="eastAsia" w:asciiTheme="minorEastAsia" w:hAnsiTheme="minorEastAsia" w:eastAsiaTheme="minorEastAsia"/>
          <w:sz w:val="32"/>
          <w:szCs w:val="32"/>
          <w:lang w:eastAsia="zh-CN"/>
        </w:rPr>
        <w:t>、绩效工资</w:t>
      </w:r>
      <w:r>
        <w:rPr>
          <w:rFonts w:hint="eastAsia" w:asciiTheme="minorEastAsia" w:hAnsiTheme="minorEastAsia" w:eastAsiaTheme="minorEastAsia"/>
          <w:sz w:val="32"/>
          <w:szCs w:val="32"/>
          <w:lang w:val="en-US" w:eastAsia="zh-CN"/>
        </w:rPr>
        <w:t>22.57万元、</w:t>
      </w:r>
      <w:r>
        <w:rPr>
          <w:rFonts w:hint="eastAsia" w:asciiTheme="minorEastAsia" w:hAnsiTheme="minorEastAsia" w:eastAsiaTheme="minorEastAsia"/>
          <w:sz w:val="32"/>
          <w:szCs w:val="32"/>
          <w:lang w:eastAsia="zh-CN"/>
        </w:rPr>
        <w:t>机关事业单位基本养老保险缴费</w:t>
      </w:r>
      <w:r>
        <w:rPr>
          <w:rFonts w:hint="eastAsia" w:asciiTheme="minorEastAsia" w:hAnsiTheme="minorEastAsia" w:eastAsiaTheme="minorEastAsia"/>
          <w:sz w:val="32"/>
          <w:szCs w:val="32"/>
          <w:lang w:val="en-US" w:eastAsia="zh-CN"/>
        </w:rPr>
        <w:t>8.66万元、职工基本医疗保险缴费4.23万元、其他社会保障缴费0.94万元、住房公积金3.96万元、其他工资福利支出1.47万元、生活补助5.63万元、奖励金0.3万元</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34.4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23.19</w:t>
      </w:r>
      <w:r>
        <w:rPr>
          <w:rFonts w:hint="eastAsia" w:asciiTheme="minorEastAsia" w:hAnsiTheme="minorEastAsia" w:eastAsiaTheme="minorEastAsia"/>
          <w:sz w:val="32"/>
          <w:szCs w:val="32"/>
        </w:rPr>
        <w:t>%，主要包括办公费</w:t>
      </w:r>
      <w:r>
        <w:rPr>
          <w:rFonts w:hint="eastAsia" w:asciiTheme="minorEastAsia" w:hAnsiTheme="minorEastAsia" w:eastAsiaTheme="minorEastAsia"/>
          <w:sz w:val="32"/>
          <w:szCs w:val="32"/>
          <w:lang w:val="en-US" w:eastAsia="zh-CN"/>
        </w:rPr>
        <w:t>2.43万元</w:t>
      </w:r>
      <w:r>
        <w:rPr>
          <w:rFonts w:hint="eastAsia" w:asciiTheme="minorEastAsia" w:hAnsiTheme="minorEastAsia" w:eastAsiaTheme="minorEastAsia"/>
          <w:sz w:val="32"/>
          <w:szCs w:val="32"/>
        </w:rPr>
        <w:t>、印刷费</w:t>
      </w:r>
      <w:r>
        <w:rPr>
          <w:rFonts w:hint="eastAsia" w:asciiTheme="minorEastAsia" w:hAnsiTheme="minorEastAsia" w:eastAsiaTheme="minorEastAsia"/>
          <w:sz w:val="32"/>
          <w:szCs w:val="32"/>
          <w:lang w:val="en-US" w:eastAsia="zh-CN"/>
        </w:rPr>
        <w:t>0.04万元</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咨询费</w:t>
      </w:r>
      <w:r>
        <w:rPr>
          <w:rFonts w:hint="eastAsia" w:asciiTheme="minorEastAsia" w:hAnsiTheme="minorEastAsia" w:eastAsiaTheme="minorEastAsia"/>
          <w:sz w:val="32"/>
          <w:szCs w:val="32"/>
          <w:lang w:val="en-US" w:eastAsia="zh-CN"/>
        </w:rPr>
        <w:t>2.22万元、</w:t>
      </w:r>
      <w:r>
        <w:rPr>
          <w:rFonts w:hint="eastAsia" w:asciiTheme="minorEastAsia" w:hAnsiTheme="minorEastAsia" w:eastAsiaTheme="minorEastAsia"/>
          <w:sz w:val="32"/>
          <w:szCs w:val="32"/>
          <w:lang w:eastAsia="zh-CN"/>
        </w:rPr>
        <w:t>水费</w:t>
      </w:r>
      <w:r>
        <w:rPr>
          <w:rFonts w:hint="eastAsia" w:asciiTheme="minorEastAsia" w:hAnsiTheme="minorEastAsia" w:eastAsiaTheme="minorEastAsia"/>
          <w:sz w:val="32"/>
          <w:szCs w:val="32"/>
          <w:lang w:val="en-US" w:eastAsia="zh-CN"/>
        </w:rPr>
        <w:t>0.15万元、电费0.68万元、邮电费0.56万元、差旅费1.63万元、维修（护）费0.08万元、租赁费20万元、劳务费0.02万元、工会经费3.93万元、其他交通费用0.05万元、其他商品和服务支出2.63万元。</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等于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eastAsia="zh-CN"/>
        </w:rPr>
        <w:t>本单位没有发生</w:t>
      </w:r>
      <w:r>
        <w:rPr>
          <w:rFonts w:hint="eastAsia" w:asciiTheme="minorEastAsia" w:hAnsiTheme="minorEastAsia" w:eastAsiaTheme="minorEastAsia"/>
          <w:sz w:val="32"/>
          <w:szCs w:val="32"/>
        </w:rPr>
        <w:t>因公出国（境）费支出，与上年相比</w:t>
      </w:r>
      <w:r>
        <w:rPr>
          <w:rFonts w:hint="eastAsia" w:asciiTheme="minorEastAsia" w:hAnsiTheme="minorEastAsia" w:eastAsiaTheme="minorEastAsia"/>
          <w:sz w:val="32"/>
          <w:szCs w:val="32"/>
          <w:lang w:eastAsia="zh-CN"/>
        </w:rPr>
        <w:t>无增减</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本单位没有发生公务接待支出</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1.25</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156.25</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无公务接待支出</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等于</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是本单位没有发生</w:t>
      </w:r>
      <w:r>
        <w:rPr>
          <w:rFonts w:hint="eastAsia" w:asciiTheme="minorEastAsia" w:hAnsiTheme="minorEastAsia" w:eastAsiaTheme="minorEastAsia"/>
          <w:sz w:val="32"/>
          <w:szCs w:val="32"/>
        </w:rPr>
        <w:t>公务用车购置费及运行维护费支出，与上年相比</w:t>
      </w:r>
      <w:r>
        <w:rPr>
          <w:rFonts w:hint="eastAsia" w:asciiTheme="minorEastAsia" w:hAnsiTheme="minorEastAsia" w:eastAsiaTheme="minorEastAsia"/>
          <w:sz w:val="32"/>
          <w:szCs w:val="32"/>
          <w:lang w:eastAsia="zh-CN"/>
        </w:rPr>
        <w:t>无增减</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ind w:firstLine="640" w:firstLineChars="200"/>
        <w:rPr>
          <w:rFonts w:hint="eastAsia" w:asciiTheme="minorEastAsia" w:hAnsiTheme="minorEastAsia" w:eastAsiaTheme="minorEastAsia"/>
          <w:b/>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人次,开支内容包括：</w:t>
      </w:r>
      <w:r>
        <w:rPr>
          <w:rFonts w:hint="eastAsia" w:asciiTheme="minorEastAsia" w:hAnsiTheme="minorEastAsia" w:eastAsiaTheme="minorEastAsia"/>
          <w:sz w:val="32"/>
          <w:szCs w:val="32"/>
          <w:lang w:eastAsia="zh-CN"/>
        </w:rPr>
        <w:t>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eastAsia="zh-CN"/>
        </w:rPr>
        <w:t>没有</w:t>
      </w:r>
      <w:r>
        <w:rPr>
          <w:rFonts w:hint="eastAsia" w:asciiTheme="minorEastAsia" w:hAnsiTheme="minorEastAsia" w:eastAsiaTheme="minorEastAsia"/>
          <w:sz w:val="32"/>
          <w:szCs w:val="32"/>
        </w:rPr>
        <w:t>发生</w:t>
      </w:r>
      <w:r>
        <w:rPr>
          <w:rFonts w:hint="eastAsia" w:asciiTheme="minorEastAsia" w:hAnsiTheme="minorEastAsia" w:eastAsiaTheme="minorEastAsia"/>
          <w:sz w:val="32"/>
          <w:szCs w:val="32"/>
          <w:lang w:eastAsia="zh-CN"/>
        </w:rPr>
        <w:t>公务</w:t>
      </w:r>
      <w:r>
        <w:rPr>
          <w:rFonts w:hint="eastAsia" w:asciiTheme="minorEastAsia" w:hAnsiTheme="minorEastAsia" w:eastAsiaTheme="minorEastAsia"/>
          <w:sz w:val="32"/>
          <w:szCs w:val="32"/>
        </w:rPr>
        <w:t>接待支出。</w:t>
      </w:r>
    </w:p>
    <w:p>
      <w:pPr>
        <w:ind w:firstLine="640" w:firstLineChars="20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eastAsia="zh-CN"/>
        </w:rPr>
        <w:t>区人力资源服务中心</w:t>
      </w:r>
      <w:r>
        <w:rPr>
          <w:rFonts w:hint="eastAsia" w:asciiTheme="minorEastAsia" w:hAnsiTheme="minorEastAsia"/>
          <w:sz w:val="32"/>
          <w:szCs w:val="32"/>
        </w:rPr>
        <w:t>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万元，主要是</w:t>
      </w:r>
      <w:r>
        <w:rPr>
          <w:rFonts w:hint="eastAsia" w:asciiTheme="minorEastAsia" w:hAnsiTheme="minorEastAsia"/>
          <w:sz w:val="32"/>
          <w:szCs w:val="32"/>
          <w:lang w:eastAsia="zh-CN"/>
        </w:rPr>
        <w:t>没有发生</w:t>
      </w:r>
      <w:r>
        <w:rPr>
          <w:rFonts w:hint="eastAsia" w:asciiTheme="minorEastAsia" w:hAnsiTheme="minorEastAsia"/>
          <w:sz w:val="32"/>
          <w:szCs w:val="32"/>
        </w:rPr>
        <w:t>支出，截止2020年12月31日，我单位开支财政拨款的公务用车保有量为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宋体" w:hAnsi="宋体" w:eastAsia="宋体"/>
          <w:sz w:val="32"/>
          <w:szCs w:val="32"/>
          <w:lang w:eastAsia="zh-CN"/>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宋体" w:hAnsi="宋体" w:eastAsia="宋体"/>
          <w:sz w:val="32"/>
          <w:szCs w:val="32"/>
          <w:lang w:eastAsia="zh-CN"/>
        </w:rPr>
        <w:t>（本单位无政府性基金收支）</w:t>
      </w:r>
    </w:p>
    <w:p>
      <w:pPr>
        <w:pStyle w:val="9"/>
        <w:rPr>
          <w:rFonts w:hAnsi="黑体"/>
          <w:b/>
          <w:sz w:val="32"/>
          <w:szCs w:val="32"/>
        </w:rPr>
      </w:pPr>
      <w:r>
        <w:rPr>
          <w:rFonts w:hint="eastAsia" w:hAnsi="黑体"/>
          <w:b/>
          <w:sz w:val="32"/>
          <w:szCs w:val="32"/>
        </w:rPr>
        <w:t>九、关于机关运行经费支出说明</w:t>
      </w:r>
    </w:p>
    <w:p>
      <w:pPr>
        <w:ind w:firstLine="640" w:firstLineChars="200"/>
        <w:rPr>
          <w:rFonts w:hint="eastAsia" w:ascii="宋体" w:hAnsi="宋体" w:eastAsia="宋体" w:cs="黑体"/>
          <w:color w:val="000000"/>
          <w:kern w:val="0"/>
          <w:sz w:val="32"/>
          <w:szCs w:val="32"/>
          <w:lang w:val="en-US" w:eastAsia="zh-CN"/>
        </w:rPr>
      </w:pPr>
      <w:r>
        <w:rPr>
          <w:rFonts w:hint="eastAsia" w:ascii="宋体" w:hAnsi="宋体" w:eastAsia="宋体" w:cs="宋体"/>
          <w:sz w:val="32"/>
          <w:szCs w:val="32"/>
        </w:rPr>
        <w:t>本部门20</w:t>
      </w:r>
      <w:r>
        <w:rPr>
          <w:rFonts w:hint="eastAsia" w:ascii="宋体" w:hAnsi="宋体" w:eastAsia="宋体" w:cs="宋体"/>
          <w:sz w:val="32"/>
          <w:szCs w:val="32"/>
          <w:lang w:val="en-US" w:eastAsia="zh-CN"/>
        </w:rPr>
        <w:t>20</w:t>
      </w:r>
      <w:r>
        <w:rPr>
          <w:rFonts w:hint="eastAsia" w:ascii="宋体" w:hAnsi="宋体" w:eastAsia="宋体" w:cs="宋体"/>
          <w:sz w:val="32"/>
          <w:szCs w:val="32"/>
        </w:rPr>
        <w:t>年度机关运行经费支出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w:t>
      </w:r>
      <w:r>
        <w:rPr>
          <w:rFonts w:hint="eastAsia" w:ascii="宋体" w:hAnsi="宋体" w:eastAsia="宋体" w:cs="黑体"/>
          <w:color w:val="000000"/>
          <w:kern w:val="0"/>
          <w:sz w:val="32"/>
          <w:szCs w:val="32"/>
        </w:rPr>
        <w:t>机关运行经费是行政或参公才有，事业单位无此一说</w:t>
      </w:r>
      <w:r>
        <w:rPr>
          <w:rFonts w:hint="eastAsia" w:ascii="宋体" w:hAnsi="宋体" w:eastAsia="宋体" w:cs="黑体"/>
          <w:color w:val="000000"/>
          <w:kern w:val="0"/>
          <w:sz w:val="32"/>
          <w:szCs w:val="32"/>
          <w:lang w:eastAsia="zh-CN"/>
        </w:rPr>
        <w:t>。</w:t>
      </w:r>
    </w:p>
    <w:p>
      <w:pPr>
        <w:pStyle w:val="9"/>
        <w:rPr>
          <w:rFonts w:hAnsi="黑体"/>
          <w:b/>
          <w:sz w:val="32"/>
          <w:szCs w:val="32"/>
        </w:rPr>
      </w:pPr>
      <w:r>
        <w:rPr>
          <w:rFonts w:hint="eastAsia" w:hAnsi="黑体"/>
          <w:b/>
          <w:sz w:val="32"/>
          <w:szCs w:val="32"/>
        </w:rPr>
        <w:t>十、一般性支出情况</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w:t>
      </w:r>
      <w:r>
        <w:rPr>
          <w:rFonts w:hint="eastAsia" w:asciiTheme="minorEastAsia" w:hAnsiTheme="minorEastAsia" w:eastAsiaTheme="minorEastAsia"/>
          <w:sz w:val="32"/>
          <w:szCs w:val="32"/>
          <w:lang w:eastAsia="zh-CN"/>
        </w:rPr>
        <w:t>，本年度没有召开相关</w:t>
      </w:r>
      <w:r>
        <w:rPr>
          <w:rFonts w:hint="eastAsia" w:asciiTheme="minorEastAsia" w:hAnsiTheme="minorEastAsia" w:eastAsiaTheme="minorEastAsia"/>
          <w:sz w:val="32"/>
          <w:szCs w:val="32"/>
        </w:rPr>
        <w:t>会议；开支培训费</w:t>
      </w:r>
      <w:r>
        <w:rPr>
          <w:rFonts w:hint="eastAsia" w:asciiTheme="minorEastAsia" w:hAnsiTheme="minorEastAsia" w:eastAsiaTheme="minorEastAsia"/>
          <w:sz w:val="32"/>
          <w:szCs w:val="32"/>
          <w:lang w:val="en-US" w:eastAsia="zh-CN"/>
        </w:rPr>
        <w:t>4.2</w:t>
      </w:r>
      <w:r>
        <w:rPr>
          <w:rFonts w:hint="eastAsia" w:asciiTheme="minorEastAsia" w:hAnsiTheme="minorEastAsia" w:eastAsiaTheme="minorEastAsia"/>
          <w:sz w:val="32"/>
          <w:szCs w:val="32"/>
        </w:rPr>
        <w:t>万元，用于开展</w:t>
      </w:r>
      <w:r>
        <w:rPr>
          <w:rFonts w:hint="eastAsia" w:asciiTheme="minorEastAsia" w:hAnsiTheme="minorEastAsia" w:eastAsiaTheme="minorEastAsia"/>
          <w:sz w:val="32"/>
          <w:szCs w:val="32"/>
          <w:lang w:eastAsia="zh-CN"/>
        </w:rPr>
        <w:t>就业指导讲座和企业恳谈会培训</w:t>
      </w:r>
      <w:r>
        <w:rPr>
          <w:rFonts w:hint="eastAsia" w:asciiTheme="minorEastAsia" w:hAnsiTheme="minorEastAsia" w:eastAsiaTheme="minorEastAsia"/>
          <w:sz w:val="32"/>
          <w:szCs w:val="32"/>
        </w:rPr>
        <w:t>，人数</w:t>
      </w:r>
      <w:r>
        <w:rPr>
          <w:rFonts w:hint="eastAsia" w:asciiTheme="minorEastAsia" w:hAnsiTheme="minorEastAsia" w:eastAsiaTheme="minorEastAsia"/>
          <w:sz w:val="32"/>
          <w:szCs w:val="32"/>
          <w:lang w:val="en-US" w:eastAsia="zh-CN"/>
        </w:rPr>
        <w:t>2053</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eastAsia="zh-CN"/>
        </w:rPr>
        <w:t>怀化职业技术学院开展</w:t>
      </w:r>
      <w:r>
        <w:rPr>
          <w:rFonts w:hint="eastAsia" w:asciiTheme="minorEastAsia" w:hAnsiTheme="minorEastAsia" w:eastAsiaTheme="minorEastAsia"/>
          <w:sz w:val="32"/>
          <w:szCs w:val="32"/>
          <w:lang w:val="en-US" w:eastAsia="zh-CN"/>
        </w:rPr>
        <w:t>2021届毕业生就业指导讲座，提升大学生的就业意识和竞争力，切实做好应届毕业生就业工作，专家就业指导讲座指导费预算24000元、宣传资料预算8000元</w:t>
      </w:r>
      <w:r>
        <w:rPr>
          <w:rFonts w:hint="eastAsia" w:asciiTheme="minorEastAsia" w:hAnsiTheme="minorEastAsia" w:eastAsiaTheme="minorEastAsia"/>
          <w:sz w:val="32"/>
          <w:szCs w:val="32"/>
          <w:lang w:eastAsia="zh-CN"/>
        </w:rPr>
        <w:t>；</w:t>
      </w:r>
      <w:r>
        <w:rPr>
          <w:rFonts w:hint="eastAsia" w:ascii="宋体" w:hAnsi="宋体" w:cs="黑体"/>
          <w:color w:val="000000"/>
          <w:kern w:val="0"/>
          <w:sz w:val="32"/>
          <w:szCs w:val="32"/>
          <w:lang w:eastAsia="zh-CN"/>
        </w:rPr>
        <w:t>鹤城区民营</w:t>
      </w:r>
      <w:r>
        <w:rPr>
          <w:rFonts w:hint="eastAsia" w:ascii="宋体" w:cs="黑体"/>
          <w:color w:val="000000"/>
          <w:kern w:val="0"/>
          <w:sz w:val="32"/>
          <w:szCs w:val="32"/>
          <w:lang w:eastAsia="zh-CN"/>
        </w:rPr>
        <w:t>企业恳谈会，与企业共解用工难题，共商发展良策，会场布置、资料、工作餐、矿泉水等预算</w:t>
      </w:r>
      <w:r>
        <w:rPr>
          <w:rFonts w:hint="eastAsia" w:ascii="宋体" w:cs="黑体"/>
          <w:color w:val="000000"/>
          <w:kern w:val="0"/>
          <w:sz w:val="32"/>
          <w:szCs w:val="32"/>
          <w:lang w:val="en-US" w:eastAsia="zh-CN"/>
        </w:rPr>
        <w:t>2.5万元。</w:t>
      </w:r>
      <w:r>
        <w:rPr>
          <w:rFonts w:hint="eastAsia" w:asciiTheme="minorEastAsia" w:hAnsiTheme="minorEastAsia" w:eastAsiaTheme="minorEastAsia"/>
          <w:sz w:val="32"/>
          <w:szCs w:val="32"/>
        </w:rPr>
        <w:t>举办等节庆、晚会、论坛、赛事活动，开支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万元，主要是</w:t>
      </w:r>
      <w:r>
        <w:rPr>
          <w:rFonts w:hint="eastAsia" w:asciiTheme="minorEastAsia" w:hAnsiTheme="minorEastAsia" w:eastAsiaTheme="minorEastAsia"/>
          <w:sz w:val="32"/>
          <w:szCs w:val="32"/>
          <w:lang w:eastAsia="zh-CN"/>
        </w:rPr>
        <w:t>没有这方面的支出。</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eastAsia="zh-CN"/>
        </w:rPr>
        <w:t>无</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十三、关于2020年度预算绩效情况的说明</w:t>
      </w:r>
    </w:p>
    <w:p>
      <w:pPr>
        <w:pStyle w:val="9"/>
        <w:rPr>
          <w:rFonts w:hint="eastAsia" w:hAnsi="黑体" w:eastAsiaTheme="minorEastAsia"/>
          <w:b/>
          <w:sz w:val="32"/>
          <w:szCs w:val="32"/>
          <w:lang w:val="en-US" w:eastAsia="zh-CN"/>
        </w:rPr>
      </w:pPr>
      <w:r>
        <w:rPr>
          <w:rFonts w:hint="eastAsia" w:asciiTheme="minorEastAsia" w:hAnsiTheme="minorEastAsia" w:eastAsiaTheme="minorEastAsia"/>
          <w:sz w:val="32"/>
          <w:szCs w:val="32"/>
        </w:rPr>
        <w:t>本部门预算绩效管理开展情况、绩效目标和绩效评价报告</w:t>
      </w:r>
      <w:r>
        <w:rPr>
          <w:rFonts w:hint="eastAsia" w:asciiTheme="minorEastAsia" w:hAnsiTheme="minorEastAsia" w:eastAsiaTheme="minorEastAsia"/>
          <w:sz w:val="32"/>
          <w:szCs w:val="32"/>
          <w:lang w:eastAsia="zh-CN"/>
        </w:rPr>
        <w:t>附后。</w:t>
      </w:r>
    </w:p>
    <w:p>
      <w:pPr>
        <w:pStyle w:val="9"/>
        <w:jc w:val="center"/>
        <w:rPr>
          <w:sz w:val="72"/>
          <w:szCs w:val="72"/>
        </w:rPr>
      </w:pPr>
    </w:p>
    <w:p>
      <w:pPr>
        <w:pStyle w:val="9"/>
        <w:jc w:val="center"/>
        <w:rPr>
          <w:sz w:val="72"/>
          <w:szCs w:val="72"/>
        </w:rPr>
      </w:pPr>
    </w:p>
    <w:p>
      <w:pPr>
        <w:pStyle w:val="9"/>
        <w:jc w:val="center"/>
        <w:rPr>
          <w:sz w:val="72"/>
          <w:szCs w:val="72"/>
        </w:rPr>
      </w:pPr>
      <w:bookmarkStart w:id="0" w:name="_GoBack"/>
      <w:bookmarkEnd w:id="0"/>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cs="黑体" w:asciiTheme="minorEastAsia" w:hAnsiTheme="minorEastAsia"/>
          <w:color w:val="000000"/>
          <w:kern w:val="0"/>
          <w:sz w:val="32"/>
          <w:szCs w:val="32"/>
        </w:rPr>
      </w:pPr>
      <w:r>
        <w:rPr>
          <w:rFonts w:ascii="黑体" w:eastAsia="黑体" w:cs="黑体"/>
          <w:color w:val="000000"/>
          <w:kern w:val="0"/>
          <w:sz w:val="70"/>
          <w:szCs w:val="70"/>
        </w:rPr>
        <w:br w:type="page"/>
      </w: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both"/>
        <w:rPr>
          <w:sz w:val="72"/>
          <w:szCs w:val="72"/>
        </w:rPr>
      </w:pPr>
    </w:p>
    <w:p>
      <w:pPr>
        <w:pStyle w:val="9"/>
        <w:jc w:val="center"/>
        <w:rPr>
          <w:sz w:val="72"/>
          <w:szCs w:val="72"/>
        </w:rPr>
      </w:pPr>
    </w:p>
    <w:p>
      <w:pPr>
        <w:pStyle w:val="9"/>
        <w:jc w:val="both"/>
        <w:rPr>
          <w:sz w:val="72"/>
          <w:szCs w:val="72"/>
        </w:rPr>
      </w:pPr>
    </w:p>
    <w:p>
      <w:pPr>
        <w:pStyle w:val="9"/>
        <w:jc w:val="both"/>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widowControl/>
        <w:numPr>
          <w:ilvl w:val="0"/>
          <w:numId w:val="2"/>
        </w:numPr>
        <w:spacing w:line="600" w:lineRule="exact"/>
        <w:ind w:left="640" w:firstLine="0" w:firstLineChars="0"/>
        <w:jc w:val="both"/>
        <w:rPr>
          <w:rFonts w:ascii="Times New Roman" w:hAnsi="Times New Roman" w:eastAsia="黑体" w:cs="Times New Roman"/>
          <w:b/>
          <w:bCs/>
          <w:kern w:val="2"/>
          <w:sz w:val="32"/>
          <w:szCs w:val="32"/>
          <w:lang w:val="en-US" w:eastAsia="zh-CN" w:bidi="ar-SA"/>
        </w:rPr>
      </w:pPr>
      <w:r>
        <w:rPr>
          <w:rFonts w:ascii="Times New Roman" w:hAnsi="Times New Roman" w:eastAsia="黑体" w:cs="Times New Roman"/>
          <w:b/>
          <w:bCs/>
          <w:kern w:val="2"/>
          <w:sz w:val="32"/>
          <w:szCs w:val="32"/>
          <w:lang w:val="en-US" w:eastAsia="zh-CN" w:bidi="ar-SA"/>
        </w:rPr>
        <w:t>部门、单位基本情况</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（一）部门职责</w:t>
      </w:r>
    </w:p>
    <w:p>
      <w:pPr>
        <w:ind w:firstLine="640" w:firstLineChars="200"/>
        <w:rPr>
          <w:rFonts w:hint="eastAsia" w:ascii="仿宋_GB2312" w:hAnsi="Times New Roman" w:eastAsia="仿宋_GB2312" w:cs="Times New Roman"/>
          <w:sz w:val="32"/>
          <w:szCs w:val="32"/>
        </w:rPr>
      </w:pPr>
      <w:r>
        <w:rPr>
          <w:rFonts w:hint="eastAsia" w:ascii="仿宋_GB2312" w:hAnsi="宋体" w:eastAsia="仿宋_GB2312" w:cs="Arial"/>
          <w:color w:val="333333"/>
          <w:sz w:val="32"/>
          <w:szCs w:val="32"/>
          <w:shd w:val="clear" w:color="auto" w:fill="FFFFFF"/>
        </w:rPr>
        <w:t>职业介绍、职业指导、职业培训、流动人员人事档案管理和人力资源服务代理、劳动争议调解、人力资源和社会保障法规政策宣传。并根据用工单位的需求，开展信息发布、委托招聘、专场招聘、中高级人才招聘等服务。</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（二）机构设置情况</w:t>
      </w:r>
    </w:p>
    <w:p>
      <w:pPr>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鹤城区人力资源服务中心是隶属区人社局的全额拨款事业单位，作为一级部门预算单位，内设五个部门，分别为：                                                                                                                                                                                                                                                                                                                                                    </w:t>
      </w:r>
    </w:p>
    <w:p>
      <w:pPr>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综合办公室：协助中心领导对政务、业务工作进行综合协调和督促检查，负责中心纪检、综治、维稳、信访、安全生产、重点民生实事、文明创建、爱卫、文电、会务、机要、档案、文印、行政后勤和接待工作，负责综合调研、综合性文字材料起草和有关新闻宣传工作。</w:t>
      </w:r>
    </w:p>
    <w:p>
      <w:pPr>
        <w:tabs>
          <w:tab w:val="left" w:pos="832"/>
        </w:tabs>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2．党建办公室：负责中心党建工作。</w:t>
      </w:r>
    </w:p>
    <w:p>
      <w:pPr>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3．计划财务室：负责中心财务管理及内部财务审计、内部控制、组织人事、计划生育、工青妇工作。</w:t>
      </w:r>
    </w:p>
    <w:p>
      <w:pPr>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4．公共就业服务办公室：负责组织和指导人力资源供需双方洽谈，收集、发布、统计职业供求信息、组织召开招聘会、职业介绍、职业指导、职业培训及公共就业网络服务平台建设及维护工作。</w:t>
      </w:r>
    </w:p>
    <w:p>
      <w:pPr>
        <w:spacing w:line="600" w:lineRule="exact"/>
        <w:ind w:firstLine="640" w:firstLineChars="200"/>
        <w:jc w:val="left"/>
        <w:rPr>
          <w:rFonts w:ascii="Times New Roman" w:hAnsi="Times New Roman" w:eastAsia="黑体" w:cs="Times New Roman"/>
          <w:sz w:val="32"/>
          <w:szCs w:val="32"/>
        </w:rPr>
      </w:pPr>
      <w:r>
        <w:rPr>
          <w:rFonts w:hint="eastAsia" w:ascii="仿宋_GB2312" w:hAnsi="仿宋_GB2312" w:eastAsia="仿宋_GB2312" w:cs="仿宋_GB2312"/>
          <w:color w:val="000000"/>
          <w:sz w:val="32"/>
          <w:szCs w:val="32"/>
        </w:rPr>
        <w:t>5．人事档案管理办公室：负责辖区内流动人员人事档案管理工作。</w:t>
      </w:r>
    </w:p>
    <w:p>
      <w:pPr>
        <w:widowControl/>
        <w:spacing w:line="600" w:lineRule="exact"/>
        <w:ind w:left="640" w:firstLine="0" w:firstLineChars="0"/>
        <w:jc w:val="both"/>
        <w:rPr>
          <w:rFonts w:ascii="Times New Roman" w:hAnsi="Times New Roman" w:eastAsia="黑体" w:cs="Times New Roman"/>
          <w:b/>
          <w:bCs/>
          <w:kern w:val="2"/>
          <w:sz w:val="32"/>
          <w:szCs w:val="32"/>
          <w:lang w:val="en-US" w:eastAsia="zh-CN" w:bidi="ar-SA"/>
        </w:rPr>
      </w:pPr>
      <w:r>
        <w:rPr>
          <w:rFonts w:hint="eastAsia" w:ascii="Times New Roman" w:hAnsi="Times New Roman" w:eastAsia="黑体" w:cs="Times New Roman"/>
          <w:b/>
          <w:bCs/>
          <w:kern w:val="2"/>
          <w:sz w:val="32"/>
          <w:szCs w:val="32"/>
          <w:lang w:val="en-US" w:eastAsia="zh-CN" w:bidi="ar-SA"/>
        </w:rPr>
        <w:t>二、</w:t>
      </w:r>
      <w:r>
        <w:rPr>
          <w:rFonts w:ascii="Times New Roman" w:hAnsi="Times New Roman" w:eastAsia="黑体" w:cs="Times New Roman"/>
          <w:b/>
          <w:bCs/>
          <w:kern w:val="2"/>
          <w:sz w:val="32"/>
          <w:szCs w:val="32"/>
          <w:lang w:val="en-US" w:eastAsia="zh-CN" w:bidi="ar-SA"/>
        </w:rPr>
        <w:t>一般公共预算支出情况</w:t>
      </w:r>
    </w:p>
    <w:p>
      <w:pPr>
        <w:widowControl/>
        <w:spacing w:line="600" w:lineRule="exact"/>
        <w:ind w:left="640" w:firstLine="0" w:firstLineChars="0"/>
        <w:jc w:val="both"/>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（一）</w:t>
      </w:r>
      <w:r>
        <w:rPr>
          <w:rFonts w:ascii="Times New Roman" w:hAnsi="Times New Roman" w:eastAsia="黑体" w:cs="Times New Roman"/>
          <w:kern w:val="2"/>
          <w:sz w:val="32"/>
          <w:szCs w:val="32"/>
          <w:lang w:val="en-US" w:eastAsia="zh-CN" w:bidi="ar-SA"/>
        </w:rPr>
        <w:t>基本支出情况</w:t>
      </w:r>
    </w:p>
    <w:p>
      <w:pPr>
        <w:widowControl w:val="0"/>
        <w:autoSpaceDE w:val="0"/>
        <w:autoSpaceDN w:val="0"/>
        <w:adjustRightInd w:val="0"/>
        <w:ind w:firstLine="640" w:firstLineChars="200"/>
        <w:rPr>
          <w:rFonts w:ascii="Times New Roman" w:hAnsi="Times New Roman" w:eastAsia="黑体" w:cs="黑体"/>
          <w:color w:val="000000"/>
          <w:sz w:val="32"/>
          <w:szCs w:val="32"/>
          <w:lang w:val="en-US" w:eastAsia="zh-CN" w:bidi="ar-SA"/>
        </w:rPr>
      </w:pPr>
      <w:r>
        <w:rPr>
          <w:rFonts w:hint="eastAsia" w:ascii="仿宋-GB" w:hAnsi="仿宋-GB" w:eastAsia="仿宋-GB" w:cs="仿宋-GB"/>
          <w:color w:val="000000"/>
          <w:sz w:val="32"/>
          <w:szCs w:val="32"/>
          <w:lang w:val="en-US" w:eastAsia="zh-CN" w:bidi="ar-SA"/>
        </w:rPr>
        <w:t>2020年度财政拨款基本支出148.35万元，其中：人员经费113.94万元，占基本支出的76.8%,主要包括基本工资46.03万</w:t>
      </w:r>
      <w:r>
        <w:rPr>
          <w:rFonts w:hint="eastAsia" w:ascii="仿宋" w:hAnsi="仿宋" w:eastAsia="仿宋" w:cs="仿宋"/>
          <w:color w:val="000000"/>
          <w:sz w:val="32"/>
          <w:szCs w:val="32"/>
          <w:lang w:val="en-US" w:eastAsia="zh-CN" w:bidi="ar-SA"/>
        </w:rPr>
        <w:t>元、津贴补贴0.21万元、奖金16.99万元、伙食补助费2.97万元、绩效工资22.57万元、机关事业单位基本养老保险缴费8.66万元、职工基本医疗保险缴费4.23万元、其他社会保障缴费0.94万元、住房公积金3.95万元、其他工资福利支出1.47万元、对个人和家庭的补助5.92万元；公用经费34.4万元，占基本支出的23.2%，主要包括办公费2.43万元、印刷费0.04万元、咨询费2.22万元、水费0.15万元、电费0.68万元、邮电费0.56万元、差旅费1.63万元、维修（护）费0.08万元、租赁费20万元、劳务费0.02万元、工会经费3.93万元、其他交通费0.04万元、其他商品和服务支出2.62万元。</w:t>
      </w:r>
    </w:p>
    <w:p>
      <w:pPr>
        <w:widowControl/>
        <w:spacing w:line="600" w:lineRule="exact"/>
        <w:ind w:left="640" w:firstLine="0" w:firstLineChars="0"/>
        <w:jc w:val="both"/>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（二）</w:t>
      </w:r>
      <w:r>
        <w:rPr>
          <w:rFonts w:ascii="Times New Roman" w:hAnsi="Times New Roman" w:eastAsia="黑体" w:cs="Times New Roman"/>
          <w:kern w:val="2"/>
          <w:sz w:val="32"/>
          <w:szCs w:val="32"/>
          <w:lang w:val="en-US" w:eastAsia="zh-CN" w:bidi="ar-SA"/>
        </w:rPr>
        <w:t>项目支出情况</w:t>
      </w:r>
    </w:p>
    <w:p>
      <w:pPr>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1、办公场地租赁费支出情况。</w:t>
      </w:r>
      <w:r>
        <w:rPr>
          <w:rFonts w:hint="eastAsia" w:ascii="仿宋" w:hAnsi="仿宋" w:eastAsia="仿宋" w:cs="仿宋"/>
          <w:color w:val="000000"/>
          <w:kern w:val="0"/>
          <w:sz w:val="32"/>
          <w:szCs w:val="32"/>
          <w:lang w:val="en-US" w:eastAsia="zh-CN"/>
        </w:rPr>
        <w:t>2020</w:t>
      </w:r>
      <w:r>
        <w:rPr>
          <w:rFonts w:hint="eastAsia" w:ascii="仿宋" w:hAnsi="仿宋" w:eastAsia="仿宋" w:cs="仿宋"/>
          <w:color w:val="000000"/>
          <w:kern w:val="0"/>
          <w:sz w:val="32"/>
          <w:szCs w:val="32"/>
        </w:rPr>
        <w:t>年财政共拨付23.4万元，</w:t>
      </w:r>
      <w:r>
        <w:rPr>
          <w:rFonts w:hint="eastAsia" w:ascii="仿宋" w:hAnsi="仿宋" w:eastAsia="仿宋" w:cs="仿宋"/>
          <w:color w:val="000000"/>
          <w:kern w:val="0"/>
          <w:sz w:val="32"/>
          <w:szCs w:val="32"/>
          <w:lang w:eastAsia="zh-CN"/>
        </w:rPr>
        <w:t>其中</w:t>
      </w:r>
      <w:r>
        <w:rPr>
          <w:rFonts w:hint="eastAsia" w:ascii="仿宋" w:hAnsi="仿宋" w:eastAsia="仿宋" w:cs="仿宋"/>
          <w:color w:val="000000"/>
          <w:kern w:val="0"/>
          <w:sz w:val="32"/>
          <w:szCs w:val="32"/>
          <w:lang w:val="en-US" w:eastAsia="zh-CN"/>
        </w:rPr>
        <w:t>20万元</w:t>
      </w:r>
      <w:r>
        <w:rPr>
          <w:rFonts w:hint="eastAsia" w:ascii="仿宋" w:hAnsi="仿宋" w:eastAsia="仿宋" w:cs="仿宋"/>
          <w:color w:val="000000"/>
          <w:kern w:val="0"/>
          <w:sz w:val="32"/>
          <w:szCs w:val="32"/>
        </w:rPr>
        <w:t>用于缴纳鹤城区府星路450号鹤城区人力资源市场202</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年1月至202</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年12月房屋租金。</w:t>
      </w:r>
    </w:p>
    <w:p>
      <w:pPr>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2、再就业资金支出情况。20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年财政共拨付</w:t>
      </w:r>
      <w:r>
        <w:rPr>
          <w:rFonts w:hint="eastAsia" w:ascii="仿宋" w:hAnsi="仿宋" w:eastAsia="仿宋" w:cs="仿宋"/>
          <w:color w:val="000000"/>
          <w:kern w:val="0"/>
          <w:sz w:val="32"/>
          <w:szCs w:val="32"/>
          <w:lang w:val="en-US" w:eastAsia="zh-CN"/>
        </w:rPr>
        <w:t>164.35</w:t>
      </w:r>
      <w:r>
        <w:rPr>
          <w:rFonts w:hint="eastAsia" w:ascii="仿宋" w:hAnsi="仿宋" w:eastAsia="仿宋" w:cs="仿宋"/>
          <w:color w:val="000000"/>
          <w:kern w:val="0"/>
          <w:sz w:val="32"/>
          <w:szCs w:val="32"/>
        </w:rPr>
        <w:t>万元，保障了高校毕业生、建档立卡贫困人员等群体人员充分就业、</w:t>
      </w:r>
      <w:r>
        <w:rPr>
          <w:rFonts w:hint="eastAsia" w:ascii="Times New Roman" w:hAnsi="Times New Roman" w:eastAsia="仿宋_GB2312" w:cs="Times New Roman"/>
          <w:color w:val="000000"/>
          <w:sz w:val="32"/>
          <w:szCs w:val="32"/>
        </w:rPr>
        <w:t>“点亮万家灯火”就业帮扶服务</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全年按月组织开展春风行动、高校毕业生就业服务月、贫困人员就业援助月等专项活动。</w:t>
      </w:r>
    </w:p>
    <w:p>
      <w:pPr>
        <w:widowControl/>
        <w:spacing w:line="600" w:lineRule="exact"/>
        <w:ind w:left="640" w:firstLine="0" w:firstLineChars="0"/>
        <w:jc w:val="left"/>
        <w:rPr>
          <w:rFonts w:ascii="Times New Roman" w:hAnsi="Times New Roman" w:eastAsia="黑体" w:cs="Times New Roman"/>
          <w:b/>
          <w:bCs/>
          <w:kern w:val="2"/>
          <w:sz w:val="32"/>
          <w:szCs w:val="32"/>
          <w:lang w:val="en-US" w:eastAsia="zh-CN" w:bidi="ar-SA"/>
        </w:rPr>
      </w:pPr>
      <w:r>
        <w:rPr>
          <w:rFonts w:hint="eastAsia" w:ascii="Times New Roman" w:hAnsi="Times New Roman" w:eastAsia="黑体" w:cs="Times New Roman"/>
          <w:b/>
          <w:bCs/>
          <w:kern w:val="2"/>
          <w:sz w:val="32"/>
          <w:szCs w:val="32"/>
          <w:lang w:val="en-US" w:eastAsia="zh-CN" w:bidi="ar-SA"/>
        </w:rPr>
        <w:t>三、</w:t>
      </w:r>
      <w:r>
        <w:rPr>
          <w:rFonts w:ascii="Times New Roman" w:hAnsi="Times New Roman" w:eastAsia="黑体" w:cs="Times New Roman"/>
          <w:b/>
          <w:bCs/>
          <w:kern w:val="2"/>
          <w:sz w:val="32"/>
          <w:szCs w:val="32"/>
          <w:lang w:val="en-US" w:eastAsia="zh-CN" w:bidi="ar-SA"/>
        </w:rPr>
        <w:t>政府性基金预算支出情况</w:t>
      </w:r>
    </w:p>
    <w:p>
      <w:pPr>
        <w:ind w:left="420" w:leftChars="200"/>
        <w:jc w:val="left"/>
        <w:rPr>
          <w:rFonts w:ascii="Times New Roman" w:hAnsi="Times New Roman" w:eastAsia="黑体" w:cs="Times New Roman"/>
          <w:sz w:val="32"/>
          <w:szCs w:val="32"/>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年本单位无政府性基金预算支出情况</w:t>
      </w:r>
    </w:p>
    <w:p>
      <w:pPr>
        <w:widowControl/>
        <w:numPr>
          <w:ilvl w:val="0"/>
          <w:numId w:val="3"/>
        </w:numPr>
        <w:spacing w:line="600" w:lineRule="exact"/>
        <w:ind w:left="640" w:firstLine="0" w:firstLineChars="0"/>
        <w:jc w:val="left"/>
        <w:rPr>
          <w:rFonts w:ascii="Times New Roman" w:hAnsi="Times New Roman" w:eastAsia="黑体" w:cs="Times New Roman"/>
          <w:b/>
          <w:bCs/>
          <w:kern w:val="2"/>
          <w:sz w:val="32"/>
          <w:szCs w:val="32"/>
          <w:lang w:val="en-US" w:eastAsia="zh-CN" w:bidi="ar-SA"/>
        </w:rPr>
      </w:pPr>
      <w:r>
        <w:rPr>
          <w:rFonts w:ascii="Times New Roman" w:hAnsi="Times New Roman" w:eastAsia="黑体" w:cs="Times New Roman"/>
          <w:b/>
          <w:bCs/>
          <w:kern w:val="2"/>
          <w:sz w:val="32"/>
          <w:szCs w:val="32"/>
          <w:lang w:val="en-US" w:eastAsia="zh-CN" w:bidi="ar-SA"/>
        </w:rPr>
        <w:t>国有资本经营预算支出情况</w:t>
      </w:r>
    </w:p>
    <w:p>
      <w:pPr>
        <w:ind w:left="420" w:leftChars="200"/>
        <w:jc w:val="left"/>
        <w:rPr>
          <w:rFonts w:ascii="Times New Roman" w:hAnsi="Times New Roman" w:eastAsia="黑体" w:cs="Times New Roman"/>
          <w:sz w:val="32"/>
          <w:szCs w:val="32"/>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年本单位无国有资金经营预算支出情况</w:t>
      </w:r>
    </w:p>
    <w:p>
      <w:pPr>
        <w:widowControl/>
        <w:numPr>
          <w:ilvl w:val="0"/>
          <w:numId w:val="3"/>
        </w:numPr>
        <w:spacing w:line="600" w:lineRule="exact"/>
        <w:ind w:left="640" w:leftChars="0" w:firstLine="0" w:firstLineChars="0"/>
        <w:jc w:val="left"/>
        <w:rPr>
          <w:rFonts w:ascii="Times New Roman" w:hAnsi="Times New Roman" w:eastAsia="黑体" w:cs="Times New Roman"/>
          <w:b/>
          <w:bCs/>
          <w:kern w:val="2"/>
          <w:sz w:val="32"/>
          <w:szCs w:val="32"/>
          <w:lang w:val="en-US" w:eastAsia="zh-CN" w:bidi="ar-SA"/>
        </w:rPr>
      </w:pPr>
      <w:r>
        <w:rPr>
          <w:rFonts w:ascii="Times New Roman" w:hAnsi="Times New Roman" w:eastAsia="黑体" w:cs="Times New Roman"/>
          <w:b/>
          <w:bCs/>
          <w:kern w:val="2"/>
          <w:sz w:val="32"/>
          <w:szCs w:val="32"/>
          <w:lang w:val="en-US" w:eastAsia="zh-CN" w:bidi="ar-SA"/>
        </w:rPr>
        <w:t>社会保险基金预算支出情况</w:t>
      </w:r>
    </w:p>
    <w:p>
      <w:pPr>
        <w:ind w:left="420" w:leftChars="200"/>
        <w:jc w:val="left"/>
        <w:rPr>
          <w:rFonts w:ascii="Times New Roman" w:hAnsi="Times New Roman" w:eastAsia="黑体" w:cs="Times New Roman"/>
          <w:sz w:val="32"/>
          <w:szCs w:val="32"/>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年本单位无社会保险基金预算支出情况</w:t>
      </w:r>
    </w:p>
    <w:p>
      <w:pPr>
        <w:widowControl/>
        <w:numPr>
          <w:ilvl w:val="0"/>
          <w:numId w:val="3"/>
        </w:numPr>
        <w:spacing w:line="600" w:lineRule="exact"/>
        <w:ind w:left="640" w:leftChars="0" w:firstLine="0" w:firstLineChars="0"/>
        <w:jc w:val="left"/>
        <w:rPr>
          <w:rFonts w:ascii="Times New Roman" w:hAnsi="Times New Roman" w:eastAsia="黑体" w:cs="Times New Roman"/>
          <w:b/>
          <w:bCs/>
          <w:sz w:val="32"/>
          <w:szCs w:val="32"/>
        </w:rPr>
      </w:pPr>
      <w:r>
        <w:rPr>
          <w:rFonts w:ascii="Times New Roman" w:hAnsi="Times New Roman" w:eastAsia="黑体" w:cs="Times New Roman"/>
          <w:b/>
          <w:bCs/>
          <w:sz w:val="32"/>
          <w:szCs w:val="32"/>
        </w:rPr>
        <w:t>部门整体支出绩效情况</w:t>
      </w:r>
    </w:p>
    <w:p>
      <w:pPr>
        <w:ind w:firstLine="640" w:firstLineChars="200"/>
        <w:jc w:val="left"/>
        <w:rPr>
          <w:rFonts w:ascii="Times New Roman" w:hAnsi="Times New Roman" w:eastAsia="黑体" w:cs="Times New Roman"/>
          <w:sz w:val="32"/>
          <w:szCs w:val="32"/>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年各项工作取得了新的成绩，主要绩效如下：</w:t>
      </w:r>
    </w:p>
    <w:p>
      <w:pPr>
        <w:widowControl/>
        <w:spacing w:line="600" w:lineRule="exact"/>
        <w:ind w:firstLine="640" w:firstLineChars="200"/>
        <w:jc w:val="left"/>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今年以来，我们坚决落实“六稳”“六保”要求，认真贯彻省厅、市局和区委区政府决策部署，在局党委坚强领导下，坚持疫情防控和复工复产“两个责任”一起扛、线上网络招聘和线下现场服务“两个战场”一起打、用工企业和求职者“两个对象”一起做，以公共就业服务为重点的各项工作开拓了新局面，取得了新进步。年初以来，组织召开线下现场招聘会40场、线上网络招聘会20场，深入高校、工业园、社区举办专场招聘会4场，开展公益活动21场，共接待用工企业4100多家次，提供就业岗位168000多个次，帮助3200多人次达成了就业意向。</w:t>
      </w:r>
    </w:p>
    <w:p>
      <w:pPr>
        <w:widowControl/>
        <w:spacing w:line="600" w:lineRule="exact"/>
        <w:ind w:firstLine="640" w:firstLineChars="200"/>
        <w:jc w:val="left"/>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一年来，我们保持“进”的态势，线上网络招聘有了新拓展。面对疫情考验与挑战，我们及时调整思路，在做好疫情防控中努力开展线上网络招聘，有力确保了就业服务不打烊、网上招聘不停歇。一是信息收集发布做到了全覆盖。安排专人利用电话、微信、QQ及上门走访的方式对怀化市区内特别是鹤城区内规模企业用工信息逐一进行收集，加大与长三角、珠三角以及长株潭等地区人社部门沟通力度，第一时间收集上述地区优质企业用工信息，利用电话、微信、QQ及预约接待的方式指导用工企业通过网上平台自主发布用工信息。二是人员就业帮扶做到了全方位。加大与区残联、区扶贫办等部门业务衔接，摸清和收集重点群体的就业意向和求职信息，并通过电话或微信的方式对求职人员“一对一”进行职业指导和岗位匹配，做客怀化电台《为民热线》宣传疫情期间就业形势、解答群众疑惑，利用边城晚报、怀化日报、掌上怀化、鹤城融媒、鹤城电视台以及村村通广播等宣传媒体广泛宣传就业政策和各类招聘信息，帮助许多用工单位和求职者足不出户实现了招聘求职。三是线上招聘工作做到了全天候。坚持用工求职信息一周一更新，利用鹤城人力资源市场微信公众号、鹤城人力资源网微信小程序、中心QQ服务群、中心微信服务群以及工作人员微信朋友圈进行用工信息及求职信息的发布。年初以来，我们先后组织召开了“春风行动”、鹤城区贫困劳动力“清零行动”、鹤城区重点工业商贸企业重点项目复工复产就业帮扶、“鹤城人-建鹤城，职得你自豪”就地就近就业、助力“劳务协作地区”企业复工复产、项目建设“创先争优百日大会战”行动、高校毕业生等20场线上网络招聘会，参加企业1679家次，提供岗位126018个次，求职人员41000余人，帮助677人达成了就业意向。</w:t>
      </w:r>
    </w:p>
    <w:p>
      <w:pPr>
        <w:widowControl/>
        <w:spacing w:line="600" w:lineRule="exact"/>
        <w:ind w:firstLine="640" w:firstLineChars="200"/>
        <w:jc w:val="left"/>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一年来，我们建好“搭”的平台，线下现场服务有了新成效。坚持从企业复工复产和求职者实际需求出发，充分利用自身优势，积极为他们牵线搭桥，想方设法提供各种优质的公共就业服务工作。一是通好了就业主渠道。城区疫情趋缓，在区人力资源市场做好疫情防控的同时及时重启现场招聘会，想全预案，配强力量，采取检查健康码、测量体温、分发口罩、分批入场等方式，从严组织实施，年初以来，顺利召开了“返乡务工人员援助月”、“贫困人员就业援助月”、“助力鹤城区企业复工复产”、“就业困难人员援助月”、“民营企业招聘月”、“高校毕业生夏季招聘月”、项目建设“创先争优百日大会战”行动等36场小型化、错峰式、行业性现场招聘会，组织用工单位2100余家次，提供岗位39000余个次，求职者8000多人次，达成就业意向2100多人。二是配好了公益服务角色。针对企业用工紧张问题，由局党委牵头及时组建援企招工小分队，到坨院街道城南街道、盈口乡河西街道、黄金坳凉亭坳的社区和村组，发放和张贴宣传资料10000多份，帮助400多名求职人员投送了个人简历。聘用援企助工联络员积极拓展中心外联就业服务工作，进一步解决企业用工难问题，不断促进区劳动力就业，先后走访了120多家企业，帮助金升阳电子厂、怀化国泰君安等用工企业推荐人才250多人，其中100人成功上岗。三是建好了服务接待窗口。采取工作列会教育引导、日常督促检查等方式，帮助窗口人员提升服务质量，端正服务态度，认真抓好以《鹤城区就业服务过手册》为重点的业务知识学习，及时组织参加全国人社窗口单位业务技能练兵在线比武，大力推行“网络式”、“预约式”、“微笑式”服务。年初以来，公共就业服务接待窗口接待用工单位2100余家次、求职人员560多人次，档案管理接待窗口接待1600多人次，为1000多人办理了人事档案转接。</w:t>
      </w:r>
    </w:p>
    <w:p>
      <w:pPr>
        <w:widowControl/>
        <w:spacing w:line="600" w:lineRule="exact"/>
        <w:ind w:firstLine="640" w:firstLineChars="200"/>
        <w:jc w:val="left"/>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一年来，我们守住“保”的底线，重点群体和重点项目就业有了新进展。认真贯彻“就业就是保民生”要求，坚持把做好贫困劳动力、就业困难人员、高校毕业生、退捕渔民等重点群体和“百日大会战”重点项目就业摆到突出位置来抓。一是紧盯了退捕渔民这个群体。专门抽调中心副主任到区禁捕退捕办现场办公，今年重启的首场现场招聘会办成退捕渔民专场，“点亮万家灯火”就业帮扶服务活动首站选在退捕渔民集中居住区西兴社区举办现场招聘会，每周采取入户走访或电话回访方式，搞好就业动态管理和动态清零。先后召开了4场退捕渔民转产就业专场招聘会，组织退捕渔民226人次参加，累计岗位推荐712个次，进行职业指导115人次，帮助有就业意愿的67人100%实现了就业，并保持了动态跟踪服务到位。二是紧盯了贫困劳动力、就业困难人员这个群体。抓好“311”就业帮扶，开通贫困人员就业专门通道，安排3个月时间开展“贫困家庭劳动力就业援助月”“就业困难人员援助月”活动，深入易地扶贫搬迁集中安置区花果园区开展就业帮扶，依托鹤城人力资源市场网络平台，向贫困劳动力广泛推送各类用工企业的招聘信息，广泛开展了以“稳岗就业，决胜攻坚”为主题的“就业扶贫行动日”活动，在水垅村举办“就业扶贫日”岗位推荐现场会，深入黄金坳镇、凉亭坳乡、城南及河西街道等地宣传就业政策，对57户贫困户进行了走访慰问。三是紧盯了高校毕业生这个群体。注重做好离校未就业高校毕业生实名制登记，对有就业意愿的实名登记未就业毕业生在毕业年度内推荐3次以上岗位信息，深入怀化学院东西校区、怀化职院广泛开展了以“学在鹤城，‘就’有‘位’来”为主题的校园开学季公益活动，组织就业政策宣传，围绕《护你一路同行——高校毕业生就业政策解读》课题开展了就业创业指导讲座，8月、10月、11月开展了“高校毕业生夏季招聘月”活动，召开了11场专场招聘会，组织入场企业610多家次，提供岗位6900多个，组织求职人员3300多人，帮助620多人达成了就业意向。四是紧盯了“百日大会战”这个项目。指派专人到区重点项目搞好专门对接服务，组织开展线上网络和线下现场项目建设“创先争优百日大会战”行动专场招聘会，为重点企业开设接待服务窗口和招聘专区，在市场内外开辟重点企业信息栏，深入阳塘工业园区举办以“鹤城人—建鹤城，‘职’想有你”的专场招聘会，先后在区人力资源市场和阳塘工业园区举办专场招聘会6场，依托网络平台召开线上招聘会1场，共接待企业310多家次，提供工作岗位5800多个次，接待求职人员1900多人次，帮助490多人达成就业意向。</w:t>
      </w:r>
    </w:p>
    <w:p>
      <w:pPr>
        <w:widowControl/>
        <w:spacing w:line="600" w:lineRule="exact"/>
        <w:ind w:firstLine="640" w:firstLineChars="200"/>
        <w:jc w:val="left"/>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一年来，我们加大“帮”的力度，公益服务活动有了新提升。根据城区疫情实际和企业和劳动力分布情况，我们注重发挥职能作用，扎实开展各类就业帮扶公益活动。一是坚持请进来。邀请城区企业一起召开恳谈会，了解春节后各用工企业需求，围绕“五险”和劳动法等进行政策法规讲解，并现场释疑解惑，帮助解决“用工难”难题；邀请有劳务协作关系的长沙县人力资源工作人员深入黄金坳等乡镇，为蓝思科技等企业招人，帮助缓解用工紧缺等问题；定期编印《最新用工信息手册》、市内企业和劳务协作企业招聘宣传单等就业信息资料，每月让社区来领取并在辖区内搞好发放和宣传。二是坚持走出去。深入黄金坳、凉亭坳、华丰社区、城南廉租房、步步高超市等地，广泛开展“春风行动暨就业援助月”进社区下乡镇公益宣传活动，到群众中进行就业访民生、听民情；大力开展“点亮万家灯火”就业帮扶服务活动，在退捕渔民集中居住地西兴社区、城南街道开展“点对点”上门服务，推行帮解政策疑惑、帮教求职方法、帮荐工作岗位、帮搭就业金桥“四大帮扶举措”，助力退捕渔民、登记失业人员、农村贫困劳动力等群体就业；建立重点企业公共就业服务联系制度，开通重点企业接待窗口和服务专区，为佳惠、神鹤、大润发、优果、中民燃气等重点企业提供专门的就业绿色通道；深入阳塘工业园走访了解企业用工需求，及时帮助企业解决用工难题。三是坚持送上门。认真做好农民工返岗需求和企业用工需求“两需求一贯通”，深入推进鹤城区重点企业和重点项目复工复产用工帮扶工作，由局党委领导带队中心工作人员上门送惠企政策，帮解困难问题，先后深入大润发、湖南怀仁大健康、云迪特种玻璃厂、振鑫牧业、阳光苗苗、怀化昌顺建筑公司、怀化顺天帆布公司等31家企业单位，收集到931个企业用工岗位；认真搞好农民务工与企业用工无缝对接，从在家门找工作、登车门出行到厂门报到都提供全时全域覆盖服务，打通企业和农民工需求对接通道，“点对点”解决企业用工和农民务工具体问题，组织务工上岗爱心大巴包车164次，输送3840人如期返岗就业。年初以来，我们先后深入50多个辖区乡镇、社区、村组，举办“鹤城人-建鹤城，职得你自豪”、“送岗位送政策送服务”、“点亮万家灯火就业帮扶服务活动日”、“贫困家庭劳动力就业援助”、贯彻落实《保障农民工工资支付条例》等18场公益活动，助力108家次用工单位招聘，发放和张贴用工信息手册等宣传资料53000多份。</w:t>
      </w:r>
    </w:p>
    <w:p>
      <w:pPr>
        <w:ind w:firstLine="640" w:firstLineChars="200"/>
        <w:jc w:val="left"/>
        <w:rPr>
          <w:rFonts w:hint="eastAsia" w:ascii="Times New Roman" w:hAnsi="Times New Roman" w:eastAsia="仿宋_GB2312" w:cs="Times New Roman"/>
          <w:color w:val="000000"/>
          <w:sz w:val="32"/>
          <w:szCs w:val="32"/>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年部门整体支出绩效评价单位自评为97分，等级优秀。</w:t>
      </w:r>
    </w:p>
    <w:p>
      <w:pPr>
        <w:widowControl/>
        <w:spacing w:line="600" w:lineRule="exact"/>
        <w:ind w:firstLine="640" w:firstLineChars="200"/>
        <w:jc w:val="left"/>
        <w:rPr>
          <w:rFonts w:ascii="Times New Roman" w:hAnsi="Times New Roman" w:eastAsia="黑体" w:cs="Times New Roman"/>
          <w:b/>
          <w:bCs/>
          <w:kern w:val="2"/>
          <w:sz w:val="32"/>
          <w:szCs w:val="32"/>
          <w:lang w:val="en-US" w:eastAsia="zh-CN" w:bidi="ar-SA"/>
        </w:rPr>
      </w:pPr>
      <w:r>
        <w:rPr>
          <w:rFonts w:hint="eastAsia" w:ascii="Times New Roman" w:hAnsi="Times New Roman" w:eastAsia="黑体" w:cs="Times New Roman"/>
          <w:b/>
          <w:bCs/>
          <w:kern w:val="2"/>
          <w:sz w:val="32"/>
          <w:szCs w:val="32"/>
          <w:lang w:val="en-US" w:eastAsia="zh-CN" w:bidi="ar-SA"/>
        </w:rPr>
        <w:t>七、</w:t>
      </w:r>
      <w:r>
        <w:rPr>
          <w:rFonts w:ascii="Times New Roman" w:hAnsi="Times New Roman" w:eastAsia="黑体" w:cs="Times New Roman"/>
          <w:b/>
          <w:bCs/>
          <w:kern w:val="2"/>
          <w:sz w:val="32"/>
          <w:szCs w:val="32"/>
          <w:lang w:val="en-US" w:eastAsia="zh-CN" w:bidi="ar-SA"/>
        </w:rPr>
        <w:t>存在的问题及原因分析</w:t>
      </w:r>
    </w:p>
    <w:p>
      <w:pPr>
        <w:widowControl/>
        <w:spacing w:line="60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财务制度执行力有待加强，资金使用计划有待细化。</w:t>
      </w:r>
    </w:p>
    <w:p>
      <w:pPr>
        <w:widowControl/>
        <w:numPr>
          <w:ilvl w:val="0"/>
          <w:numId w:val="0"/>
        </w:numPr>
        <w:spacing w:line="600" w:lineRule="exact"/>
        <w:ind w:left="640" w:leftChars="0"/>
        <w:jc w:val="left"/>
        <w:rPr>
          <w:rFonts w:ascii="Times New Roman" w:hAnsi="Times New Roman" w:eastAsia="黑体" w:cs="Times New Roman"/>
          <w:b/>
          <w:bCs/>
          <w:sz w:val="32"/>
          <w:szCs w:val="32"/>
        </w:rPr>
      </w:pPr>
      <w:r>
        <w:rPr>
          <w:rFonts w:hint="eastAsia" w:ascii="Times New Roman" w:hAnsi="Times New Roman" w:eastAsia="黑体" w:cs="Times New Roman"/>
          <w:b/>
          <w:bCs/>
          <w:sz w:val="32"/>
          <w:szCs w:val="32"/>
          <w:lang w:eastAsia="zh-CN"/>
        </w:rPr>
        <w:t>八、</w:t>
      </w:r>
      <w:r>
        <w:rPr>
          <w:rFonts w:ascii="Times New Roman" w:hAnsi="Times New Roman" w:eastAsia="黑体" w:cs="Times New Roman"/>
          <w:b/>
          <w:bCs/>
          <w:sz w:val="32"/>
          <w:szCs w:val="32"/>
        </w:rPr>
        <w:t>下一步改进措施</w:t>
      </w:r>
    </w:p>
    <w:p>
      <w:pPr>
        <w:widowControl/>
        <w:numPr>
          <w:ilvl w:val="0"/>
          <w:numId w:val="0"/>
        </w:numPr>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1、加强财务管理，严格财务审核。在费用报账支付时，按照预算规定的费用项目和用途进行资金使用审核，杜绝超支现象的发生。</w:t>
      </w:r>
    </w:p>
    <w:p>
      <w:pPr>
        <w:widowControl/>
        <w:numPr>
          <w:ilvl w:val="0"/>
          <w:numId w:val="0"/>
        </w:numPr>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2、加强项目开展进度的跟踪，开展项目绩效评价，确保项目绩效目标的完成。</w:t>
      </w:r>
    </w:p>
    <w:p>
      <w:pPr>
        <w:widowControl/>
        <w:spacing w:line="600" w:lineRule="exact"/>
        <w:ind w:firstLine="645"/>
        <w:jc w:val="left"/>
        <w:rPr>
          <w:rFonts w:ascii="Times New Roman" w:hAnsi="Times New Roman" w:eastAsia="黑体" w:cs="Times New Roman"/>
          <w:b/>
          <w:bCs/>
          <w:sz w:val="32"/>
          <w:szCs w:val="32"/>
        </w:rPr>
      </w:pPr>
      <w:r>
        <w:rPr>
          <w:rFonts w:ascii="Times New Roman" w:hAnsi="Times New Roman" w:eastAsia="黑体" w:cs="Times New Roman"/>
          <w:b/>
          <w:bCs/>
          <w:sz w:val="32"/>
          <w:szCs w:val="32"/>
        </w:rPr>
        <w:t>九、其他需要说明的情况</w:t>
      </w:r>
    </w:p>
    <w:p>
      <w:pPr>
        <w:ind w:firstLine="640" w:firstLineChars="200"/>
        <w:jc w:val="left"/>
        <w:rPr>
          <w:rFonts w:ascii="Times New Roman" w:hAnsi="Times New Roman" w:eastAsia="仿宋_GB2312" w:cs="Times New Roman"/>
          <w:sz w:val="32"/>
          <w:szCs w:val="32"/>
        </w:rPr>
      </w:pPr>
      <w:r>
        <w:rPr>
          <w:rFonts w:hint="eastAsia" w:ascii="仿宋" w:hAnsi="仿宋" w:eastAsia="仿宋" w:cs="仿宋"/>
          <w:color w:val="000000"/>
          <w:kern w:val="0"/>
          <w:sz w:val="32"/>
          <w:szCs w:val="32"/>
        </w:rPr>
        <w:t>恳请区财政局领导根据本单位实际开支情况，提高年初部门公用经费预算额度，保证相关工作正常运转。</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GB">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3ED19E"/>
    <w:multiLevelType w:val="singleLevel"/>
    <w:tmpl w:val="B13ED19E"/>
    <w:lvl w:ilvl="0" w:tentative="0">
      <w:start w:val="4"/>
      <w:numFmt w:val="chineseCounting"/>
      <w:suff w:val="nothing"/>
      <w:lvlText w:val="%1、"/>
      <w:lvlJc w:val="left"/>
      <w:rPr>
        <w:rFonts w:hint="eastAsia"/>
      </w:rPr>
    </w:lvl>
  </w:abstractNum>
  <w:abstractNum w:abstractNumId="1">
    <w:nsid w:val="D5F7690C"/>
    <w:multiLevelType w:val="singleLevel"/>
    <w:tmpl w:val="D5F7690C"/>
    <w:lvl w:ilvl="0" w:tentative="0">
      <w:start w:val="1"/>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5ED04D4"/>
    <w:rsid w:val="0F704184"/>
    <w:rsid w:val="1161272F"/>
    <w:rsid w:val="16086D66"/>
    <w:rsid w:val="22F97352"/>
    <w:rsid w:val="23A75821"/>
    <w:rsid w:val="26972F84"/>
    <w:rsid w:val="444B1621"/>
    <w:rsid w:val="45B172F5"/>
    <w:rsid w:val="49A87281"/>
    <w:rsid w:val="4E603D2D"/>
    <w:rsid w:val="558D68BD"/>
    <w:rsid w:val="5C141714"/>
    <w:rsid w:val="61FD6112"/>
    <w:rsid w:val="643603CB"/>
    <w:rsid w:val="66921F3B"/>
    <w:rsid w:val="6816702A"/>
    <w:rsid w:val="688C514F"/>
    <w:rsid w:val="6EB42E31"/>
    <w:rsid w:val="76760E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2</TotalTime>
  <ScaleCrop>false</ScaleCrop>
  <LinksUpToDate>false</LinksUpToDate>
  <CharactersWithSpaces>4150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半透明sky</cp:lastModifiedBy>
  <cp:lastPrinted>2021-07-28T00:12:00Z</cp:lastPrinted>
  <dcterms:modified xsi:type="dcterms:W3CDTF">2021-09-29T07:25:19Z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D26EB6083D9D4BD09650485F6254C6DB</vt:lpwstr>
  </property>
</Properties>
</file>