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EA9" w:rsidRDefault="00E55EA9">
      <w:pPr>
        <w:pStyle w:val="Default"/>
        <w:jc w:val="center"/>
        <w:rPr>
          <w:sz w:val="56"/>
          <w:szCs w:val="56"/>
        </w:rPr>
      </w:pPr>
    </w:p>
    <w:p w:rsidR="00E55EA9" w:rsidRDefault="00E55EA9">
      <w:pPr>
        <w:pStyle w:val="Default"/>
        <w:jc w:val="center"/>
        <w:rPr>
          <w:sz w:val="56"/>
          <w:szCs w:val="56"/>
        </w:rPr>
      </w:pPr>
    </w:p>
    <w:p w:rsidR="00E55EA9" w:rsidRDefault="00E55EA9">
      <w:pPr>
        <w:pStyle w:val="Default"/>
        <w:jc w:val="center"/>
        <w:rPr>
          <w:sz w:val="84"/>
          <w:szCs w:val="84"/>
        </w:rPr>
      </w:pPr>
    </w:p>
    <w:p w:rsidR="00E55EA9" w:rsidRDefault="00E55EA9">
      <w:pPr>
        <w:pStyle w:val="Default"/>
        <w:jc w:val="center"/>
        <w:rPr>
          <w:sz w:val="84"/>
          <w:szCs w:val="84"/>
        </w:rPr>
      </w:pPr>
    </w:p>
    <w:p w:rsidR="00E55EA9" w:rsidRDefault="003708E0">
      <w:pPr>
        <w:pStyle w:val="Default"/>
        <w:jc w:val="center"/>
        <w:rPr>
          <w:sz w:val="84"/>
          <w:szCs w:val="84"/>
        </w:rPr>
      </w:pPr>
      <w:r>
        <w:rPr>
          <w:rFonts w:hint="eastAsia"/>
          <w:sz w:val="84"/>
          <w:szCs w:val="84"/>
        </w:rPr>
        <w:t>2020年度</w:t>
      </w:r>
    </w:p>
    <w:p w:rsidR="00E55EA9" w:rsidRDefault="003708E0">
      <w:pPr>
        <w:pStyle w:val="Default"/>
        <w:jc w:val="center"/>
        <w:rPr>
          <w:sz w:val="84"/>
          <w:szCs w:val="84"/>
        </w:rPr>
      </w:pPr>
      <w:r>
        <w:rPr>
          <w:rFonts w:hint="eastAsia"/>
          <w:sz w:val="84"/>
          <w:szCs w:val="84"/>
        </w:rPr>
        <w:t>怀化市征收安置办公室</w:t>
      </w:r>
    </w:p>
    <w:p w:rsidR="00E55EA9" w:rsidRDefault="003708E0">
      <w:pPr>
        <w:pStyle w:val="Default"/>
        <w:jc w:val="center"/>
        <w:rPr>
          <w:sz w:val="84"/>
          <w:szCs w:val="84"/>
        </w:rPr>
      </w:pPr>
      <w:r>
        <w:rPr>
          <w:rFonts w:hint="eastAsia"/>
          <w:sz w:val="84"/>
          <w:szCs w:val="84"/>
        </w:rPr>
        <w:t>部门决算</w:t>
      </w:r>
    </w:p>
    <w:p w:rsidR="00E55EA9" w:rsidRDefault="00E55EA9">
      <w:pPr>
        <w:pStyle w:val="Default"/>
        <w:jc w:val="center"/>
        <w:rPr>
          <w:sz w:val="56"/>
          <w:szCs w:val="56"/>
        </w:rPr>
      </w:pPr>
    </w:p>
    <w:p w:rsidR="00E55EA9" w:rsidRDefault="00E55EA9">
      <w:pPr>
        <w:pStyle w:val="Default"/>
        <w:jc w:val="center"/>
        <w:rPr>
          <w:sz w:val="56"/>
          <w:szCs w:val="56"/>
        </w:rPr>
      </w:pPr>
    </w:p>
    <w:p w:rsidR="00E55EA9" w:rsidRDefault="00E55EA9">
      <w:pPr>
        <w:pStyle w:val="Default"/>
        <w:jc w:val="center"/>
        <w:rPr>
          <w:sz w:val="56"/>
          <w:szCs w:val="56"/>
        </w:rPr>
      </w:pPr>
    </w:p>
    <w:p w:rsidR="00E55EA9" w:rsidRDefault="00E55EA9">
      <w:pPr>
        <w:pStyle w:val="Default"/>
        <w:jc w:val="center"/>
        <w:rPr>
          <w:sz w:val="56"/>
          <w:szCs w:val="56"/>
        </w:rPr>
      </w:pPr>
    </w:p>
    <w:p w:rsidR="00E55EA9" w:rsidRDefault="00E55EA9">
      <w:pPr>
        <w:pStyle w:val="Default"/>
        <w:jc w:val="center"/>
        <w:rPr>
          <w:sz w:val="32"/>
          <w:szCs w:val="32"/>
        </w:rPr>
      </w:pPr>
    </w:p>
    <w:p w:rsidR="00E55EA9" w:rsidRDefault="00E55EA9">
      <w:pPr>
        <w:pStyle w:val="Default"/>
        <w:jc w:val="center"/>
        <w:rPr>
          <w:sz w:val="32"/>
          <w:szCs w:val="32"/>
        </w:rPr>
      </w:pPr>
    </w:p>
    <w:p w:rsidR="00E55EA9" w:rsidRDefault="00E55EA9">
      <w:pPr>
        <w:pStyle w:val="Default"/>
        <w:jc w:val="center"/>
        <w:rPr>
          <w:sz w:val="32"/>
          <w:szCs w:val="32"/>
        </w:rPr>
      </w:pPr>
    </w:p>
    <w:p w:rsidR="00E55EA9" w:rsidRDefault="00E55EA9">
      <w:pPr>
        <w:pStyle w:val="Default"/>
        <w:spacing w:line="540" w:lineRule="exact"/>
        <w:jc w:val="center"/>
        <w:rPr>
          <w:sz w:val="56"/>
          <w:szCs w:val="56"/>
        </w:rPr>
      </w:pPr>
    </w:p>
    <w:p w:rsidR="00E55EA9" w:rsidRDefault="00E55EA9">
      <w:pPr>
        <w:pStyle w:val="Default"/>
        <w:spacing w:line="500" w:lineRule="exact"/>
        <w:jc w:val="center"/>
        <w:rPr>
          <w:b/>
          <w:sz w:val="36"/>
          <w:szCs w:val="28"/>
        </w:rPr>
      </w:pPr>
    </w:p>
    <w:p w:rsidR="00E55EA9" w:rsidRDefault="00E55EA9">
      <w:pPr>
        <w:pStyle w:val="Default"/>
        <w:spacing w:line="500" w:lineRule="exact"/>
        <w:jc w:val="center"/>
        <w:rPr>
          <w:b/>
          <w:sz w:val="36"/>
          <w:szCs w:val="28"/>
        </w:rPr>
      </w:pPr>
    </w:p>
    <w:p w:rsidR="00E55EA9" w:rsidRDefault="003708E0">
      <w:pPr>
        <w:pStyle w:val="Default"/>
        <w:spacing w:line="500" w:lineRule="exact"/>
        <w:jc w:val="center"/>
        <w:rPr>
          <w:b/>
          <w:sz w:val="36"/>
          <w:szCs w:val="28"/>
        </w:rPr>
      </w:pPr>
      <w:r>
        <w:rPr>
          <w:rFonts w:hint="eastAsia"/>
          <w:b/>
          <w:sz w:val="36"/>
          <w:szCs w:val="28"/>
        </w:rPr>
        <w:lastRenderedPageBreak/>
        <w:t>目录</w:t>
      </w:r>
    </w:p>
    <w:p w:rsidR="00E55EA9" w:rsidRDefault="003708E0">
      <w:pPr>
        <w:pStyle w:val="Default"/>
        <w:spacing w:line="500" w:lineRule="exact"/>
        <w:rPr>
          <w:rFonts w:ascii="仿宋_GB2312" w:hAnsi="仿宋_GB2312" w:cs="仿宋_GB2312"/>
          <w:b/>
          <w:sz w:val="28"/>
          <w:szCs w:val="28"/>
        </w:rPr>
      </w:pPr>
      <w:r>
        <w:rPr>
          <w:rFonts w:hint="eastAsia"/>
          <w:b/>
          <w:sz w:val="28"/>
          <w:szCs w:val="28"/>
        </w:rPr>
        <w:t>第一部分单位概况</w:t>
      </w:r>
    </w:p>
    <w:p w:rsidR="00E55EA9" w:rsidRDefault="003708E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E55EA9" w:rsidRDefault="003708E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E55EA9" w:rsidRDefault="003708E0">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20年度部门决算表</w:t>
      </w:r>
    </w:p>
    <w:p w:rsidR="00E55EA9" w:rsidRDefault="003708E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E55EA9" w:rsidRDefault="003708E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E55EA9" w:rsidRDefault="003708E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E55EA9" w:rsidRDefault="003708E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E55EA9" w:rsidRDefault="003708E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E55EA9" w:rsidRDefault="003708E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E55EA9" w:rsidRDefault="003708E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七、一般公共预算财政拨款“三公”经费支出决算表</w:t>
      </w:r>
    </w:p>
    <w:p w:rsidR="00E55EA9" w:rsidRDefault="003708E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E55EA9" w:rsidRDefault="003708E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E55EA9" w:rsidRDefault="003708E0">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20年度部门决算情况说明</w:t>
      </w:r>
    </w:p>
    <w:p w:rsidR="00E55EA9" w:rsidRDefault="003708E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E55EA9" w:rsidRDefault="003708E0">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E55EA9" w:rsidRDefault="003708E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E55EA9" w:rsidRDefault="003708E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E55EA9" w:rsidRDefault="003708E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E55EA9" w:rsidRDefault="003708E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E55EA9" w:rsidRDefault="003708E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E55EA9" w:rsidRDefault="003708E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E55EA9" w:rsidRDefault="003708E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E55EA9" w:rsidRDefault="003708E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E55EA9" w:rsidRDefault="003708E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E55EA9" w:rsidRDefault="003708E0">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E55EA9" w:rsidRDefault="003708E0">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于2020年</w:t>
      </w:r>
      <w:r>
        <w:rPr>
          <w:rFonts w:ascii="仿宋_GB2312" w:eastAsiaTheme="minorEastAsia" w:hAnsi="仿宋_GB2312" w:cs="仿宋_GB2312" w:hint="eastAsia"/>
          <w:sz w:val="28"/>
          <w:szCs w:val="28"/>
        </w:rPr>
        <w:t>度预算绩效情况的说明</w:t>
      </w:r>
    </w:p>
    <w:p w:rsidR="00E55EA9" w:rsidRDefault="003708E0">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E55EA9" w:rsidRDefault="003708E0">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E55EA9" w:rsidRDefault="00E55EA9">
      <w:pPr>
        <w:jc w:val="center"/>
        <w:rPr>
          <w:sz w:val="72"/>
          <w:szCs w:val="72"/>
        </w:rPr>
      </w:pPr>
    </w:p>
    <w:p w:rsidR="00E55EA9" w:rsidRDefault="00E55EA9">
      <w:pPr>
        <w:jc w:val="center"/>
        <w:rPr>
          <w:sz w:val="72"/>
          <w:szCs w:val="72"/>
        </w:rPr>
      </w:pPr>
    </w:p>
    <w:p w:rsidR="00E55EA9" w:rsidRDefault="00E55EA9">
      <w:pPr>
        <w:jc w:val="center"/>
        <w:rPr>
          <w:sz w:val="72"/>
          <w:szCs w:val="72"/>
        </w:rPr>
      </w:pPr>
    </w:p>
    <w:p w:rsidR="00E55EA9" w:rsidRDefault="00E55EA9">
      <w:pPr>
        <w:jc w:val="center"/>
        <w:rPr>
          <w:sz w:val="72"/>
          <w:szCs w:val="72"/>
        </w:rPr>
      </w:pPr>
    </w:p>
    <w:p w:rsidR="00E55EA9" w:rsidRDefault="00E55EA9">
      <w:pPr>
        <w:rPr>
          <w:sz w:val="72"/>
          <w:szCs w:val="72"/>
        </w:rPr>
      </w:pPr>
    </w:p>
    <w:p w:rsidR="00E55EA9" w:rsidRDefault="003708E0">
      <w:pPr>
        <w:pStyle w:val="Default"/>
        <w:jc w:val="center"/>
        <w:rPr>
          <w:sz w:val="84"/>
          <w:szCs w:val="84"/>
        </w:rPr>
      </w:pPr>
      <w:r>
        <w:rPr>
          <w:rFonts w:hint="eastAsia"/>
          <w:sz w:val="84"/>
          <w:szCs w:val="84"/>
        </w:rPr>
        <w:t>第一部分</w:t>
      </w:r>
    </w:p>
    <w:p w:rsidR="00E55EA9" w:rsidRDefault="00E55EA9">
      <w:pPr>
        <w:pStyle w:val="Default"/>
        <w:jc w:val="center"/>
        <w:rPr>
          <w:sz w:val="84"/>
          <w:szCs w:val="84"/>
        </w:rPr>
      </w:pPr>
    </w:p>
    <w:p w:rsidR="00E55EA9" w:rsidRDefault="003708E0">
      <w:pPr>
        <w:pStyle w:val="Default"/>
        <w:jc w:val="center"/>
        <w:rPr>
          <w:sz w:val="84"/>
          <w:szCs w:val="84"/>
        </w:rPr>
      </w:pPr>
      <w:r>
        <w:rPr>
          <w:rFonts w:hint="eastAsia"/>
          <w:sz w:val="84"/>
          <w:szCs w:val="84"/>
        </w:rPr>
        <w:t>怀化市征收安置办公室概况</w:t>
      </w:r>
    </w:p>
    <w:p w:rsidR="00E55EA9" w:rsidRDefault="00E55EA9">
      <w:pPr>
        <w:jc w:val="center"/>
        <w:rPr>
          <w:sz w:val="72"/>
          <w:szCs w:val="72"/>
        </w:rPr>
      </w:pPr>
    </w:p>
    <w:p w:rsidR="00E55EA9" w:rsidRDefault="00E55EA9">
      <w:pPr>
        <w:jc w:val="center"/>
        <w:rPr>
          <w:sz w:val="72"/>
          <w:szCs w:val="72"/>
        </w:rPr>
      </w:pPr>
    </w:p>
    <w:p w:rsidR="00E55EA9" w:rsidRDefault="00E55EA9">
      <w:pPr>
        <w:jc w:val="center"/>
        <w:rPr>
          <w:sz w:val="72"/>
          <w:szCs w:val="72"/>
        </w:rPr>
      </w:pPr>
    </w:p>
    <w:p w:rsidR="00E55EA9" w:rsidRDefault="00E55EA9">
      <w:pPr>
        <w:jc w:val="center"/>
        <w:rPr>
          <w:sz w:val="72"/>
          <w:szCs w:val="72"/>
        </w:rPr>
      </w:pPr>
    </w:p>
    <w:p w:rsidR="00E55EA9" w:rsidRDefault="00E55EA9">
      <w:pPr>
        <w:jc w:val="center"/>
        <w:rPr>
          <w:sz w:val="72"/>
          <w:szCs w:val="72"/>
        </w:rPr>
      </w:pPr>
    </w:p>
    <w:p w:rsidR="00E55EA9" w:rsidRDefault="00E55EA9">
      <w:pPr>
        <w:pStyle w:val="a6"/>
        <w:ind w:left="720" w:firstLineChars="0" w:firstLine="0"/>
        <w:jc w:val="left"/>
        <w:rPr>
          <w:rFonts w:ascii="黑体" w:eastAsia="黑体" w:hAnsi="黑体"/>
          <w:sz w:val="32"/>
          <w:szCs w:val="32"/>
        </w:rPr>
      </w:pPr>
    </w:p>
    <w:p w:rsidR="00E55EA9" w:rsidRDefault="00E55EA9">
      <w:pPr>
        <w:pStyle w:val="a6"/>
        <w:ind w:left="720" w:firstLineChars="0" w:firstLine="0"/>
        <w:jc w:val="left"/>
        <w:rPr>
          <w:rFonts w:ascii="黑体" w:eastAsia="黑体" w:hAnsi="黑体"/>
          <w:sz w:val="32"/>
          <w:szCs w:val="32"/>
        </w:rPr>
      </w:pPr>
    </w:p>
    <w:p w:rsidR="00E55EA9" w:rsidRDefault="00E55EA9">
      <w:pPr>
        <w:pStyle w:val="a6"/>
        <w:ind w:left="720" w:firstLineChars="0" w:firstLine="0"/>
        <w:jc w:val="left"/>
        <w:rPr>
          <w:rFonts w:ascii="黑体" w:eastAsia="黑体" w:hAnsi="黑体"/>
          <w:sz w:val="32"/>
          <w:szCs w:val="32"/>
        </w:rPr>
      </w:pPr>
    </w:p>
    <w:p w:rsidR="00E55EA9" w:rsidRDefault="003708E0">
      <w:pPr>
        <w:pStyle w:val="a6"/>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E55EA9" w:rsidRDefault="003708E0">
      <w:pPr>
        <w:ind w:firstLineChars="200" w:firstLine="640"/>
        <w:rPr>
          <w:rFonts w:asciiTheme="minorEastAsia" w:hAnsiTheme="minorEastAsia"/>
          <w:bCs/>
          <w:kern w:val="0"/>
          <w:sz w:val="32"/>
          <w:szCs w:val="32"/>
        </w:rPr>
      </w:pPr>
      <w:r>
        <w:rPr>
          <w:rFonts w:ascii="仿宋_GB2312" w:eastAsia="仿宋_GB2312" w:hAnsi="仿宋" w:hint="eastAsia"/>
          <w:sz w:val="32"/>
          <w:szCs w:val="32"/>
        </w:rPr>
        <w:t>（</w:t>
      </w:r>
      <w:r>
        <w:rPr>
          <w:rFonts w:asciiTheme="minorEastAsia" w:hAnsiTheme="minorEastAsia" w:hint="eastAsia"/>
          <w:bCs/>
          <w:kern w:val="0"/>
          <w:sz w:val="32"/>
          <w:szCs w:val="32"/>
        </w:rPr>
        <w:t>一）贯彻执行土地和房屋征收安置的法律、法规和政策；拟定鹤城区土地和房屋征收安置的中长期规划、年度征收安置工作计划。</w:t>
      </w:r>
    </w:p>
    <w:p w:rsidR="00E55EA9" w:rsidRDefault="003708E0">
      <w:pPr>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（二）负责具体实施鹤城区政府作出的集体土地上房屋征收补偿决定的房屋征收补偿工作。</w:t>
      </w:r>
    </w:p>
    <w:p w:rsidR="00E55EA9" w:rsidRDefault="003708E0">
      <w:pPr>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（三）负责按照国土资源主管部门的委托或下达的计划，具体实施鹤城区范围内集体土地的征收及村民房屋征收安置工作。</w:t>
      </w:r>
    </w:p>
    <w:p w:rsidR="00E55EA9" w:rsidRDefault="003708E0">
      <w:pPr>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（四）负责鹤城区安置区建设的组织、指导、协调工作。</w:t>
      </w:r>
    </w:p>
    <w:p w:rsidR="00E55EA9" w:rsidRDefault="003708E0">
      <w:pPr>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（五）负责鹤城区征收安置工作相关法律法规的解释、宣传工作和矛盾纠纷的调解、信访工作。</w:t>
      </w:r>
    </w:p>
    <w:p w:rsidR="00E55EA9" w:rsidRDefault="003708E0">
      <w:pPr>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（六）负责鹤城区征收补偿资金和安置房建设资金的核拨、监管。</w:t>
      </w:r>
    </w:p>
    <w:p w:rsidR="00E55EA9" w:rsidRDefault="003708E0">
      <w:pPr>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（七）参与鹤城区范围内违法违章建筑的处理工作。</w:t>
      </w:r>
    </w:p>
    <w:p w:rsidR="00E55EA9" w:rsidRDefault="003708E0">
      <w:pPr>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（八）负责鹤城区征收安置工作的信息、统计和档案工作。</w:t>
      </w:r>
    </w:p>
    <w:p w:rsidR="00E55EA9" w:rsidRDefault="003708E0">
      <w:pPr>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（九）参与鹤城区涉及征收安置工作的综合绩效考核评估。</w:t>
      </w:r>
    </w:p>
    <w:p w:rsidR="00E55EA9" w:rsidRDefault="003708E0">
      <w:pPr>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（十）承办鹤城区委、区政府交办的其他事项。</w:t>
      </w:r>
    </w:p>
    <w:p w:rsidR="00E55EA9" w:rsidRDefault="00E55EA9">
      <w:pPr>
        <w:ind w:firstLineChars="200" w:firstLine="640"/>
        <w:rPr>
          <w:rFonts w:asciiTheme="minorEastAsia" w:hAnsiTheme="minorEastAsia"/>
          <w:bCs/>
          <w:kern w:val="0"/>
          <w:sz w:val="32"/>
          <w:szCs w:val="32"/>
        </w:rPr>
      </w:pPr>
    </w:p>
    <w:p w:rsidR="00E55EA9" w:rsidRDefault="00E55EA9">
      <w:pPr>
        <w:jc w:val="left"/>
        <w:rPr>
          <w:rFonts w:ascii="仿宋_GB2312" w:eastAsia="仿宋_GB2312" w:hAnsiTheme="minorEastAsia"/>
          <w:sz w:val="28"/>
          <w:szCs w:val="32"/>
        </w:rPr>
      </w:pPr>
    </w:p>
    <w:p w:rsidR="00E55EA9" w:rsidRDefault="003708E0">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E55EA9" w:rsidRDefault="003708E0">
      <w:pPr>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（一）内设机构设置。市征收安置办公室作为一级部门预算单位，内设8个科室，分别为综合科、财务科、法规科、安置科、征拆一科、征拆二科、征拆三科、征拆四科。</w:t>
      </w:r>
    </w:p>
    <w:p w:rsidR="00E55EA9" w:rsidRDefault="003708E0">
      <w:pPr>
        <w:widowControl/>
        <w:spacing w:line="600" w:lineRule="exact"/>
        <w:ind w:firstLineChars="200" w:firstLine="640"/>
        <w:rPr>
          <w:rFonts w:asciiTheme="minorEastAsia" w:hAnsiTheme="minorEastAsia"/>
          <w:sz w:val="32"/>
          <w:szCs w:val="32"/>
        </w:rPr>
      </w:pPr>
      <w:r>
        <w:rPr>
          <w:rFonts w:asciiTheme="minorEastAsia" w:hAnsiTheme="minorEastAsia" w:hint="eastAsia"/>
          <w:bCs/>
          <w:kern w:val="0"/>
          <w:sz w:val="32"/>
          <w:szCs w:val="32"/>
        </w:rPr>
        <w:t>（二）决算单位构成。市征收安置办公室</w:t>
      </w:r>
      <w:r>
        <w:rPr>
          <w:rFonts w:asciiTheme="minorEastAsia" w:hAnsiTheme="minorEastAsia"/>
          <w:bCs/>
          <w:kern w:val="0"/>
          <w:sz w:val="32"/>
          <w:szCs w:val="32"/>
        </w:rPr>
        <w:t>20</w:t>
      </w:r>
      <w:r>
        <w:rPr>
          <w:rFonts w:asciiTheme="minorEastAsia" w:hAnsiTheme="minorEastAsia" w:hint="eastAsia"/>
          <w:bCs/>
          <w:kern w:val="0"/>
          <w:sz w:val="32"/>
          <w:szCs w:val="32"/>
        </w:rPr>
        <w:t>20年部门决算汇总公开单位构成包括：市征收安置办公室单位本级。</w:t>
      </w:r>
    </w:p>
    <w:p w:rsidR="00E55EA9" w:rsidRDefault="00E55EA9">
      <w:pPr>
        <w:jc w:val="left"/>
        <w:rPr>
          <w:rFonts w:ascii="仿宋_GB2312" w:eastAsia="仿宋_GB2312" w:hAnsiTheme="minorEastAsia"/>
          <w:sz w:val="28"/>
          <w:szCs w:val="32"/>
        </w:rPr>
      </w:pPr>
    </w:p>
    <w:p w:rsidR="00E55EA9" w:rsidRDefault="00E55EA9">
      <w:pPr>
        <w:jc w:val="left"/>
        <w:rPr>
          <w:rFonts w:ascii="仿宋_GB2312" w:eastAsia="仿宋_GB2312" w:hAnsiTheme="minorEastAsia"/>
          <w:sz w:val="28"/>
          <w:szCs w:val="32"/>
        </w:rPr>
      </w:pPr>
    </w:p>
    <w:p w:rsidR="00E55EA9" w:rsidRDefault="00E55EA9">
      <w:pPr>
        <w:jc w:val="center"/>
        <w:rPr>
          <w:rFonts w:ascii="黑体" w:eastAsia="黑体" w:hAnsi="黑体"/>
          <w:sz w:val="28"/>
          <w:szCs w:val="28"/>
        </w:rPr>
      </w:pPr>
    </w:p>
    <w:p w:rsidR="00E55EA9" w:rsidRDefault="00E55EA9">
      <w:pPr>
        <w:jc w:val="center"/>
        <w:rPr>
          <w:rFonts w:ascii="黑体" w:eastAsia="黑体" w:hAnsi="黑体"/>
          <w:sz w:val="28"/>
          <w:szCs w:val="28"/>
        </w:rPr>
      </w:pPr>
    </w:p>
    <w:p w:rsidR="00E55EA9" w:rsidRDefault="00E55EA9">
      <w:pPr>
        <w:jc w:val="center"/>
        <w:rPr>
          <w:rFonts w:ascii="黑体" w:eastAsia="黑体" w:hAnsi="黑体"/>
          <w:sz w:val="28"/>
          <w:szCs w:val="28"/>
        </w:rPr>
      </w:pPr>
    </w:p>
    <w:p w:rsidR="00E55EA9" w:rsidRDefault="00E55EA9">
      <w:pPr>
        <w:jc w:val="center"/>
        <w:rPr>
          <w:rFonts w:ascii="黑体" w:eastAsia="黑体" w:hAnsi="黑体"/>
          <w:sz w:val="28"/>
          <w:szCs w:val="28"/>
        </w:rPr>
      </w:pPr>
    </w:p>
    <w:p w:rsidR="00E55EA9" w:rsidRDefault="00E55EA9">
      <w:pPr>
        <w:jc w:val="center"/>
        <w:rPr>
          <w:rFonts w:ascii="黑体" w:eastAsia="黑体" w:hAnsi="黑体"/>
          <w:sz w:val="28"/>
          <w:szCs w:val="28"/>
        </w:rPr>
      </w:pPr>
    </w:p>
    <w:p w:rsidR="00E55EA9" w:rsidRDefault="00E55EA9">
      <w:pPr>
        <w:jc w:val="center"/>
        <w:rPr>
          <w:rFonts w:ascii="黑体" w:eastAsia="黑体" w:hAnsi="黑体"/>
          <w:sz w:val="28"/>
          <w:szCs w:val="28"/>
        </w:rPr>
      </w:pPr>
    </w:p>
    <w:p w:rsidR="00E55EA9" w:rsidRDefault="00E55EA9">
      <w:pPr>
        <w:jc w:val="center"/>
        <w:rPr>
          <w:rFonts w:ascii="黑体" w:eastAsia="黑体" w:hAnsi="黑体"/>
          <w:sz w:val="28"/>
          <w:szCs w:val="28"/>
        </w:rPr>
      </w:pPr>
    </w:p>
    <w:p w:rsidR="00E55EA9" w:rsidRDefault="00E55EA9">
      <w:pPr>
        <w:jc w:val="center"/>
        <w:rPr>
          <w:rFonts w:ascii="黑体" w:eastAsia="黑体" w:hAnsi="黑体"/>
          <w:sz w:val="28"/>
          <w:szCs w:val="28"/>
        </w:rPr>
      </w:pPr>
    </w:p>
    <w:p w:rsidR="00E55EA9" w:rsidRDefault="00E55EA9">
      <w:pPr>
        <w:jc w:val="center"/>
        <w:rPr>
          <w:rFonts w:ascii="黑体" w:eastAsia="黑体" w:hAnsi="黑体"/>
          <w:sz w:val="28"/>
          <w:szCs w:val="28"/>
        </w:rPr>
      </w:pPr>
    </w:p>
    <w:p w:rsidR="00E55EA9" w:rsidRDefault="00E55EA9">
      <w:pPr>
        <w:jc w:val="center"/>
        <w:rPr>
          <w:rFonts w:ascii="黑体" w:eastAsia="黑体" w:hAnsi="黑体"/>
          <w:sz w:val="28"/>
          <w:szCs w:val="28"/>
        </w:rPr>
      </w:pPr>
    </w:p>
    <w:p w:rsidR="00E55EA9" w:rsidRDefault="00E55EA9">
      <w:pPr>
        <w:jc w:val="center"/>
        <w:rPr>
          <w:rFonts w:ascii="黑体" w:eastAsia="黑体" w:hAnsi="黑体"/>
          <w:sz w:val="28"/>
          <w:szCs w:val="28"/>
        </w:rPr>
      </w:pPr>
    </w:p>
    <w:p w:rsidR="00E55EA9" w:rsidRDefault="00E55EA9">
      <w:pPr>
        <w:jc w:val="center"/>
        <w:rPr>
          <w:rFonts w:ascii="黑体" w:eastAsia="黑体" w:hAnsi="黑体"/>
          <w:sz w:val="28"/>
          <w:szCs w:val="28"/>
        </w:rPr>
      </w:pPr>
    </w:p>
    <w:p w:rsidR="00E55EA9" w:rsidRDefault="00E55EA9">
      <w:pPr>
        <w:jc w:val="center"/>
        <w:rPr>
          <w:sz w:val="72"/>
          <w:szCs w:val="72"/>
        </w:rPr>
      </w:pPr>
    </w:p>
    <w:p w:rsidR="00E55EA9" w:rsidRDefault="00E55EA9">
      <w:pPr>
        <w:jc w:val="center"/>
        <w:rPr>
          <w:sz w:val="72"/>
          <w:szCs w:val="72"/>
        </w:rPr>
      </w:pPr>
    </w:p>
    <w:p w:rsidR="00E55EA9" w:rsidRDefault="00E55EA9">
      <w:pPr>
        <w:jc w:val="center"/>
        <w:rPr>
          <w:sz w:val="72"/>
          <w:szCs w:val="72"/>
        </w:rPr>
      </w:pPr>
    </w:p>
    <w:p w:rsidR="00E55EA9" w:rsidRDefault="00E55EA9">
      <w:pPr>
        <w:jc w:val="center"/>
        <w:rPr>
          <w:sz w:val="72"/>
          <w:szCs w:val="72"/>
        </w:rPr>
      </w:pPr>
    </w:p>
    <w:p w:rsidR="00E55EA9" w:rsidRDefault="00E55EA9">
      <w:pPr>
        <w:jc w:val="center"/>
        <w:rPr>
          <w:sz w:val="72"/>
          <w:szCs w:val="72"/>
        </w:rPr>
      </w:pPr>
    </w:p>
    <w:p w:rsidR="00E55EA9" w:rsidRDefault="003708E0">
      <w:pPr>
        <w:jc w:val="center"/>
        <w:rPr>
          <w:sz w:val="72"/>
          <w:szCs w:val="72"/>
        </w:rPr>
      </w:pPr>
      <w:r>
        <w:rPr>
          <w:rFonts w:hint="eastAsia"/>
          <w:sz w:val="72"/>
          <w:szCs w:val="72"/>
        </w:rPr>
        <w:t>第二部分</w:t>
      </w:r>
    </w:p>
    <w:p w:rsidR="00E55EA9" w:rsidRDefault="00E55EA9">
      <w:pPr>
        <w:jc w:val="center"/>
        <w:rPr>
          <w:sz w:val="72"/>
          <w:szCs w:val="72"/>
        </w:rPr>
      </w:pPr>
    </w:p>
    <w:p w:rsidR="00E55EA9" w:rsidRDefault="003708E0">
      <w:pPr>
        <w:jc w:val="center"/>
        <w:rPr>
          <w:sz w:val="72"/>
          <w:szCs w:val="72"/>
        </w:rPr>
      </w:pPr>
      <w:r>
        <w:rPr>
          <w:rFonts w:hint="eastAsia"/>
          <w:sz w:val="72"/>
          <w:szCs w:val="72"/>
        </w:rPr>
        <w:t>部门决算表</w:t>
      </w:r>
      <w:r>
        <w:rPr>
          <w:sz w:val="72"/>
          <w:szCs w:val="72"/>
        </w:rPr>
        <w:br/>
      </w:r>
      <w:r>
        <w:rPr>
          <w:rFonts w:hint="eastAsia"/>
          <w:sz w:val="72"/>
          <w:szCs w:val="72"/>
        </w:rPr>
        <w:lastRenderedPageBreak/>
        <w:t>（表格见附件）</w:t>
      </w:r>
    </w:p>
    <w:p w:rsidR="00E55EA9" w:rsidRDefault="00E55EA9">
      <w:pPr>
        <w:jc w:val="center"/>
        <w:rPr>
          <w:sz w:val="72"/>
          <w:szCs w:val="72"/>
        </w:rPr>
      </w:pPr>
    </w:p>
    <w:p w:rsidR="00E55EA9" w:rsidRDefault="00E55EA9">
      <w:pPr>
        <w:jc w:val="center"/>
        <w:rPr>
          <w:sz w:val="72"/>
          <w:szCs w:val="72"/>
        </w:rPr>
      </w:pPr>
    </w:p>
    <w:p w:rsidR="00E55EA9" w:rsidRDefault="00E55EA9">
      <w:pPr>
        <w:jc w:val="center"/>
        <w:rPr>
          <w:sz w:val="72"/>
          <w:szCs w:val="72"/>
        </w:rPr>
      </w:pPr>
    </w:p>
    <w:p w:rsidR="00E55EA9" w:rsidRDefault="00E55EA9">
      <w:pPr>
        <w:jc w:val="center"/>
        <w:rPr>
          <w:sz w:val="72"/>
          <w:szCs w:val="72"/>
        </w:rPr>
      </w:pPr>
    </w:p>
    <w:p w:rsidR="00E55EA9" w:rsidRDefault="00E55EA9">
      <w:pPr>
        <w:jc w:val="center"/>
        <w:rPr>
          <w:sz w:val="72"/>
          <w:szCs w:val="72"/>
        </w:rPr>
      </w:pPr>
    </w:p>
    <w:p w:rsidR="00E55EA9" w:rsidRDefault="00E55EA9">
      <w:pPr>
        <w:jc w:val="center"/>
        <w:rPr>
          <w:sz w:val="72"/>
          <w:szCs w:val="72"/>
        </w:rPr>
      </w:pPr>
    </w:p>
    <w:p w:rsidR="00E55EA9" w:rsidRDefault="00E55EA9">
      <w:pPr>
        <w:jc w:val="left"/>
        <w:rPr>
          <w:sz w:val="32"/>
          <w:szCs w:val="32"/>
        </w:rPr>
      </w:pPr>
    </w:p>
    <w:p w:rsidR="00E55EA9" w:rsidRDefault="00E55EA9">
      <w:pPr>
        <w:jc w:val="left"/>
        <w:rPr>
          <w:rFonts w:asciiTheme="minorEastAsia" w:hAnsiTheme="minorEastAsia"/>
          <w:sz w:val="32"/>
          <w:szCs w:val="32"/>
        </w:rPr>
        <w:sectPr w:rsidR="00E55EA9">
          <w:pgSz w:w="11906" w:h="16838"/>
          <w:pgMar w:top="720" w:right="720" w:bottom="720" w:left="720" w:header="851" w:footer="992" w:gutter="0"/>
          <w:cols w:space="425"/>
          <w:docGrid w:type="lines" w:linePitch="312"/>
        </w:sectPr>
      </w:pPr>
    </w:p>
    <w:p w:rsidR="00E55EA9" w:rsidRDefault="00E55EA9">
      <w:pPr>
        <w:pStyle w:val="Default"/>
        <w:rPr>
          <w:sz w:val="72"/>
          <w:szCs w:val="72"/>
        </w:rPr>
      </w:pPr>
    </w:p>
    <w:p w:rsidR="00E55EA9" w:rsidRDefault="00E55EA9">
      <w:pPr>
        <w:pStyle w:val="Default"/>
        <w:rPr>
          <w:sz w:val="72"/>
          <w:szCs w:val="72"/>
        </w:rPr>
      </w:pPr>
    </w:p>
    <w:p w:rsidR="00E55EA9" w:rsidRDefault="00E55EA9">
      <w:pPr>
        <w:pStyle w:val="Default"/>
        <w:rPr>
          <w:sz w:val="72"/>
          <w:szCs w:val="72"/>
        </w:rPr>
      </w:pPr>
    </w:p>
    <w:p w:rsidR="00E55EA9" w:rsidRDefault="00E55EA9">
      <w:pPr>
        <w:pStyle w:val="Default"/>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3708E0">
      <w:pPr>
        <w:pStyle w:val="Default"/>
        <w:jc w:val="center"/>
        <w:rPr>
          <w:sz w:val="72"/>
          <w:szCs w:val="72"/>
        </w:rPr>
      </w:pPr>
      <w:r>
        <w:rPr>
          <w:rFonts w:hint="eastAsia"/>
          <w:sz w:val="72"/>
          <w:szCs w:val="72"/>
        </w:rPr>
        <w:t>第三部分</w:t>
      </w:r>
    </w:p>
    <w:p w:rsidR="00E55EA9" w:rsidRDefault="00E55EA9">
      <w:pPr>
        <w:pStyle w:val="Default"/>
        <w:jc w:val="center"/>
        <w:rPr>
          <w:sz w:val="70"/>
          <w:szCs w:val="70"/>
        </w:rPr>
      </w:pPr>
    </w:p>
    <w:p w:rsidR="00E55EA9" w:rsidRDefault="003708E0">
      <w:pPr>
        <w:pStyle w:val="Default"/>
        <w:jc w:val="center"/>
        <w:rPr>
          <w:sz w:val="70"/>
          <w:szCs w:val="70"/>
        </w:rPr>
      </w:pPr>
      <w:r>
        <w:rPr>
          <w:sz w:val="70"/>
          <w:szCs w:val="70"/>
        </w:rPr>
        <w:t>20</w:t>
      </w:r>
      <w:r>
        <w:rPr>
          <w:rFonts w:hint="eastAsia"/>
          <w:sz w:val="70"/>
          <w:szCs w:val="70"/>
        </w:rPr>
        <w:t>20年度部门决算情况说明</w:t>
      </w:r>
    </w:p>
    <w:p w:rsidR="00E55EA9" w:rsidRDefault="003708E0">
      <w:pPr>
        <w:widowControl/>
        <w:jc w:val="left"/>
        <w:rPr>
          <w:rFonts w:ascii="黑体" w:eastAsia="黑体" w:cs="黑体"/>
          <w:color w:val="000000"/>
          <w:kern w:val="0"/>
          <w:sz w:val="70"/>
          <w:szCs w:val="70"/>
        </w:rPr>
      </w:pPr>
      <w:r>
        <w:rPr>
          <w:sz w:val="70"/>
          <w:szCs w:val="70"/>
        </w:rPr>
        <w:br w:type="page"/>
      </w:r>
    </w:p>
    <w:p w:rsidR="00E55EA9" w:rsidRDefault="00E55EA9">
      <w:pPr>
        <w:pStyle w:val="Default"/>
        <w:rPr>
          <w:rFonts w:asciiTheme="minorEastAsia" w:eastAsiaTheme="minorEastAsia" w:hAnsiTheme="minorEastAsia"/>
          <w:sz w:val="32"/>
          <w:szCs w:val="32"/>
        </w:rPr>
      </w:pPr>
    </w:p>
    <w:p w:rsidR="00E55EA9" w:rsidRDefault="003708E0">
      <w:pPr>
        <w:pStyle w:val="Default"/>
        <w:rPr>
          <w:rFonts w:hAnsi="黑体"/>
          <w:b/>
          <w:sz w:val="32"/>
          <w:szCs w:val="32"/>
        </w:rPr>
      </w:pPr>
      <w:r>
        <w:rPr>
          <w:rFonts w:hAnsi="黑体" w:hint="eastAsia"/>
          <w:b/>
          <w:sz w:val="32"/>
          <w:szCs w:val="32"/>
        </w:rPr>
        <w:t>一、收入支出决算总体情况说明</w:t>
      </w:r>
    </w:p>
    <w:p w:rsidR="00E55EA9" w:rsidRDefault="003708E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2020年度收入合计696.75万元。与上年相比，增加34万元，增长5.13%，主要是因为单位人员增加，相应的人员工资及经费增加。</w:t>
      </w:r>
    </w:p>
    <w:p w:rsidR="00E55EA9" w:rsidRDefault="003708E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2020年度支出合计696.71万元（结转下年0.05万元）。与上年相比，增加30.89万元，增长4.64%，主要是因为单位人员增加，相应的人员工资及经费增加。</w:t>
      </w:r>
    </w:p>
    <w:p w:rsidR="00E55EA9" w:rsidRDefault="003708E0">
      <w:pPr>
        <w:pStyle w:val="Default"/>
        <w:rPr>
          <w:rFonts w:hAnsi="黑体"/>
          <w:b/>
          <w:sz w:val="32"/>
          <w:szCs w:val="32"/>
        </w:rPr>
      </w:pPr>
      <w:r>
        <w:rPr>
          <w:rFonts w:hAnsi="黑体" w:hint="eastAsia"/>
          <w:b/>
          <w:sz w:val="32"/>
          <w:szCs w:val="32"/>
        </w:rPr>
        <w:t>二、收入决算情况说明</w:t>
      </w:r>
    </w:p>
    <w:p w:rsidR="00E55EA9" w:rsidRDefault="003708E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本年收入合计696.75万元，其中：财政拨款收入696.75万元，占100%；上级补助收入0万元，占0%；事业收入0万元，占0%；经营收入0万元，占0%；附属单位上缴收入0万元，占0%；其他收入0万元，占0%。</w:t>
      </w:r>
    </w:p>
    <w:p w:rsidR="00E55EA9" w:rsidRDefault="003708E0">
      <w:pPr>
        <w:pStyle w:val="Default"/>
        <w:rPr>
          <w:rFonts w:hAnsi="黑体"/>
          <w:b/>
          <w:sz w:val="32"/>
          <w:szCs w:val="32"/>
        </w:rPr>
      </w:pPr>
      <w:r>
        <w:rPr>
          <w:rFonts w:hAnsi="黑体" w:hint="eastAsia"/>
          <w:b/>
          <w:sz w:val="32"/>
          <w:szCs w:val="32"/>
        </w:rPr>
        <w:t>三、支出决算情况说明</w:t>
      </w:r>
    </w:p>
    <w:p w:rsidR="00E55EA9" w:rsidRDefault="003708E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本年支出合计696.71万元，其中：基本支出685.55万元，占98.4%；项目支出11.16万元，占1.6%；上缴上级支出0万元，占0%；经营支出0万元，占0%；对附属单位补助支出0万元，占0%。</w:t>
      </w:r>
    </w:p>
    <w:p w:rsidR="00E55EA9" w:rsidRDefault="003708E0">
      <w:pPr>
        <w:pStyle w:val="Default"/>
        <w:rPr>
          <w:rFonts w:hAnsi="黑体"/>
          <w:b/>
          <w:sz w:val="32"/>
          <w:szCs w:val="32"/>
        </w:rPr>
      </w:pPr>
      <w:r>
        <w:rPr>
          <w:rFonts w:hAnsi="黑体" w:hint="eastAsia"/>
          <w:b/>
          <w:sz w:val="32"/>
          <w:szCs w:val="32"/>
        </w:rPr>
        <w:t>四、财政拨款收入支出决算总体情况说明</w:t>
      </w:r>
    </w:p>
    <w:p w:rsidR="00E55EA9" w:rsidRDefault="003708E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2020年度财政拨款收入总计696.75万元。与上年相比，增加30.89万元，增长4.64%，主要是因为单位人员增加，相应的人员工资及经费增加。</w:t>
      </w:r>
    </w:p>
    <w:p w:rsidR="00E55EA9" w:rsidRDefault="003708E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2020年度财政拨款支出总计696.71万元。与上年相比，增加30.89万元，增长4.64%，主要是因为单位人员增加，相应的人员工资及经费增加。</w:t>
      </w:r>
    </w:p>
    <w:p w:rsidR="00E55EA9" w:rsidRDefault="00E55EA9">
      <w:pPr>
        <w:pStyle w:val="Default"/>
        <w:ind w:firstLineChars="200" w:firstLine="640"/>
        <w:rPr>
          <w:rFonts w:asciiTheme="minorEastAsia" w:eastAsiaTheme="minorEastAsia" w:hAnsiTheme="minorEastAsia"/>
          <w:sz w:val="32"/>
          <w:szCs w:val="32"/>
        </w:rPr>
      </w:pPr>
    </w:p>
    <w:p w:rsidR="00E55EA9" w:rsidRDefault="003708E0">
      <w:pPr>
        <w:pStyle w:val="Default"/>
        <w:rPr>
          <w:rFonts w:hAnsi="黑体"/>
          <w:b/>
          <w:sz w:val="32"/>
          <w:szCs w:val="32"/>
        </w:rPr>
      </w:pPr>
      <w:r>
        <w:rPr>
          <w:rFonts w:hAnsi="黑体" w:hint="eastAsia"/>
          <w:b/>
          <w:sz w:val="32"/>
          <w:szCs w:val="32"/>
        </w:rPr>
        <w:t>五、一般公共预算财政拨款支出决算情况说明</w:t>
      </w:r>
    </w:p>
    <w:p w:rsidR="00E55EA9" w:rsidRDefault="003708E0" w:rsidP="005C40F4">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E55EA9" w:rsidRDefault="003708E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2020年度财政拨款支出696.75万元，占本年支出合计的100%，与上年</w:t>
      </w:r>
      <w:r>
        <w:rPr>
          <w:rFonts w:asciiTheme="minorEastAsia" w:eastAsiaTheme="minorEastAsia" w:hAnsiTheme="minorEastAsia" w:hint="eastAsia"/>
          <w:sz w:val="32"/>
          <w:szCs w:val="32"/>
        </w:rPr>
        <w:lastRenderedPageBreak/>
        <w:t>相比，财政拨款支出增加30.89万元，增长4.64%，主要是因为单位人员增加，相应的人员工资及经费增加。</w:t>
      </w:r>
    </w:p>
    <w:p w:rsidR="00E55EA9" w:rsidRDefault="003708E0" w:rsidP="005C40F4">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E55EA9" w:rsidRDefault="003708E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2020年度财政拨款支出696.71万元，主要用于以下方面：城乡社区支出659.04万元，占94.6%；卫生健康支出31.83万元，占4.57%；社会保障和就业服务5.83,占0.84%。</w:t>
      </w:r>
    </w:p>
    <w:p w:rsidR="00E55EA9" w:rsidRDefault="003708E0" w:rsidP="005C40F4">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bookmarkStart w:id="0" w:name="_GoBack"/>
      <w:bookmarkEnd w:id="0"/>
    </w:p>
    <w:p w:rsidR="00E55EA9" w:rsidRDefault="003708E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2020年度财政拨款支出年初预算数为671.28万元，支出决算数为696.71万元，完成年初预算的103.72%，其中：</w:t>
      </w:r>
    </w:p>
    <w:p w:rsidR="00E55EA9" w:rsidRDefault="003708E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1、一般公共服务（类）社会保障和就业支出。</w:t>
      </w:r>
    </w:p>
    <w:p w:rsidR="00E55EA9" w:rsidRDefault="003708E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年初预算为88.68万元，支出决算为5.83万元，完成年初预算的6.57%，决算数小于年初预算数的主要原因是职业年金和失业保险年初纳入本单位预算，年终决算没有纳入本单位年终决算。</w:t>
      </w:r>
    </w:p>
    <w:p w:rsidR="00E55EA9" w:rsidRDefault="003708E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2、一般公共服务（类）医疗卫生与计划生育支出。</w:t>
      </w:r>
    </w:p>
    <w:p w:rsidR="00E55EA9" w:rsidRDefault="003708E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年初预算为28.67万元，支出决算为31.83万元，完成年初预算的111.02%，决算数大于年初预算数的主要原因是：人员增加，导致相应的支出增加。</w:t>
      </w:r>
    </w:p>
    <w:p w:rsidR="00E55EA9" w:rsidRDefault="003708E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3、一般公共服务（类）城乡社区支出。</w:t>
      </w:r>
    </w:p>
    <w:p w:rsidR="00E55EA9" w:rsidRDefault="003708E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年初预算为513.9万元，支出决算为659.04万元，完成年初预算的128.24%，决算数大于年初预算数的主要原因是：人员增加，导致相应的支出增加。</w:t>
      </w:r>
    </w:p>
    <w:p w:rsidR="00E55EA9" w:rsidRDefault="003708E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4、一般公共服务（类）住房保障支出。</w:t>
      </w:r>
    </w:p>
    <w:p w:rsidR="00E55EA9" w:rsidRDefault="003708E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年初预算为40.03万元，支出决算为0万元，完成年初预算的0%，决算数小于年初预算数的主要原因是：住房公积金在年初纳入本单位预算，年终</w:t>
      </w:r>
      <w:r>
        <w:rPr>
          <w:rFonts w:asciiTheme="minorEastAsia" w:eastAsiaTheme="minorEastAsia" w:hAnsiTheme="minorEastAsia" w:hint="eastAsia"/>
          <w:sz w:val="32"/>
          <w:szCs w:val="32"/>
        </w:rPr>
        <w:lastRenderedPageBreak/>
        <w:t>决算没有纳入本单位年终决算。</w:t>
      </w:r>
    </w:p>
    <w:p w:rsidR="00E55EA9" w:rsidRDefault="00E55EA9">
      <w:pPr>
        <w:pStyle w:val="Default"/>
        <w:ind w:firstLineChars="250" w:firstLine="800"/>
        <w:rPr>
          <w:rFonts w:asciiTheme="minorEastAsia" w:eastAsiaTheme="minorEastAsia" w:hAnsiTheme="minorEastAsia"/>
          <w:sz w:val="32"/>
          <w:szCs w:val="32"/>
        </w:rPr>
      </w:pPr>
    </w:p>
    <w:p w:rsidR="00E55EA9" w:rsidRDefault="00E55EA9">
      <w:pPr>
        <w:pStyle w:val="Default"/>
        <w:ind w:firstLineChars="250" w:firstLine="800"/>
        <w:rPr>
          <w:rFonts w:asciiTheme="minorEastAsia" w:eastAsiaTheme="minorEastAsia" w:hAnsiTheme="minorEastAsia"/>
          <w:sz w:val="32"/>
          <w:szCs w:val="32"/>
        </w:rPr>
      </w:pPr>
    </w:p>
    <w:p w:rsidR="00E55EA9" w:rsidRDefault="003708E0">
      <w:pPr>
        <w:pStyle w:val="Default"/>
        <w:rPr>
          <w:rFonts w:hAnsi="黑体"/>
          <w:b/>
          <w:sz w:val="32"/>
          <w:szCs w:val="32"/>
        </w:rPr>
      </w:pPr>
      <w:r>
        <w:rPr>
          <w:rFonts w:hAnsi="黑体" w:hint="eastAsia"/>
          <w:b/>
          <w:sz w:val="32"/>
          <w:szCs w:val="32"/>
        </w:rPr>
        <w:t>六、一般公共预算财政拨款基本支出决算情况说明</w:t>
      </w:r>
    </w:p>
    <w:p w:rsidR="00E55EA9" w:rsidRDefault="003708E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基本支出685.55万元，其中：人员经费675.12万元，占基本支出的98.48%,主要包括基本工资、津贴补贴、奖金、伙食补助费；公用经费10.42万元，占基本支出的1.52%，主要包括办公费、印刷费、咨询费、手续费.</w:t>
      </w:r>
    </w:p>
    <w:p w:rsidR="00E55EA9" w:rsidRDefault="003708E0">
      <w:pPr>
        <w:pStyle w:val="Default"/>
        <w:rPr>
          <w:rFonts w:hAnsi="黑体"/>
          <w:b/>
          <w:sz w:val="32"/>
          <w:szCs w:val="32"/>
        </w:rPr>
      </w:pPr>
      <w:r>
        <w:rPr>
          <w:rFonts w:hAnsi="黑体" w:hint="eastAsia"/>
          <w:b/>
          <w:sz w:val="32"/>
          <w:szCs w:val="32"/>
        </w:rPr>
        <w:t>七、一般公共预算财政拨款三公经费支出决算情况说明</w:t>
      </w:r>
    </w:p>
    <w:p w:rsidR="00E55EA9" w:rsidRDefault="003708E0">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E55EA9" w:rsidRDefault="003708E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“三公”经费财政拨款支出预算为6.12万元，支出决算为0.44万元，完成预算的7.19%，其中：</w:t>
      </w:r>
    </w:p>
    <w:p w:rsidR="00E55EA9" w:rsidRDefault="003708E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因公出国（境）费支出预算为0万元，支出决算为0万元，完成预算的0%。</w:t>
      </w:r>
    </w:p>
    <w:p w:rsidR="00E55EA9" w:rsidRDefault="003708E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公务接待费支出预算为1万元，支出决算为0万元，完成预算的0%，决算数小于预算数的主要原因是厉行节约，压减开支，与上年相比减少（增加）0万元，主要原因是厉行节约，压减开支。</w:t>
      </w:r>
    </w:p>
    <w:p w:rsidR="00E55EA9" w:rsidRDefault="003708E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5.12万元，支出决算为0.44万元，完成预算的8.59%，决算数小于预算数的主要原因是厉行节约，压减开支，与上年相比减少4.06万元，减少90.22%,减少的主要原因是公务用车减少。</w:t>
      </w:r>
    </w:p>
    <w:p w:rsidR="00E55EA9" w:rsidRDefault="003708E0">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E55EA9" w:rsidRDefault="003708E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2020年度“三公”经费财政拨款支出决算中，公务接待费支出决算0万元，占0%,因公出国（境）费支出决算0万元，占0%,公务用车购置费及运行</w:t>
      </w:r>
      <w:r>
        <w:rPr>
          <w:rFonts w:asciiTheme="minorEastAsia" w:eastAsiaTheme="minorEastAsia" w:hAnsiTheme="minorEastAsia" w:hint="eastAsia"/>
          <w:sz w:val="32"/>
          <w:szCs w:val="32"/>
        </w:rPr>
        <w:lastRenderedPageBreak/>
        <w:t>维护费支出决算0.44万元，占100%。其中：</w:t>
      </w:r>
    </w:p>
    <w:p w:rsidR="00E55EA9" w:rsidRDefault="003708E0">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1、因公出国（境）费支出决算为0万元，全年安排因公出国（境）团组0个，累计0人次.</w:t>
      </w:r>
    </w:p>
    <w:p w:rsidR="00E55EA9" w:rsidRDefault="003708E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2、公务接待费支出决算为0万元，全年共接待来访团组0个、来宾0人次.</w:t>
      </w:r>
    </w:p>
    <w:p w:rsidR="00E55EA9" w:rsidRDefault="003708E0">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3、公务用车购置费及运行维护费支出决算为0.44万元，其中：公务用车购置费0万元</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公务用车运行维护费0.44万元，主要是燃油支出，截止2020年12月31日，我单位开支财政拨款的公务用车保有量为2辆。</w:t>
      </w:r>
    </w:p>
    <w:p w:rsidR="00E55EA9" w:rsidRDefault="003708E0">
      <w:pPr>
        <w:pStyle w:val="Default"/>
        <w:rPr>
          <w:rFonts w:hAnsi="黑体"/>
          <w:b/>
          <w:sz w:val="32"/>
          <w:szCs w:val="32"/>
        </w:rPr>
      </w:pPr>
      <w:r>
        <w:rPr>
          <w:rFonts w:hAnsi="黑体" w:hint="eastAsia"/>
          <w:b/>
          <w:sz w:val="32"/>
          <w:szCs w:val="32"/>
        </w:rPr>
        <w:t>八、政府性基金预算收入支出决算情况</w:t>
      </w:r>
    </w:p>
    <w:p w:rsidR="00E55EA9" w:rsidRDefault="003708E0">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2020年度政府性基金预算财政拨款收入0万元；年初结转和结余0万元；支出0万元，其中基本支出0万元，项目支出0万元；年末结转和结余0万元。</w:t>
      </w:r>
    </w:p>
    <w:p w:rsidR="00E55EA9" w:rsidRDefault="003708E0">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本单位2020年无政府性基金支出。</w:t>
      </w:r>
    </w:p>
    <w:p w:rsidR="00E55EA9" w:rsidRDefault="003708E0">
      <w:pPr>
        <w:pStyle w:val="Default"/>
        <w:rPr>
          <w:rFonts w:hAnsi="黑体"/>
          <w:b/>
          <w:sz w:val="32"/>
          <w:szCs w:val="32"/>
        </w:rPr>
      </w:pPr>
      <w:r>
        <w:rPr>
          <w:rFonts w:hAnsi="黑体" w:hint="eastAsia"/>
          <w:b/>
          <w:sz w:val="32"/>
          <w:szCs w:val="32"/>
        </w:rPr>
        <w:t>九、关于机关运行经费支出说明</w:t>
      </w:r>
    </w:p>
    <w:p w:rsidR="00E55EA9" w:rsidRDefault="003708E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本部门2020年度机关运行经费支出10.42万元，比上年决算数减少16.79万元，增长（降低）61.71%。主要原因是：厉行节约，压减开支</w:t>
      </w:r>
    </w:p>
    <w:p w:rsidR="00E55EA9" w:rsidRDefault="003708E0">
      <w:pPr>
        <w:pStyle w:val="Default"/>
        <w:rPr>
          <w:rFonts w:hAnsi="黑体"/>
          <w:b/>
          <w:sz w:val="32"/>
          <w:szCs w:val="32"/>
        </w:rPr>
      </w:pPr>
      <w:r>
        <w:rPr>
          <w:rFonts w:hAnsi="黑体" w:hint="eastAsia"/>
          <w:b/>
          <w:sz w:val="32"/>
          <w:szCs w:val="32"/>
        </w:rPr>
        <w:t>十、一般性支出情况</w:t>
      </w:r>
    </w:p>
    <w:p w:rsidR="00E55EA9" w:rsidRDefault="003708E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2020年本部门开支会议费0万元；开支培训费0万元.</w:t>
      </w:r>
    </w:p>
    <w:p w:rsidR="00E55EA9" w:rsidRDefault="003708E0">
      <w:pPr>
        <w:pStyle w:val="Default"/>
        <w:rPr>
          <w:rFonts w:hAnsi="黑体"/>
          <w:b/>
          <w:sz w:val="32"/>
          <w:szCs w:val="32"/>
        </w:rPr>
      </w:pPr>
      <w:r>
        <w:rPr>
          <w:rFonts w:hAnsi="黑体" w:hint="eastAsia"/>
          <w:b/>
          <w:sz w:val="32"/>
          <w:szCs w:val="32"/>
        </w:rPr>
        <w:t>十一、关于政府采购支出说明</w:t>
      </w:r>
    </w:p>
    <w:p w:rsidR="00E55EA9" w:rsidRDefault="003708E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2020年度政府采购支出总额0万元，其中：政府采购货物支出0万元、政府采购工程支出0万元、政府采购服务支出0万元。授予中小企业合同金额0万元，占政府采购支出总额的0%，其中：授予小微企业合同金额0万元，占政府采购支出总额的0%。</w:t>
      </w:r>
    </w:p>
    <w:p w:rsidR="00E55EA9" w:rsidRDefault="003708E0">
      <w:pPr>
        <w:pStyle w:val="Default"/>
        <w:rPr>
          <w:rFonts w:hAnsi="黑体"/>
          <w:b/>
          <w:sz w:val="32"/>
          <w:szCs w:val="32"/>
        </w:rPr>
      </w:pPr>
      <w:r>
        <w:rPr>
          <w:rFonts w:hAnsi="黑体" w:hint="eastAsia"/>
          <w:b/>
          <w:sz w:val="32"/>
          <w:szCs w:val="32"/>
        </w:rPr>
        <w:t>十二、关于国有资产占用情况说明</w:t>
      </w:r>
    </w:p>
    <w:p w:rsidR="00E55EA9" w:rsidRDefault="003708E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截至2020年12月31日，本单位共有车辆2辆，其中，主要领导干部用车0</w:t>
      </w:r>
      <w:r>
        <w:rPr>
          <w:rFonts w:asciiTheme="minorEastAsia" w:eastAsiaTheme="minorEastAsia" w:hAnsiTheme="minorEastAsia" w:hint="eastAsia"/>
          <w:sz w:val="32"/>
          <w:szCs w:val="32"/>
        </w:rPr>
        <w:lastRenderedPageBreak/>
        <w:t>辆，机要通信用车0辆、应急保障用车0辆、执法执勤用车0辆、特种专业技术用车0辆、其他用车2辆，其他用车主要是保障单位运行；单位价值50万元以上通用设备0台（套）；单位价值100万元以上专用设备0台（套）。</w:t>
      </w:r>
    </w:p>
    <w:p w:rsidR="00E55EA9" w:rsidRDefault="003708E0">
      <w:pPr>
        <w:pStyle w:val="Default"/>
        <w:rPr>
          <w:rFonts w:hAnsi="黑体"/>
          <w:b/>
          <w:sz w:val="32"/>
          <w:szCs w:val="32"/>
        </w:rPr>
      </w:pPr>
      <w:r>
        <w:rPr>
          <w:rFonts w:hAnsi="黑体" w:hint="eastAsia"/>
          <w:b/>
          <w:sz w:val="32"/>
          <w:szCs w:val="32"/>
        </w:rPr>
        <w:t>十三、关于2020年度预算绩效情况的说明</w:t>
      </w:r>
    </w:p>
    <w:p w:rsidR="00E55EA9" w:rsidRDefault="003708E0">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本部门预算绩效管理开展情况、绩效目标和绩效评价报告附后。</w:t>
      </w:r>
    </w:p>
    <w:p w:rsidR="00E55EA9" w:rsidRDefault="00E55EA9">
      <w:pPr>
        <w:pStyle w:val="Default"/>
        <w:rPr>
          <w:rFonts w:hAnsi="黑体"/>
          <w:b/>
          <w:sz w:val="32"/>
          <w:szCs w:val="3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3708E0">
      <w:pPr>
        <w:pStyle w:val="Default"/>
        <w:jc w:val="center"/>
        <w:rPr>
          <w:sz w:val="72"/>
          <w:szCs w:val="72"/>
        </w:rPr>
      </w:pPr>
      <w:r>
        <w:rPr>
          <w:rFonts w:hint="eastAsia"/>
          <w:sz w:val="72"/>
          <w:szCs w:val="72"/>
        </w:rPr>
        <w:t>第四部分</w:t>
      </w:r>
    </w:p>
    <w:p w:rsidR="00E55EA9" w:rsidRDefault="00E55EA9">
      <w:pPr>
        <w:jc w:val="center"/>
        <w:rPr>
          <w:rFonts w:ascii="黑体" w:eastAsia="黑体" w:cs="黑体"/>
          <w:color w:val="000000"/>
          <w:kern w:val="0"/>
          <w:sz w:val="70"/>
          <w:szCs w:val="70"/>
        </w:rPr>
      </w:pPr>
    </w:p>
    <w:p w:rsidR="00E55EA9" w:rsidRDefault="003708E0">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E55EA9" w:rsidRDefault="003708E0">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E55EA9" w:rsidRDefault="00E55EA9">
      <w:pPr>
        <w:ind w:firstLineChars="200" w:firstLine="640"/>
        <w:jc w:val="left"/>
        <w:rPr>
          <w:rFonts w:asciiTheme="minorEastAsia" w:hAnsiTheme="minorEastAsia" w:cs="黑体"/>
          <w:color w:val="000000"/>
          <w:kern w:val="0"/>
          <w:sz w:val="32"/>
          <w:szCs w:val="32"/>
        </w:rPr>
      </w:pPr>
    </w:p>
    <w:p w:rsidR="00E55EA9" w:rsidRDefault="003708E0">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E55EA9" w:rsidRDefault="003708E0">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E55EA9">
      <w:pPr>
        <w:pStyle w:val="Default"/>
        <w:jc w:val="center"/>
        <w:rPr>
          <w:sz w:val="72"/>
          <w:szCs w:val="72"/>
        </w:rPr>
      </w:pPr>
    </w:p>
    <w:p w:rsidR="00E55EA9" w:rsidRDefault="003708E0">
      <w:pPr>
        <w:pStyle w:val="Default"/>
        <w:jc w:val="center"/>
        <w:rPr>
          <w:sz w:val="72"/>
          <w:szCs w:val="72"/>
        </w:rPr>
      </w:pPr>
      <w:r>
        <w:rPr>
          <w:rFonts w:hint="eastAsia"/>
          <w:sz w:val="72"/>
          <w:szCs w:val="72"/>
        </w:rPr>
        <w:t>第五部分</w:t>
      </w:r>
    </w:p>
    <w:p w:rsidR="00E55EA9" w:rsidRDefault="00E55EA9">
      <w:pPr>
        <w:jc w:val="center"/>
        <w:rPr>
          <w:rFonts w:ascii="黑体" w:eastAsia="黑体" w:cs="黑体"/>
          <w:color w:val="000000"/>
          <w:kern w:val="0"/>
          <w:sz w:val="70"/>
          <w:szCs w:val="70"/>
        </w:rPr>
      </w:pPr>
    </w:p>
    <w:p w:rsidR="00E55EA9" w:rsidRDefault="003708E0">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E55EA9" w:rsidRDefault="003708E0">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E55EA9" w:rsidRDefault="00E55EA9">
      <w:pPr>
        <w:jc w:val="center"/>
        <w:rPr>
          <w:rFonts w:ascii="黑体" w:eastAsia="黑体" w:cs="黑体"/>
          <w:color w:val="000000"/>
          <w:kern w:val="0"/>
          <w:sz w:val="70"/>
          <w:szCs w:val="70"/>
        </w:rPr>
      </w:pPr>
    </w:p>
    <w:p w:rsidR="00E55EA9" w:rsidRDefault="003708E0" w:rsidP="005C40F4">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2020年度部门整体支出绩效评价报告</w:t>
      </w:r>
    </w:p>
    <w:p w:rsidR="00E55EA9" w:rsidRDefault="002D59C1">
      <w:pPr>
        <w:ind w:firstLineChars="200" w:firstLine="640"/>
        <w:jc w:val="left"/>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绩效报告另行已</w:t>
      </w:r>
      <w:r w:rsidR="00A82A42">
        <w:rPr>
          <w:rFonts w:asciiTheme="minorEastAsia" w:hAnsiTheme="minorEastAsia" w:cs="黑体" w:hint="eastAsia"/>
          <w:color w:val="000000"/>
          <w:kern w:val="0"/>
          <w:sz w:val="32"/>
          <w:szCs w:val="32"/>
        </w:rPr>
        <w:t>单独</w:t>
      </w:r>
      <w:r>
        <w:rPr>
          <w:rFonts w:asciiTheme="minorEastAsia" w:hAnsiTheme="minorEastAsia" w:cs="黑体" w:hint="eastAsia"/>
          <w:color w:val="000000"/>
          <w:kern w:val="0"/>
          <w:sz w:val="32"/>
          <w:szCs w:val="32"/>
        </w:rPr>
        <w:t>公开</w:t>
      </w:r>
    </w:p>
    <w:p w:rsidR="00E55EA9" w:rsidRDefault="00E55EA9">
      <w:pPr>
        <w:ind w:firstLineChars="200" w:firstLine="640"/>
        <w:jc w:val="left"/>
        <w:rPr>
          <w:rFonts w:asciiTheme="minorEastAsia" w:hAnsiTheme="minorEastAsia" w:cs="黑体"/>
          <w:color w:val="000000"/>
          <w:kern w:val="0"/>
          <w:sz w:val="32"/>
          <w:szCs w:val="32"/>
        </w:rPr>
      </w:pPr>
    </w:p>
    <w:sectPr w:rsidR="00E55EA9" w:rsidSect="00E55EA9">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5D48" w:rsidRDefault="003F5D48" w:rsidP="005C40F4">
      <w:r>
        <w:separator/>
      </w:r>
    </w:p>
  </w:endnote>
  <w:endnote w:type="continuationSeparator" w:id="1">
    <w:p w:rsidR="003F5D48" w:rsidRDefault="003F5D48" w:rsidP="005C40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5D48" w:rsidRDefault="003F5D48" w:rsidP="005C40F4">
      <w:r>
        <w:separator/>
      </w:r>
    </w:p>
  </w:footnote>
  <w:footnote w:type="continuationSeparator" w:id="1">
    <w:p w:rsidR="003F5D48" w:rsidRDefault="003F5D48" w:rsidP="005C40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103957"/>
    <w:rsid w:val="00125FFA"/>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D59C1"/>
    <w:rsid w:val="002E0A30"/>
    <w:rsid w:val="003130C4"/>
    <w:rsid w:val="00316C4B"/>
    <w:rsid w:val="0032192B"/>
    <w:rsid w:val="003479BD"/>
    <w:rsid w:val="003708E0"/>
    <w:rsid w:val="0037197D"/>
    <w:rsid w:val="003768D5"/>
    <w:rsid w:val="003838D5"/>
    <w:rsid w:val="003C47E6"/>
    <w:rsid w:val="003C4FC2"/>
    <w:rsid w:val="003F5D48"/>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8716A"/>
    <w:rsid w:val="00590D9F"/>
    <w:rsid w:val="00595D26"/>
    <w:rsid w:val="005A74E6"/>
    <w:rsid w:val="005B404E"/>
    <w:rsid w:val="005C40F4"/>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556C3"/>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2A42"/>
    <w:rsid w:val="00A841DF"/>
    <w:rsid w:val="00A92E9F"/>
    <w:rsid w:val="00B26304"/>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55EA9"/>
    <w:rsid w:val="00E67BE6"/>
    <w:rsid w:val="00E8683C"/>
    <w:rsid w:val="00EA2B72"/>
    <w:rsid w:val="00F74360"/>
    <w:rsid w:val="00FB462F"/>
    <w:rsid w:val="00FE16FA"/>
    <w:rsid w:val="00FE328A"/>
    <w:rsid w:val="00FE6269"/>
    <w:rsid w:val="02150B54"/>
    <w:rsid w:val="040354A8"/>
    <w:rsid w:val="04F002BD"/>
    <w:rsid w:val="052D2559"/>
    <w:rsid w:val="07C3391A"/>
    <w:rsid w:val="084E54AB"/>
    <w:rsid w:val="08A6656E"/>
    <w:rsid w:val="0CCA79DC"/>
    <w:rsid w:val="0E0447D7"/>
    <w:rsid w:val="11D86825"/>
    <w:rsid w:val="13746A5B"/>
    <w:rsid w:val="14C70D74"/>
    <w:rsid w:val="199671E7"/>
    <w:rsid w:val="19A41C58"/>
    <w:rsid w:val="19CC470D"/>
    <w:rsid w:val="1A290D38"/>
    <w:rsid w:val="1BE70BCF"/>
    <w:rsid w:val="1F1645D5"/>
    <w:rsid w:val="1F5E401B"/>
    <w:rsid w:val="1FDC29A2"/>
    <w:rsid w:val="205919D2"/>
    <w:rsid w:val="2639057F"/>
    <w:rsid w:val="27FD7AF9"/>
    <w:rsid w:val="2B9C7E99"/>
    <w:rsid w:val="2C57274C"/>
    <w:rsid w:val="2C97715C"/>
    <w:rsid w:val="2DE447EA"/>
    <w:rsid w:val="2FEC166A"/>
    <w:rsid w:val="33CB039B"/>
    <w:rsid w:val="349D428C"/>
    <w:rsid w:val="356C715F"/>
    <w:rsid w:val="39F90BA6"/>
    <w:rsid w:val="3B803D33"/>
    <w:rsid w:val="3D382CA1"/>
    <w:rsid w:val="3EC95A5B"/>
    <w:rsid w:val="3FD23408"/>
    <w:rsid w:val="41DD4A2A"/>
    <w:rsid w:val="42415003"/>
    <w:rsid w:val="443F5499"/>
    <w:rsid w:val="477552F9"/>
    <w:rsid w:val="49747470"/>
    <w:rsid w:val="4A78060E"/>
    <w:rsid w:val="4E944773"/>
    <w:rsid w:val="50650FB7"/>
    <w:rsid w:val="509829CF"/>
    <w:rsid w:val="511A2A75"/>
    <w:rsid w:val="5179656F"/>
    <w:rsid w:val="574E31E3"/>
    <w:rsid w:val="58CB75A7"/>
    <w:rsid w:val="59C0541B"/>
    <w:rsid w:val="5D02616E"/>
    <w:rsid w:val="5F0672F9"/>
    <w:rsid w:val="60656109"/>
    <w:rsid w:val="62F66891"/>
    <w:rsid w:val="67813201"/>
    <w:rsid w:val="6CFA6459"/>
    <w:rsid w:val="71CF3CD6"/>
    <w:rsid w:val="71E702D8"/>
    <w:rsid w:val="72591647"/>
    <w:rsid w:val="73242FEF"/>
    <w:rsid w:val="763C56EA"/>
    <w:rsid w:val="779A1AB0"/>
    <w:rsid w:val="7ADD13CE"/>
    <w:rsid w:val="7DF91F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EA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E55EA9"/>
    <w:rPr>
      <w:sz w:val="18"/>
      <w:szCs w:val="18"/>
    </w:rPr>
  </w:style>
  <w:style w:type="paragraph" w:styleId="a4">
    <w:name w:val="footer"/>
    <w:basedOn w:val="a"/>
    <w:link w:val="Char0"/>
    <w:uiPriority w:val="99"/>
    <w:unhideWhenUsed/>
    <w:qFormat/>
    <w:rsid w:val="00E55EA9"/>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E55EA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E55EA9"/>
    <w:rPr>
      <w:sz w:val="18"/>
      <w:szCs w:val="18"/>
    </w:rPr>
  </w:style>
  <w:style w:type="character" w:customStyle="1" w:styleId="Char0">
    <w:name w:val="页脚 Char"/>
    <w:basedOn w:val="a0"/>
    <w:link w:val="a4"/>
    <w:uiPriority w:val="99"/>
    <w:qFormat/>
    <w:rsid w:val="00E55EA9"/>
    <w:rPr>
      <w:sz w:val="18"/>
      <w:szCs w:val="18"/>
    </w:rPr>
  </w:style>
  <w:style w:type="paragraph" w:customStyle="1" w:styleId="Default">
    <w:name w:val="Default"/>
    <w:qFormat/>
    <w:rsid w:val="00E55EA9"/>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34"/>
    <w:qFormat/>
    <w:rsid w:val="00E55EA9"/>
    <w:pPr>
      <w:ind w:firstLineChars="200" w:firstLine="420"/>
    </w:pPr>
  </w:style>
  <w:style w:type="character" w:customStyle="1" w:styleId="Char">
    <w:name w:val="批注框文本 Char"/>
    <w:basedOn w:val="a0"/>
    <w:link w:val="a3"/>
    <w:uiPriority w:val="99"/>
    <w:semiHidden/>
    <w:qFormat/>
    <w:rsid w:val="00E55EA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622</Words>
  <Characters>3547</Characters>
  <Application>Microsoft Office Word</Application>
  <DocSecurity>0</DocSecurity>
  <Lines>29</Lines>
  <Paragraphs>8</Paragraphs>
  <ScaleCrop>false</ScaleCrop>
  <Company>Microsoft</Company>
  <LinksUpToDate>false</LinksUpToDate>
  <CharactersWithSpaces>4161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4</cp:revision>
  <cp:lastPrinted>2021-07-28T00:12:00Z</cp:lastPrinted>
  <dcterms:created xsi:type="dcterms:W3CDTF">2021-10-11T07:54:00Z</dcterms:created>
  <dcterms:modified xsi:type="dcterms:W3CDTF">2022-09-05T00:18:00Z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7D893EDBEAC540A884200C94BE485B5E</vt:lpwstr>
  </property>
</Properties>
</file>