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2020年度怀化市鹤城区畜牧水产事务中心部门决算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第一部分怀化市鹤城区畜牧水产事务中心概况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怀化市鹤城区畜牧水产事务中心概况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numPr>
          <w:ilvl w:val="0"/>
          <w:numId w:val="2"/>
        </w:numPr>
        <w:ind w:firstLine="800" w:firstLineChars="250"/>
        <w:jc w:val="left"/>
        <w:rPr>
          <w:rFonts w:asciiTheme="minorEastAsia" w:hAnsiTheme="minorEastAsia"/>
          <w:sz w:val="32"/>
          <w:szCs w:val="32"/>
        </w:rPr>
      </w:pPr>
      <w:r>
        <w:rPr>
          <w:rFonts w:hint="eastAsia" w:asciiTheme="minorEastAsia" w:hAnsiTheme="minorEastAsia"/>
          <w:sz w:val="32"/>
          <w:szCs w:val="32"/>
        </w:rPr>
        <w:t>负责全区畜牧水产产业发展技术指导，指导畜牧水产规模化和标准化生产。</w:t>
      </w:r>
    </w:p>
    <w:p>
      <w:pPr>
        <w:numPr>
          <w:ilvl w:val="0"/>
          <w:numId w:val="2"/>
        </w:numPr>
        <w:ind w:firstLine="800" w:firstLineChars="250"/>
        <w:jc w:val="left"/>
        <w:rPr>
          <w:rFonts w:asciiTheme="minorEastAsia" w:hAnsiTheme="minorEastAsia"/>
          <w:sz w:val="32"/>
          <w:szCs w:val="32"/>
        </w:rPr>
      </w:pPr>
      <w:r>
        <w:rPr>
          <w:rFonts w:hint="eastAsia" w:asciiTheme="minorEastAsia" w:hAnsiTheme="minorEastAsia"/>
          <w:sz w:val="32"/>
          <w:szCs w:val="32"/>
        </w:rPr>
        <w:t>负责组织开展畜禽水产品质量安全技术示范，推广畜禽水产品质量安全生产技术和操作规范，指导全区畜牧水产科技推广体系建设，开展畜牧水产业科技创新能力建设与人才培训。</w:t>
      </w:r>
    </w:p>
    <w:p>
      <w:pPr>
        <w:numPr>
          <w:ilvl w:val="0"/>
          <w:numId w:val="2"/>
        </w:numPr>
        <w:ind w:firstLine="800" w:firstLineChars="250"/>
        <w:jc w:val="left"/>
        <w:rPr>
          <w:rFonts w:asciiTheme="minorEastAsia" w:hAnsiTheme="minorEastAsia"/>
          <w:sz w:val="32"/>
          <w:szCs w:val="32"/>
        </w:rPr>
      </w:pPr>
      <w:r>
        <w:rPr>
          <w:rFonts w:hint="eastAsia" w:asciiTheme="minorEastAsia" w:hAnsiTheme="minorEastAsia"/>
          <w:sz w:val="32"/>
          <w:szCs w:val="32"/>
        </w:rPr>
        <w:t>负责全区渔业资源和水生野生动植物保护利用的技术指导。</w:t>
      </w:r>
    </w:p>
    <w:p>
      <w:pPr>
        <w:numPr>
          <w:ilvl w:val="0"/>
          <w:numId w:val="2"/>
        </w:numPr>
        <w:ind w:firstLine="800" w:firstLineChars="250"/>
        <w:jc w:val="left"/>
        <w:rPr>
          <w:rFonts w:asciiTheme="minorEastAsia" w:hAnsiTheme="minorEastAsia"/>
          <w:sz w:val="32"/>
          <w:szCs w:val="32"/>
        </w:rPr>
      </w:pPr>
      <w:r>
        <w:rPr>
          <w:rFonts w:hint="eastAsia" w:asciiTheme="minorEastAsia" w:hAnsiTheme="minorEastAsia"/>
          <w:sz w:val="32"/>
          <w:szCs w:val="32"/>
        </w:rPr>
        <w:t>负责兽医技术指导，负责动物疫病检疫检测、诊断、预报、负责人兽共患病防治技术指导，负责动物疫病防控动物无害化处理技术指导。</w:t>
      </w:r>
    </w:p>
    <w:p>
      <w:pPr>
        <w:numPr>
          <w:ilvl w:val="0"/>
          <w:numId w:val="2"/>
        </w:numPr>
        <w:ind w:firstLine="800" w:firstLineChars="250"/>
        <w:jc w:val="left"/>
        <w:rPr>
          <w:rFonts w:asciiTheme="minorEastAsia" w:hAnsiTheme="minorEastAsia"/>
          <w:sz w:val="32"/>
          <w:szCs w:val="32"/>
        </w:rPr>
      </w:pPr>
      <w:r>
        <w:rPr>
          <w:rFonts w:hint="eastAsia" w:asciiTheme="minorEastAsia" w:hAnsiTheme="minorEastAsia"/>
          <w:sz w:val="32"/>
          <w:szCs w:val="32"/>
        </w:rPr>
        <w:t>负责开展全区饲料行业信息技术交流，负责全区高新生物科技环保饲料和饲料添加剂推广工作，负责全区兽药、饲料及饲料添加剂等养殖业投入质量检验检测，负责动物和动物产品检疫相关事务性工作，负责动物及动物产品调运备案相关事务性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怀化市鹤城区畜牧水产事务中心内设机构包括：办公室、计划财务部、人事部、科技推广部、畜牧业发展部、渔业发展部、质量安全与兽药部、畜禽水产品质量检验检测部、动物疫病预防控制事务部、饲料事务部、动物检疫部。</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（二）决算单位构成。怀化市鹤城区畜牧水产事务中</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20年部门决算汇总公开单位构成包括：怀化市鹤城区畜牧水产事务中本级。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Theme="minorEastAsia" w:hAnsiTheme="minorEastAsia"/>
          <w:sz w:val="32"/>
          <w:szCs w:val="32"/>
        </w:rPr>
      </w:pPr>
      <w:r>
        <w:rPr>
          <w:sz w:val="70"/>
          <w:szCs w:val="70"/>
        </w:rPr>
        <w:br w:type="page"/>
      </w: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2020年度收入合计1,086.84万元。与上年相比，减少21.01万元，减少1.90%，主要是因为专项业务工作经费减少，非税收入增加。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2020年度支出合计1,121.11万元。与上年相比，增加89.05万元，增长8.63%，主要是因为消化以前年度存量资金，本年度项目基本完成。</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本年收入合计1,086.84万元，其中：财政拨款收入1,075.34万元，占98.94%；上级补助收入0万元，占0%；事业收入0万元，占0%；经营收入0万元，占0%；附属单位上缴收入0万元，占0%；其他收入11.50万元，占1.06%。</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本年支出合计1,121.11万元，其中：基本支出422.94万元，占37.73%；项目支出698.17万元，占62.27%；上缴上级支出0万元，占0%；经营支出0万元，占0%；对附属单位补助支出0万元，占0%。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2020年度财政拨款收入总计1,075.34万元。与上年相比，减少32.51万元，减少2.93%，主要是因为专项业务工作经费减少，以前年度存量资金结转使用。</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2020年度财政拨款支出总计1,109.61万元。与上年相比，增加77.55万元，增长7.51%，主要是因为消化以前年度存量资金，本年度项目基本完成。</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2020年度财政拨款支出1,109.61万元，占本年支出合计的98.97%，与上年相比，财政拨款支出增加77.55万元，增长7.51%，主要是因为化以前年度存量资金，本年度项目基本完成。</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1,109.61万元，主要用于以下方面：一般公共服务（类）支出10.93万元，占0.99%；社会保障和就业（类）支出57.64万元，占5.19%;卫生健康（类）支出19.33万元，占1.74%;节能环保（类）支出300.09万元，占27.04%;农林水（类）支出705.12万元，占63.55%;商业服务业等（类）支出16.50万元，占1.49%。</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2020年度财政拨款支出年初预算数为670.90万元，支出决算数为1,109.61万元，完成年初预算的165.39%，其中：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1、一般公共服务（类）其他一般公共服务（款）国家赔偿费用支出（项）。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年初预算为0万元，支出决算为0.29万元，完成年初预算的0%，决算数大于年初预算数的主要原因是：收回以前年度水电费，年初未纳入预算。</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2、一般公共服务（类）其他一般公共服务（款）其他一般公共服务支出（项）。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年初预算为0万元，支出决算为10.64万元，完成年初预算的0%，决算数大于年初预算数的主要原因是：年初预算编制法律顾问聘用经费的功能科目为事业运行，本年度支出功能科目为其他一般公共服务支出。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3、社会保障和就业（类）行政事业单位养老（款）行政单位离退休（项）。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年初预算为0.84万元，支出决算为0.05万元，完成年初预算的5.95%，决算数小于年初预算数的主要原因是：离退休公用经费支出减少。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4、社会保障和就业（类）行政事业单位养老（款）事业单位离退休（项）。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年初预算为11.48万元，支出决算为10.52万元，完成年初预算的91.64%，决算数小于年初预算数的主要原因是：退休人员工资支出减少。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5、社会保障和就业（类）行政事业单位养老（款）机关事业单位基本养老保险缴费支出（项）。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年初预算为33.26万元，支出决算为29.22万元，完成年初预算的87.85%，决算数小于年初预算数的主要原因是：机关事业单位基本养老保险缴费支出减少。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6、社会保障和就业（类）行政事业单位养老（款）机关事业单位职业年金缴费支出（项）。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年初预算为19.96万元，支出决算为0万元，完成年初预算的0%，决算数小于年初预算数的主要原因是：本年度未发生机关事业单位职业年金缴费支出。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7、社会保障和就业（类）抚恤（款）死亡抚恤（项）。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年初预算为0万元，支出决算为17.85万元，完成年初预算的0%，决算数大于年初预算数的主要原因是：本年度支付职工死亡抚恤金，而年初未纳入预算。</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8、卫生健康（类）公共卫生（款）突发公共卫生事件应急处理（项）。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年初预算为0万元，支出决算为4.62万元，完成年初预算的0%，决算数大于年初预算数的主要原因是：年中追加预算新冠肺炎疫情防控加班工作补助经费。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9、卫生健康（类）行政事业单位医疗（款）行政单位医疗（项）。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年初预算为16.63万元，支出决算为0万元，完成年初预算的0%，决算数小于年初预算数的主要原因是：年初预算编制职工基本医疗保险缴费的功能科目为行政单位医疗，本年度支出功能科目为事业单位医疗。</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10、卫生健康（类）行政事业单位医疗（款）事业单位医疗（项）。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年初预算为0万元，支出决算为14.71万元，完成年初预算的0%，决算数大于年初预算数的主要原因是：年初预算编制职工基本医疗保险缴费的功能科目为行政单位医疗，本年度支出功能科目为事业单位医疗。</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11、节能环保（类）污染防治（款）水体（项）。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年初预算为0万元，支出决算为172.43万元，完成年初预算的0%，决算数大于年初预算数的主要原因是：年中追加预算涉渔“三无”船舶处置工作及补偿经费。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12、节能环保（类）污染防治（款）其他污染防治支出（项）。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年初预算为0万元，支出决算为33.23万元，完成年初预算的0%，决算数大于年初预算数的主要原因是：年中追加预算非洲猪瘟防控经费。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13、节能环保（类）污染减排（款）其他污染减排支出（项）。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年初预算为0万元，支出决算为94.43万元，完成年初预算的0%，决算数大于年初预算数的主要原因是：年中追加预算全省畜禽规模养殖污染防治设施配套建设工作奖补资金。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14、农林水（类）农业农村（款）行政运行（项）。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年初预算为83.07万元，支出决算为285.86万元，完成年初预算的344.12%，决算数大于年初预算数的主要原因是：年初预算编制在职人员工资的功能科目为事业运行，本年度支出功能科目为行政运行。</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15、农林水（类）农业农村（款）一般行政管理事务（项）。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年初预算为5.17万元，支出决算为0万元，完成年初预算的0%，决算数小于年初预算数的主要原因是：本年度未发生经费支出。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16、农林水（类）农业农村（款）事业运行（项）。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年初预算为290.27万元，支出决算为26.22万元，完成年初预算的9.03%，决算数小于年初预算数的主要原因是：年初预算编制在职人员工资的功能科目为事业运行，本年度支出功能科目为行政运行。</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17、农林水（类）农业农村（款）病虫害控制（项）。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年初预算为100万元，支出决算为90.58万元，完成年初预算的90.58%，决算数小于年初预算数的主要原因是：重大动物疫病防控和动物产品检疫经费支出减少。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18、农林水（类）农业农村（款）农产品质量安全（项）。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年初预算为20万元，支出决算为17.30万元，完成年初预算的86.50%，决算数小于年初预算数的主要原因是：畜禽水产品质量安全监管经费支出减少。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19、农林水（类）农业农村（款）执法监管（项）。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年初预算为0万元，支出决算为25万元，完成年初预算的0%，决算数大于年初预算数的主要原因是：消化上年度存量资金。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20、农林水（类）农业农村（款）农业生产发展（项）。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年初预算为0万元，支出决算为6.97万元，完成年初预算的0%，决算数大于年初预算数的主要原因是：年中追加预算2021年省级养殖产业发展资金和2019年规模养殖场能繁母猪财政补助资金。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21、农林水（类）农业农村（款）农业资源保护修复与利用（项）。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年初预算为8万元，支出决算为206.12万元，完成年初预算的2576.5%，决算数大于年初预算数的主要原因是：年中追加预算禁捕退捕补偿资金及工作经费。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22、农林水（类）农业农村（款）其他农业农村支出（项）。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年初预算为57.27万元，支出决算为30万元，完成年初预算的52.38%，决算数小于年初预算数的主要原因是：本年度未发生村级防疫员强制免疫劳务报酬和村级防疫员补贴支出。</w:t>
      </w:r>
    </w:p>
    <w:p>
      <w:pPr>
        <w:pStyle w:val="9"/>
        <w:ind w:firstLine="800" w:firstLineChars="250"/>
        <w:rPr>
          <w:rFonts w:asciiTheme="minorEastAsia" w:hAnsiTheme="minorEastAsia" w:eastAsiaTheme="minorEastAsia"/>
          <w:sz w:val="32"/>
          <w:szCs w:val="32"/>
        </w:rPr>
      </w:pP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23、农林水（类）扶贫（款）其他扶贫支出（项）。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年初预算为0万元，支出决算为8.18万元，完成年初预算的0%，决算数大于年初预算数的主要原因是：年中追加预算2018年中央农业生产发展资金贫困县整合资金。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24、农林水（类）农村综合改革（款）对村民委员会和村党支部的补助（项）。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年初预算为0万元，支出决算为8.89万元，完成年初预算的0%，决算数大于年初预算数的主要原因是：年中追加预算2019年漩水塘、城南渔业队工作人员工资。</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25、商业服务业等（类）商业流通事务（款）其他商业流通事务支出（项）。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年初预算为0万元，支出决算为16.50万元，完成年初预算的0%，决算数大于年初预算数的主要原因是：消化上年度存量资金，年中追加预算2018年第二批生猪调出大县奖励资金（用于精准扶贫）。</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26、住房保障（类）住房改革（款）住房公积金（项）。</w:t>
      </w:r>
    </w:p>
    <w:p>
      <w:pPr>
        <w:pStyle w:val="9"/>
        <w:ind w:firstLine="800" w:firstLineChars="250"/>
        <w:rPr>
          <w:rFonts w:asciiTheme="minorEastAsia" w:hAnsiTheme="minorEastAsia" w:eastAsiaTheme="minorEastAsia"/>
          <w:w w:val="95"/>
          <w:sz w:val="32"/>
          <w:szCs w:val="32"/>
        </w:rPr>
      </w:pPr>
      <w:r>
        <w:rPr>
          <w:rFonts w:hint="eastAsia" w:asciiTheme="minorEastAsia" w:hAnsiTheme="minorEastAsia" w:eastAsiaTheme="minorEastAsia"/>
          <w:sz w:val="32"/>
          <w:szCs w:val="32"/>
        </w:rPr>
        <w:t>年初预算为24.95万元，支出决算为0万元，完成年初预算的0%，决算数小于年初预算数的主要原因是：</w:t>
      </w:r>
      <w:r>
        <w:rPr>
          <w:rFonts w:hint="eastAsia" w:asciiTheme="minorEastAsia" w:hAnsiTheme="minorEastAsia" w:eastAsiaTheme="minorEastAsia"/>
          <w:w w:val="95"/>
          <w:sz w:val="32"/>
          <w:szCs w:val="32"/>
        </w:rPr>
        <w:t>本年度未发生住房公积金（2210201）支出。</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411.44万元，其中：人员经费365.75万元，占基本支出的88.90%,主要包括基本工资、津贴补贴、奖金、伙食补助费、机关事业单位基本养老保险缴费、职工基本医疗保险缴费、住房公积金、退休费、抚恤金、生活补助、其他对个人和家庭的补助；公用经费45.69万元，占基本支出的11.10%，主要包括办公费、手续费、水电费、邮电费、差旅费、维修（护）费、劳务费、工会经费、福利费、其他交通费用、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“三公”经费财政拨款支出预算为3万元，支出决算为0.33万元，完成预算的11%，其中：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因公出国（境）费支出预算为0万元，支出决算为0万元，完成预算的100%，决算数与预算数持平，与上年数持平。</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2万元，支出决算为0.33万元，完成预算的16.50%，决算数小于预算数的主要原因是本单位厉行节俭，与上年相比增加0.19万元，增长135.71%,增长的主要原因是本年度开展畜牧水产工作发生的接待费支出有所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公务用车购置费及运行维护费支出预算为1万元，支出决算为0万元，完成预算的0%，决算数小于预算数的主要原因是本单位厉行节俭，与上年决算数持平。</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2020年度“三公”经费财政拨款支出决算中，公务接待费支出决算0.33万元，占100%,因公出国（境）费支出决算0万元，占0%,公务用车购置费及运行维护费支出决算0万元，占0%。其中：</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2、公务接待费支出决算为0.33万元，全年共接待来访团组3个、来宾27人次，主要是开展畜牧水产工作发生的接待支出。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3、公务用车购置费及运行维护费支出决算为0万元，其中：公务用车购置费0万元，区畜牧水产事务中心本机更新公务用车0辆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公务用车运行维护费0万元，截止2020年12月31日，我单位开支财政拨款的公务用车保有量为0辆。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本单位无政府性基金收支。</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本部门2020年度机关运行经费支出45.69万元，比年初预算数增加14.14万元，增长44.82%。主要原因是：其他商品和服务支出增加。</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0.11万元，其中，开支会议费0.06万元，用于召开禁捕退捕工作会议，人数30人，内容为禁捕退捕工作回头看推进工作及政策培训；开支会议费0.05万元，用于召开动物疫病防控技术培训会议，人数81人，内容为开展牛羊疫病防控技术培训；开支培训费0万元；举办节庆、晚会、论坛、赛事活动，开支0万元。</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25.26万元，其中：政府采购货物支出25.26万元、政府采购工程支出0万元、政府采购服务支出0万元。授予中小企业合同金额25.26万元，占政府采购支出总额的100%，其中：授予小微企业合同金额25.26万元，占政府采购支出总额的100%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本部门预算绩效管理开展情况、绩效目标和绩效评价报告附后（</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按照财政绩效部门要求已公开或其他有关部门要求需随同部门决算一同公开的绩效信息，已作为附件公开）</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（一）机构及人员情况</w:t>
      </w:r>
    </w:p>
    <w:p>
      <w:pPr>
        <w:widowControl/>
        <w:shd w:val="clear" w:color="auto" w:fill="FFFFFF"/>
        <w:spacing w:line="600" w:lineRule="atLeast"/>
        <w:ind w:firstLine="640" w:firstLineChars="200"/>
        <w:rPr>
          <w:rFonts w:ascii="Times New Roman" w:hAnsi="Times New Roman" w:eastAsia="仿宋_GB2312" w:cs="Times New Roman"/>
          <w:sz w:val="32"/>
          <w:szCs w:val="32"/>
        </w:rPr>
      </w:pPr>
      <w:r>
        <w:rPr>
          <w:rFonts w:hint="eastAsia" w:eastAsia="仿宋_GB2312" w:cs="Times New Roman"/>
          <w:sz w:val="32"/>
          <w:szCs w:val="32"/>
        </w:rPr>
        <w:t>鹤城区</w:t>
      </w:r>
      <w:r>
        <w:rPr>
          <w:rFonts w:hint="eastAsia" w:ascii="Times New Roman" w:hAnsi="Times New Roman" w:eastAsia="仿宋_GB2312" w:cs="Times New Roman"/>
          <w:sz w:val="32"/>
          <w:szCs w:val="32"/>
        </w:rPr>
        <w:t>畜牧水产事务中心</w:t>
      </w:r>
      <w:r>
        <w:rPr>
          <w:rFonts w:hint="eastAsia" w:eastAsia="仿宋_GB2312" w:cs="Times New Roman"/>
          <w:sz w:val="32"/>
          <w:szCs w:val="32"/>
        </w:rPr>
        <w:t>为全额拨款的财政补助事业单位，内设11个二级机构：办公室、计划财务部、人事部、科技推广部、畜牧业发展部、渔业发展部、质量安全与兽药部、畜禽水产品质量检验检测部、动物疫病预防控制事务部、饲料事务部、动物检疫部。</w:t>
      </w:r>
      <w:r>
        <w:rPr>
          <w:rFonts w:hint="eastAsia" w:eastAsia="仿宋_GB2312"/>
          <w:sz w:val="32"/>
          <w:szCs w:val="32"/>
        </w:rPr>
        <w:t>2020年年初编制预算人数36人，年末纳入一般公共预算财政拨款开支人数31人，财政供应人员控制率86.11%，未超过编制，控制较好。</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（二）主要职能</w:t>
      </w:r>
    </w:p>
    <w:p>
      <w:pPr>
        <w:pStyle w:val="10"/>
        <w:widowControl/>
        <w:spacing w:line="60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鹤城区畜牧水产事务中心主要承担以下职责：</w:t>
      </w:r>
    </w:p>
    <w:p>
      <w:pPr>
        <w:pStyle w:val="10"/>
        <w:widowControl/>
        <w:spacing w:line="600" w:lineRule="exact"/>
        <w:ind w:firstLine="640"/>
        <w:rPr>
          <w:rFonts w:hint="eastAsia" w:ascii="仿宋_GB2312" w:eastAsia="仿宋_GB2312"/>
          <w:sz w:val="32"/>
          <w:szCs w:val="32"/>
          <w:lang w:eastAsia="zh-CN"/>
        </w:rPr>
      </w:pPr>
      <w:r>
        <w:rPr>
          <w:rFonts w:hint="eastAsia" w:ascii="仿宋_GB2312" w:eastAsia="仿宋_GB2312"/>
          <w:sz w:val="32"/>
          <w:szCs w:val="32"/>
        </w:rPr>
        <w:t>1.负责全区畜牧水产产业发展技术指导，指导畜牧水产规模化和标准化生产。负责组织开展畜禽水产品质量安全技术示范，推广畜禽水产品质量安全生产技术和操作规范，指导全区畜牧水产科技推广体系建设，开展畜牧水产业科技创新能力建设与人才培训</w:t>
      </w:r>
      <w:r>
        <w:rPr>
          <w:rFonts w:hint="eastAsia" w:ascii="仿宋_GB2312" w:eastAsia="仿宋_GB2312"/>
          <w:sz w:val="32"/>
          <w:szCs w:val="32"/>
          <w:lang w:eastAsia="zh-CN"/>
        </w:rPr>
        <w:t>；</w:t>
      </w:r>
    </w:p>
    <w:p>
      <w:pPr>
        <w:pStyle w:val="10"/>
        <w:widowControl/>
        <w:spacing w:line="600" w:lineRule="exact"/>
        <w:ind w:firstLine="640"/>
        <w:rPr>
          <w:rFonts w:hint="eastAsia" w:ascii="仿宋_GB2312" w:eastAsia="仿宋_GB2312"/>
          <w:sz w:val="32"/>
          <w:szCs w:val="32"/>
          <w:lang w:eastAsia="zh-CN"/>
        </w:rPr>
      </w:pPr>
      <w:r>
        <w:rPr>
          <w:rFonts w:hint="eastAsia" w:ascii="Times New Roman" w:hAnsi="Times New Roman" w:eastAsia="仿宋_GB2312" w:cs="Times New Roman"/>
          <w:sz w:val="32"/>
          <w:szCs w:val="32"/>
        </w:rPr>
        <w:t>2.</w:t>
      </w:r>
      <w:r>
        <w:rPr>
          <w:rFonts w:hint="eastAsia" w:ascii="仿宋_GB2312" w:eastAsia="仿宋_GB2312"/>
          <w:sz w:val="32"/>
          <w:szCs w:val="32"/>
        </w:rPr>
        <w:t>负责全区渔业资源和水生野生动植物保护利用的技术指导。负责兽医技术指导，负责动物疫病检疫检测、诊断、预报、负责人兽共患病防治技术指导，负责动物疫病防控动物无害化处理技术指导</w:t>
      </w:r>
      <w:r>
        <w:rPr>
          <w:rFonts w:hint="eastAsia" w:ascii="仿宋_GB2312" w:eastAsia="仿宋_GB2312"/>
          <w:sz w:val="32"/>
          <w:szCs w:val="32"/>
          <w:lang w:eastAsia="zh-CN"/>
        </w:rPr>
        <w:t>；</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3.负责开展全区饲料行业信息技术交流，负责全区高新生物科技环保饲料和饲料添加剂推广工作，负责全区兽药、饲料及饲料添加剂等养殖业投入质量检验检测</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4.负责动物和动物产品检疫相关事务性工作，负责动物及动物产品调运备案相关事务性工作。</w:t>
      </w:r>
    </w:p>
    <w:p>
      <w:pPr>
        <w:pStyle w:val="10"/>
        <w:widowControl/>
        <w:spacing w:line="600" w:lineRule="exact"/>
        <w:ind w:firstLine="0" w:firstLineChars="0"/>
        <w:rPr>
          <w:rFonts w:ascii="Times New Roman" w:hAnsi="Times New Roman" w:eastAsia="仿宋_GB2312" w:cs="Times New Roman"/>
          <w:sz w:val="32"/>
          <w:szCs w:val="32"/>
        </w:rPr>
      </w:pPr>
    </w:p>
    <w:p>
      <w:pPr>
        <w:pStyle w:val="10"/>
        <w:widowControl/>
        <w:spacing w:line="600" w:lineRule="exact"/>
        <w:ind w:firstLine="64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基本支出主要用于保障</w:t>
      </w:r>
      <w:r>
        <w:rPr>
          <w:rFonts w:hint="eastAsia" w:eastAsia="仿宋_GB2312" w:cs="Times New Roman"/>
          <w:sz w:val="32"/>
          <w:szCs w:val="32"/>
        </w:rPr>
        <w:t>区畜牧水产事务中心</w:t>
      </w:r>
      <w:r>
        <w:rPr>
          <w:rFonts w:hint="eastAsia" w:ascii="Times New Roman" w:hAnsi="Times New Roman" w:eastAsia="仿宋_GB2312" w:cs="Times New Roman"/>
          <w:sz w:val="32"/>
          <w:szCs w:val="32"/>
        </w:rPr>
        <w:t>正常运转、完成日常工作任务。2020年度基本支出</w:t>
      </w:r>
      <w:r>
        <w:rPr>
          <w:rFonts w:hint="eastAsia" w:eastAsia="仿宋_GB2312" w:cs="Times New Roman"/>
          <w:sz w:val="32"/>
          <w:szCs w:val="32"/>
        </w:rPr>
        <w:t>422.94</w:t>
      </w:r>
      <w:r>
        <w:rPr>
          <w:rFonts w:hint="eastAsia" w:ascii="Times New Roman" w:hAnsi="Times New Roman" w:eastAsia="仿宋_GB2312" w:cs="Times New Roman"/>
          <w:sz w:val="32"/>
          <w:szCs w:val="32"/>
        </w:rPr>
        <w:t>万元，主要包括以下几个部分：</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1、工资福利支出</w:t>
      </w:r>
      <w:r>
        <w:rPr>
          <w:rFonts w:hint="eastAsia" w:eastAsia="仿宋_GB2312" w:cs="Times New Roman"/>
          <w:sz w:val="32"/>
          <w:szCs w:val="32"/>
        </w:rPr>
        <w:t>313.94</w:t>
      </w:r>
      <w:r>
        <w:rPr>
          <w:rFonts w:hint="eastAsia" w:ascii="Times New Roman" w:hAnsi="Times New Roman" w:eastAsia="仿宋_GB2312" w:cs="Times New Roman"/>
          <w:sz w:val="32"/>
          <w:szCs w:val="32"/>
        </w:rPr>
        <w:t>万元，包括在职人员基本工资、津贴补贴、</w:t>
      </w:r>
      <w:r>
        <w:rPr>
          <w:rFonts w:hint="eastAsia" w:eastAsia="仿宋_GB2312" w:cs="Times New Roman"/>
          <w:sz w:val="32"/>
          <w:szCs w:val="32"/>
        </w:rPr>
        <w:t>奖金</w:t>
      </w:r>
      <w:r>
        <w:rPr>
          <w:rFonts w:hint="eastAsia" w:ascii="Times New Roman" w:hAnsi="Times New Roman" w:eastAsia="仿宋_GB2312" w:cs="Times New Roman"/>
          <w:sz w:val="32"/>
          <w:szCs w:val="32"/>
        </w:rPr>
        <w:t>、伙食补助费、社会保障缴费、</w:t>
      </w:r>
      <w:r>
        <w:rPr>
          <w:rFonts w:hint="eastAsia" w:eastAsia="仿宋_GB2312" w:cs="Times New Roman"/>
          <w:sz w:val="32"/>
          <w:szCs w:val="32"/>
        </w:rPr>
        <w:t>住房公积金</w:t>
      </w:r>
      <w:r>
        <w:rPr>
          <w:rFonts w:hint="eastAsia" w:ascii="Times New Roman" w:hAnsi="Times New Roman" w:eastAsia="仿宋_GB2312" w:cs="Times New Roman"/>
          <w:sz w:val="32"/>
          <w:szCs w:val="32"/>
        </w:rPr>
        <w:t>支出。</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2、商品和服务支出</w:t>
      </w:r>
      <w:r>
        <w:rPr>
          <w:rFonts w:hint="eastAsia" w:eastAsia="仿宋_GB2312" w:cs="Times New Roman"/>
          <w:sz w:val="32"/>
          <w:szCs w:val="32"/>
        </w:rPr>
        <w:t>52.80</w:t>
      </w:r>
      <w:r>
        <w:rPr>
          <w:rFonts w:hint="eastAsia" w:ascii="Times New Roman" w:hAnsi="Times New Roman" w:eastAsia="仿宋_GB2312" w:cs="Times New Roman"/>
          <w:sz w:val="32"/>
          <w:szCs w:val="32"/>
        </w:rPr>
        <w:t>万元，包括办公费、差旅费、水电费、</w:t>
      </w:r>
      <w:r>
        <w:rPr>
          <w:rFonts w:hint="eastAsia" w:eastAsia="仿宋_GB2312" w:cs="Times New Roman"/>
          <w:sz w:val="32"/>
          <w:szCs w:val="32"/>
        </w:rPr>
        <w:t>维修（护）费</w:t>
      </w:r>
      <w:r>
        <w:rPr>
          <w:rFonts w:hint="eastAsia" w:ascii="Times New Roman" w:hAnsi="Times New Roman" w:eastAsia="仿宋_GB2312" w:cs="Times New Roman"/>
          <w:sz w:val="32"/>
          <w:szCs w:val="32"/>
        </w:rPr>
        <w:t>、</w:t>
      </w:r>
      <w:r>
        <w:rPr>
          <w:rFonts w:hint="eastAsia" w:eastAsia="仿宋_GB2312" w:cs="Times New Roman"/>
          <w:sz w:val="32"/>
          <w:szCs w:val="32"/>
        </w:rPr>
        <w:t>劳务费</w:t>
      </w:r>
      <w:r>
        <w:rPr>
          <w:rFonts w:hint="eastAsia" w:ascii="Times New Roman" w:hAnsi="Times New Roman" w:eastAsia="仿宋_GB2312" w:cs="Times New Roman"/>
          <w:sz w:val="32"/>
          <w:szCs w:val="32"/>
        </w:rPr>
        <w:t>、</w:t>
      </w:r>
      <w:r>
        <w:rPr>
          <w:rFonts w:hint="eastAsia" w:eastAsia="仿宋_GB2312" w:cs="Times New Roman"/>
          <w:sz w:val="32"/>
          <w:szCs w:val="32"/>
        </w:rPr>
        <w:t>工会经费</w:t>
      </w:r>
      <w:r>
        <w:rPr>
          <w:rFonts w:hint="eastAsia" w:ascii="Times New Roman" w:hAnsi="Times New Roman" w:eastAsia="仿宋_GB2312" w:cs="Times New Roman"/>
          <w:sz w:val="32"/>
          <w:szCs w:val="32"/>
        </w:rPr>
        <w:t>、其他商品服务等支出。</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“三公”经费支出情况。2020年三公经费支出</w:t>
      </w:r>
      <w:r>
        <w:rPr>
          <w:rFonts w:hint="eastAsia" w:eastAsia="仿宋_GB2312" w:cs="Times New Roman"/>
          <w:sz w:val="32"/>
          <w:szCs w:val="32"/>
        </w:rPr>
        <w:t>0.33</w:t>
      </w:r>
      <w:r>
        <w:rPr>
          <w:rFonts w:hint="eastAsia" w:ascii="Times New Roman" w:hAnsi="Times New Roman" w:eastAsia="仿宋_GB2312" w:cs="Times New Roman"/>
          <w:sz w:val="32"/>
          <w:szCs w:val="32"/>
        </w:rPr>
        <w:t>万元，</w:t>
      </w:r>
      <w:r>
        <w:rPr>
          <w:rFonts w:hint="eastAsia" w:eastAsia="仿宋_GB2312" w:cs="Times New Roman"/>
          <w:sz w:val="32"/>
          <w:szCs w:val="32"/>
        </w:rPr>
        <w:t>其中，</w:t>
      </w:r>
      <w:r>
        <w:rPr>
          <w:rFonts w:hint="eastAsia" w:ascii="Times New Roman" w:hAnsi="Times New Roman" w:eastAsia="仿宋_GB2312" w:cs="Times New Roman"/>
          <w:sz w:val="32"/>
          <w:szCs w:val="32"/>
        </w:rPr>
        <w:t>公务接待费</w:t>
      </w:r>
      <w:r>
        <w:rPr>
          <w:rFonts w:hint="eastAsia" w:eastAsia="仿宋_GB2312" w:cs="Times New Roman"/>
          <w:sz w:val="32"/>
          <w:szCs w:val="32"/>
        </w:rPr>
        <w:t>0.33</w:t>
      </w:r>
      <w:r>
        <w:rPr>
          <w:rFonts w:hint="eastAsia" w:ascii="Times New Roman" w:hAnsi="Times New Roman" w:eastAsia="仿宋_GB2312" w:cs="Times New Roman"/>
          <w:sz w:val="32"/>
          <w:szCs w:val="32"/>
        </w:rPr>
        <w:t>万元。</w:t>
      </w:r>
    </w:p>
    <w:p>
      <w:pPr>
        <w:adjustRightInd w:val="0"/>
        <w:snapToGrid w:val="0"/>
        <w:spacing w:line="560" w:lineRule="exact"/>
        <w:ind w:firstLine="640" w:firstLineChars="200"/>
        <w:rPr>
          <w:rFonts w:ascii="Times New Roman" w:hAnsi="Times New Roman" w:eastAsia="黑体"/>
          <w:sz w:val="32"/>
          <w:szCs w:val="32"/>
        </w:rPr>
      </w:pPr>
      <w:r>
        <w:rPr>
          <w:rFonts w:hint="eastAsia" w:ascii="Times New Roman" w:hAnsi="Times New Roman" w:eastAsia="仿宋_GB2312" w:cs="Times New Roman"/>
          <w:sz w:val="32"/>
          <w:szCs w:val="32"/>
        </w:rPr>
        <w:t>3、对个人和家庭补助支出</w:t>
      </w:r>
      <w:r>
        <w:rPr>
          <w:rFonts w:hint="eastAsia" w:eastAsia="仿宋_GB2312" w:cs="Times New Roman"/>
          <w:sz w:val="32"/>
          <w:szCs w:val="32"/>
        </w:rPr>
        <w:t>56.20</w:t>
      </w:r>
      <w:r>
        <w:rPr>
          <w:rFonts w:hint="eastAsia" w:ascii="Times New Roman" w:hAnsi="Times New Roman" w:eastAsia="仿宋_GB2312" w:cs="Times New Roman"/>
          <w:sz w:val="32"/>
          <w:szCs w:val="32"/>
        </w:rPr>
        <w:t>万元，包括</w:t>
      </w:r>
      <w:r>
        <w:rPr>
          <w:rFonts w:hint="eastAsia" w:eastAsia="仿宋_GB2312" w:cs="Times New Roman"/>
          <w:sz w:val="32"/>
          <w:szCs w:val="32"/>
        </w:rPr>
        <w:t>退休人员春节一次性生活补助</w:t>
      </w:r>
      <w:r>
        <w:rPr>
          <w:rFonts w:hint="eastAsia" w:ascii="Times New Roman" w:hAnsi="Times New Roman" w:eastAsia="仿宋_GB2312" w:cs="Times New Roman"/>
          <w:sz w:val="32"/>
          <w:szCs w:val="32"/>
        </w:rPr>
        <w:t>等支出。</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10"/>
        <w:widowControl/>
        <w:spacing w:line="600" w:lineRule="exact"/>
        <w:ind w:left="64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1、项目资金安排落实、投入等情况</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仿宋_GB2312" w:hAnsi="仿宋_GB2312" w:eastAsia="仿宋_GB2312" w:cs="仿宋_GB2312"/>
          <w:color w:val="000000"/>
          <w:sz w:val="32"/>
          <w:szCs w:val="32"/>
        </w:rPr>
        <w:t>2020年区财政安排项目资金共664.58万元，其中：</w:t>
      </w:r>
    </w:p>
    <w:p>
      <w:pPr>
        <w:pStyle w:val="10"/>
        <w:widowControl/>
        <w:numPr>
          <w:ilvl w:val="0"/>
          <w:numId w:val="3"/>
        </w:numPr>
        <w:spacing w:line="600" w:lineRule="exact"/>
        <w:ind w:left="64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法律顾问聘用经费6万元；</w:t>
      </w:r>
    </w:p>
    <w:p>
      <w:pPr>
        <w:pStyle w:val="10"/>
        <w:widowControl/>
        <w:numPr>
          <w:ilvl w:val="0"/>
          <w:numId w:val="3"/>
        </w:numPr>
        <w:spacing w:line="600" w:lineRule="exact"/>
        <w:ind w:left="64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新冠肺炎疫情防控加班工作补助4.62万元；</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（3）涉渔“三无”船舶处置工作及补偿经费167.43万元；</w:t>
      </w:r>
    </w:p>
    <w:p>
      <w:pPr>
        <w:pStyle w:val="10"/>
        <w:widowControl/>
        <w:spacing w:line="600" w:lineRule="exact"/>
        <w:ind w:left="64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（4）非洲猪瘟防控经费33.23万元；</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（5）全省畜禽规模养殖污染防治设施配套建设工作奖补资金（湘财建二指[2019]25号）94.43万元；</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（6）村级防疫员强制免疫劳务报酬7万元；</w:t>
      </w:r>
    </w:p>
    <w:p>
      <w:pPr>
        <w:pStyle w:val="10"/>
        <w:widowControl/>
        <w:spacing w:line="600" w:lineRule="exact"/>
        <w:ind w:left="64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（7）动物产品检疫经费19.19万元；</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（8）重大动物疫病防控经费39.78万元；</w:t>
      </w:r>
    </w:p>
    <w:p>
      <w:pPr>
        <w:pStyle w:val="10"/>
        <w:widowControl/>
        <w:spacing w:line="600" w:lineRule="exact"/>
        <w:ind w:left="64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（9）无害化处理补助（湘财预[2018]306号）1万元；</w:t>
      </w:r>
    </w:p>
    <w:p>
      <w:pPr>
        <w:pStyle w:val="10"/>
        <w:widowControl/>
        <w:spacing w:line="600" w:lineRule="exact"/>
        <w:ind w:left="64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（10）强制免疫补助（湘财预[2018]306号）7.21万元；</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（11）2020年中央动物防疫补助经费（湘财预[2020]218号）15.30万元；</w:t>
      </w:r>
    </w:p>
    <w:p>
      <w:pPr>
        <w:pStyle w:val="10"/>
        <w:widowControl/>
        <w:numPr>
          <w:ilvl w:val="0"/>
          <w:numId w:val="4"/>
        </w:numPr>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畜禽水产品质量监管工作经费17.30万元；</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（13）2021年省级养殖产业发展资金（湘财农指[2020]53号）6.01万元；</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（14）2019年规模养殖场能繁母猪财政补助资金0.96万元；</w:t>
      </w:r>
    </w:p>
    <w:p>
      <w:pPr>
        <w:pStyle w:val="10"/>
        <w:widowControl/>
        <w:numPr>
          <w:ilvl w:val="0"/>
          <w:numId w:val="5"/>
        </w:numPr>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渔业资源保护渔政执法工作经费3.96万元；</w:t>
      </w:r>
    </w:p>
    <w:p>
      <w:pPr>
        <w:pStyle w:val="10"/>
        <w:widowControl/>
        <w:numPr>
          <w:ilvl w:val="0"/>
          <w:numId w:val="5"/>
        </w:numPr>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禁捕退捕工作经费8万元；</w:t>
      </w:r>
    </w:p>
    <w:p>
      <w:pPr>
        <w:pStyle w:val="10"/>
        <w:widowControl/>
        <w:spacing w:line="600" w:lineRule="exact"/>
        <w:ind w:left="420" w:leftChars="200" w:firstLine="320" w:firstLineChars="1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（17）禁捕退捕补偿资金158.16万元；</w:t>
      </w:r>
    </w:p>
    <w:p>
      <w:pPr>
        <w:pStyle w:val="10"/>
        <w:widowControl/>
        <w:spacing w:line="600" w:lineRule="exact"/>
        <w:ind w:left="420" w:leftChars="200" w:firstLine="320" w:firstLineChars="1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（18）禁捕退捕过渡期补助资金（湘财预[2019]288号）10万元；</w:t>
      </w:r>
    </w:p>
    <w:p>
      <w:pPr>
        <w:pStyle w:val="10"/>
        <w:widowControl/>
        <w:spacing w:line="600" w:lineRule="exact"/>
        <w:ind w:left="420" w:leftChars="200" w:firstLine="320" w:firstLineChars="1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（19）禁捕退捕执法工作经费（湘财预[2020]235号）16万元；</w:t>
      </w:r>
    </w:p>
    <w:p>
      <w:pPr>
        <w:pStyle w:val="10"/>
        <w:widowControl/>
        <w:spacing w:line="600" w:lineRule="exact"/>
        <w:ind w:left="420" w:leftChars="200" w:firstLine="320" w:firstLineChars="1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（20）2020年中央渔业资源增殖及保护资金10万元；</w:t>
      </w:r>
    </w:p>
    <w:p>
      <w:pPr>
        <w:pStyle w:val="10"/>
        <w:widowControl/>
        <w:spacing w:line="600" w:lineRule="exact"/>
        <w:ind w:left="420" w:leftChars="200" w:firstLine="320" w:firstLineChars="1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（21）第四批病死畜禽无害化处理体系建设奖补资金（湘财农指[2019]98号）30万元；</w:t>
      </w:r>
    </w:p>
    <w:p>
      <w:pPr>
        <w:pStyle w:val="10"/>
        <w:widowControl/>
        <w:spacing w:line="600" w:lineRule="exact"/>
        <w:ind w:left="420" w:leftChars="200" w:firstLine="320" w:firstLineChars="1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（22）2018年第二批生猪调出大县奖励资金（用于精准扶贫）9万元。</w:t>
      </w:r>
    </w:p>
    <w:p>
      <w:pPr>
        <w:adjustRightInd w:val="0"/>
        <w:snapToGrid w:val="0"/>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2、项目资金实际使用情况</w:t>
      </w:r>
    </w:p>
    <w:p>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color w:val="000000"/>
          <w:sz w:val="32"/>
          <w:szCs w:val="32"/>
        </w:rPr>
        <w:t>2020年项目支出为698.17万元，主要用于开展</w:t>
      </w:r>
      <w:r>
        <w:rPr>
          <w:rFonts w:hint="eastAsia" w:ascii="Times New Roman" w:hAnsi="Times New Roman" w:eastAsia="仿宋_GB2312" w:cs="Times New Roman"/>
          <w:sz w:val="32"/>
          <w:szCs w:val="32"/>
        </w:rPr>
        <w:t>涉渔“三无”船舶处置工作、禁捕退捕工作、</w:t>
      </w:r>
      <w:r>
        <w:rPr>
          <w:rFonts w:hint="eastAsia" w:ascii="仿宋_GB2312" w:hAnsi="仿宋_GB2312" w:eastAsia="仿宋_GB2312" w:cs="仿宋_GB2312"/>
          <w:color w:val="000000"/>
          <w:sz w:val="32"/>
          <w:szCs w:val="32"/>
        </w:rPr>
        <w:t>重大动物疫情防控、畜禽水产品质量安全监管、畜禽养殖污染整治等方面。</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仿宋_GB2312" w:cs="Times New Roman"/>
          <w:sz w:val="32"/>
          <w:szCs w:val="32"/>
        </w:rPr>
        <w:t>我中心无政府性基金预算开支。</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仿宋_GB2312" w:cs="Times New Roman"/>
          <w:sz w:val="32"/>
          <w:szCs w:val="32"/>
        </w:rPr>
        <w:t>我中心无国有资本经营预算开支。</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仿宋_GB2312" w:cs="Times New Roman"/>
          <w:sz w:val="32"/>
          <w:szCs w:val="32"/>
        </w:rPr>
        <w:t>我中心无社会保险基金预算开支。</w:t>
      </w:r>
    </w:p>
    <w:p>
      <w:pPr>
        <w:widowControl/>
        <w:spacing w:line="600" w:lineRule="exact"/>
        <w:ind w:firstLine="645"/>
        <w:jc w:val="left"/>
        <w:rPr>
          <w:rFonts w:eastAsia="黑体"/>
          <w:sz w:val="32"/>
          <w:szCs w:val="32"/>
        </w:rPr>
      </w:pPr>
      <w:r>
        <w:rPr>
          <w:rFonts w:eastAsia="黑体"/>
          <w:sz w:val="32"/>
          <w:szCs w:val="32"/>
        </w:rPr>
        <w:t>六、部门整体支出绩效情况</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对照鹤财绩〔2021〕30号文件规定的考核指标，我</w:t>
      </w:r>
      <w:r>
        <w:rPr>
          <w:rFonts w:hint="eastAsia" w:eastAsia="仿宋_GB2312" w:cs="Times New Roman"/>
          <w:sz w:val="32"/>
          <w:szCs w:val="32"/>
        </w:rPr>
        <w:t>中心</w:t>
      </w:r>
      <w:r>
        <w:rPr>
          <w:rFonts w:hint="eastAsia" w:ascii="Times New Roman" w:hAnsi="Times New Roman" w:eastAsia="仿宋_GB2312" w:cs="Times New Roman"/>
          <w:sz w:val="32"/>
          <w:szCs w:val="32"/>
        </w:rPr>
        <w:t>从经济性、效率性、有效性等对2020年部门整体支出绩效开展了评价，自评得分92分，具体情况如下：</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（一）经济性分析</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2020年年初预算批复406.02万元，年中追加预算680.82万元，剔除</w:t>
      </w:r>
      <w:r>
        <w:rPr>
          <w:rFonts w:hint="eastAsia" w:eastAsia="仿宋_GB2312" w:cs="Times New Roman"/>
          <w:sz w:val="32"/>
          <w:szCs w:val="32"/>
        </w:rPr>
        <w:t>年中追加</w:t>
      </w:r>
      <w:r>
        <w:rPr>
          <w:rFonts w:hint="eastAsia" w:ascii="Times New Roman" w:hAnsi="Times New Roman" w:eastAsia="仿宋_GB2312" w:cs="Times New Roman"/>
          <w:sz w:val="32"/>
          <w:szCs w:val="32"/>
        </w:rPr>
        <w:t>涉渔“三无”船舶处置工作及补偿经费、禁捕退捕</w:t>
      </w:r>
      <w:r>
        <w:rPr>
          <w:rFonts w:hint="eastAsia" w:eastAsia="仿宋_GB2312" w:cs="Times New Roman"/>
          <w:sz w:val="32"/>
          <w:szCs w:val="32"/>
        </w:rPr>
        <w:t>等项目资金</w:t>
      </w:r>
      <w:r>
        <w:rPr>
          <w:rFonts w:hint="eastAsia" w:ascii="Times New Roman" w:hAnsi="Times New Roman" w:eastAsia="仿宋_GB2312" w:cs="Times New Roman"/>
          <w:sz w:val="32"/>
          <w:szCs w:val="32"/>
        </w:rPr>
        <w:t>，我</w:t>
      </w:r>
      <w:r>
        <w:rPr>
          <w:rFonts w:hint="eastAsia" w:eastAsia="仿宋_GB2312" w:cs="Times New Roman"/>
          <w:sz w:val="32"/>
          <w:szCs w:val="32"/>
        </w:rPr>
        <w:t>中心</w:t>
      </w:r>
      <w:r>
        <w:rPr>
          <w:rFonts w:hint="eastAsia" w:ascii="Times New Roman" w:hAnsi="Times New Roman" w:eastAsia="仿宋_GB2312" w:cs="Times New Roman"/>
          <w:sz w:val="32"/>
          <w:szCs w:val="32"/>
        </w:rPr>
        <w:t>未向财政申请增加预算，成本（预算）控制良好</w:t>
      </w:r>
      <w:r>
        <w:rPr>
          <w:rFonts w:hint="eastAsia" w:eastAsia="仿宋_GB2312" w:cs="Times New Roman"/>
          <w:sz w:val="32"/>
          <w:szCs w:val="32"/>
        </w:rPr>
        <w:t>。</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（二）效率性分析</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抓新冠防控，夺取新冠疫情防控与畜牧业发展“双胜利”。今年春节以来，抽派我单位11人参与街道社区联防联控，实施新冠疫情防控“口袋战术”，抽派2人参入社区新冠疫情常态化防控。为保障做好新冠疫情下高致病性禽流感防控，区政府为中心拨付专项防控资金10万元。全区印发《禽流感防控明白纸》《动物免疫操作指南》等宣传资料1万余份，购买配发口罩2.5万个、“卫效”“医用酒精”等消毒剂2.5吨、派驻14名企业疫情联络员。牵头组织全区工会和非公有制企业共销售鸡鸭3.6万余羽（占当时压笼数三分之一多），解决规模家禽养殖户商品家禽压笼卖难的燃眉之急，努力夺取了疫情防控与畜牧水产业发展“双胜利”。</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抓产业发展，稳步推进养殖业转型升级。根据《禁养区划定指南》和相关法律法规和文件规定，2020年2月27日，区人民政府正式印发《怀化市鹤城区畜牧区域布局规划（2020-2025年）》，合理调整畜禽养殖业区域布局，为发展生猪养殖腾出了更多的空间。同时，为稳定生猪生产保障市场供应，结合鹤城实际，狠抓《怀化市鹤城区人民政府关于支持和鼓励恢复生猪生产五大政策措施》落实落地，一是成立技术服务团队开展一场一策复养指导；二是积极争取2020年中央预算内投资生猪养殖场改扩建项目一个（中央奖补资金50万元），提升怀化市兴隆农业开发有限公司动物防疫基础设施建设；三是组织养猪企业对接农担公司和建设银行，落实2家规模生猪养殖场贷款共290万元，另有2家正在办理中，实行养殖条件改造升级；四是积极招商引资，新建投产生猪规模场2家、蛋鸡场1家，同时建设较为完整的生物安全体系。五是强化合作，多家规模养殖场采取和大型养殖企业、饲料企业合作的方式提升管理水平，逐步开始复养并取得了成功，全区现有21家生猪规模养殖场全部复产。六是抓污染防治。今年，进一步完善《怀化市鹤城区非生猪调出大县畜禽粪污资源化利用整区推进项目实施方案》，并按照方案有序开展畜禽粪污资源化利用推进工作。目前，我区畜禽养殖粪污资源化利用率达87.94%。规模养殖场粪污处理装备配套率达100%。</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抓动物防疫，确保畜牧业健康平稳发展。全年未发生非洲猪瘟等重大动物疫情。一是落实主责主业，坚持开展强制免疫工作。分别在今年3月、9月组织好全区春秋两季集中动物免疫工作，口蹄疫、高致病性禽流感、小反刍兽疫等强制免疫病种应免率达100%，常年免疫率保持90%以上，牲畜挂标率均达100%。全年采集血清样品400余份进行免疫抗体检测，经检测全部合格。开展专项督查1次，确保口蹄疫、高致病性禽流感等重大动物疫病应免尽免。发放消毒药粉剂4000公斤，落实综合防控措施。二是抓好非洲猪瘟等重大动物疫情防控知识宣传。为切实做好非洲猪瘟、高致病性禽流感等重大动物疫情防控，印发《规模猪场非洲猪瘟防控与复养技术指南》、《中小养猪场户非洲猪瘟防控知识宣传》、《中小养猪场户非洲猪瘟防控技术指南》等技术资料1000余本。并实行疫情排查日报告制度。三是开展布病防控知识培训。组织全体动物防疫人员、牛羊规模养殖场户参加，实行布病防控知识集中培训和考试，提升人畜共患病防治动物防疫队伍整体能力水平。</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抓行业监管，确保畜禽水产品质量安全。一是加强疫情监测。对辖区内20余家规模养殖场、活禽交易市场开展非洲猪瘟、禽流感疫情监测，共采集样品260余份。监测结果均为阴性。二是加强违禁药品检测。重点开展了规模养殖场“盐酸克伦特罗、莱克多巴胺”等“瘦肉精”检测，出动工作人员112人次，共检测规模养殖场家14次，抽样110头份，检出率为“0”。在屠宰监管上，严把生猪入场检疫检测关，防止金泰屠宰场内发生重大疫情。2020年1月以来，金泰生猪定点屠宰场非洲猪瘟病毒荧光PCR检测批次为7072批次，检疫生猪11.4万余头，“瘦肉精”抽检8888头，抽检比例达到5%以上，检出率为“0”。同时，配合市畜牧水产事务中心到规模养殖场、农贸市场、屠宰场等地抽样，全年抽取鸡肉样品6份、鸡蛋样品5份，牛肉样品1份，羊肉样品1份，水产品4份，猪肝、猪肉样品各20份，通过抽样检测，有效确保畜禽水产品稳定供应和质量安全。三是加强兽药、饲料市场监管。出动工作人员70人/次，对全部26家兽药经营门店进行录入国家兽药追溯系统，并签订兽药质量安全承诺书。督促养殖户建立健全兽药及饲料进购及使用台帐，严格执行休药期。成功推荐湖南芭颉生态农牧股份公司获批为农业农村部第二批兽用抗菌药减量行动试点企业。</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禁捕退捕成效显著。为深入贯彻落实习近平总书记关于“共抓大保护、不搞大开发”的重要指示精神和党中央关于长江流域禁渔的规定，区委、区政府强力推进舞水河鹤城段及太平溪干流支流水域禁捕退捕工作。区主要领导任禁捕退捕工作领导小组组长亲自抓，分管副区长具体抓，压实各成员单位、各乡镇街道“一把手”责任，畜牧水产事务中心负责禁捕办日常工作，切实落实禁捕退捕各项工作措施。全面实现“四清”“四无”目标任务。</w:t>
      </w:r>
    </w:p>
    <w:p>
      <w:pPr>
        <w:pStyle w:val="10"/>
        <w:widowControl/>
        <w:spacing w:line="600" w:lineRule="exact"/>
        <w:ind w:left="640" w:firstLine="0" w:firstLineChars="0"/>
        <w:rPr>
          <w:rFonts w:ascii="Times New Roman" w:hAnsi="Times New Roman" w:eastAsia="黑体"/>
          <w:sz w:val="32"/>
          <w:szCs w:val="32"/>
        </w:rPr>
      </w:pP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（三）有效性分析</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1、预算完成率。2020年上年结转</w:t>
      </w:r>
      <w:r>
        <w:rPr>
          <w:rFonts w:hint="eastAsia" w:eastAsia="仿宋_GB2312" w:cs="Times New Roman"/>
          <w:sz w:val="32"/>
          <w:szCs w:val="32"/>
        </w:rPr>
        <w:t>34.27</w:t>
      </w:r>
      <w:r>
        <w:rPr>
          <w:rFonts w:hint="eastAsia" w:ascii="Times New Roman" w:hAnsi="Times New Roman" w:eastAsia="仿宋_GB2312" w:cs="Times New Roman"/>
          <w:sz w:val="32"/>
          <w:szCs w:val="32"/>
        </w:rPr>
        <w:t>万元，年初预算</w:t>
      </w:r>
      <w:r>
        <w:rPr>
          <w:rFonts w:hint="eastAsia" w:eastAsia="仿宋_GB2312" w:cs="Times New Roman"/>
          <w:sz w:val="32"/>
          <w:szCs w:val="32"/>
        </w:rPr>
        <w:t>406.02</w:t>
      </w:r>
      <w:r>
        <w:rPr>
          <w:rFonts w:hint="eastAsia" w:ascii="Times New Roman" w:hAnsi="Times New Roman" w:eastAsia="仿宋_GB2312" w:cs="Times New Roman"/>
          <w:sz w:val="32"/>
          <w:szCs w:val="32"/>
        </w:rPr>
        <w:t>万元，调整预算680.82万元，预算完成率</w:t>
      </w:r>
      <w:r>
        <w:rPr>
          <w:rFonts w:hint="eastAsia" w:eastAsia="仿宋_GB2312" w:cs="Times New Roman"/>
          <w:sz w:val="32"/>
          <w:szCs w:val="32"/>
        </w:rPr>
        <w:t>100</w:t>
      </w:r>
      <w:r>
        <w:rPr>
          <w:rFonts w:hint="eastAsia" w:ascii="Times New Roman" w:hAnsi="Times New Roman" w:eastAsia="仿宋_GB2312" w:cs="Times New Roman"/>
          <w:sz w:val="32"/>
          <w:szCs w:val="32"/>
        </w:rPr>
        <w:t>%。</w:t>
      </w:r>
    </w:p>
    <w:p>
      <w:pPr>
        <w:widowControl/>
        <w:spacing w:line="600" w:lineRule="exact"/>
        <w:ind w:firstLine="645"/>
        <w:jc w:val="left"/>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2、预算调整率。2020年预算控制率</w:t>
      </w:r>
      <w:r>
        <w:rPr>
          <w:rFonts w:hint="eastAsia" w:eastAsia="仿宋_GB2312" w:cs="Times New Roman"/>
          <w:sz w:val="32"/>
          <w:szCs w:val="32"/>
        </w:rPr>
        <w:t>超过176.12</w:t>
      </w:r>
      <w:r>
        <w:rPr>
          <w:rFonts w:hint="eastAsia" w:ascii="Times New Roman" w:hAnsi="Times New Roman" w:eastAsia="仿宋_GB2312" w:cs="Times New Roman"/>
          <w:sz w:val="32"/>
          <w:szCs w:val="32"/>
        </w:rPr>
        <w:t>%，预算控制未达到预期目标。</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3</w:t>
      </w:r>
      <w:r>
        <w:rPr>
          <w:rFonts w:hint="eastAsia" w:ascii="Times New Roman" w:hAnsi="Times New Roman" w:eastAsia="仿宋_GB2312" w:cs="Times New Roman"/>
          <w:sz w:val="32"/>
          <w:szCs w:val="32"/>
        </w:rPr>
        <w:t>、公用经费控制率。2020年我</w:t>
      </w:r>
      <w:r>
        <w:rPr>
          <w:rFonts w:hint="eastAsia" w:eastAsia="仿宋_GB2312" w:cs="Times New Roman"/>
          <w:sz w:val="32"/>
          <w:szCs w:val="32"/>
        </w:rPr>
        <w:t>中心</w:t>
      </w:r>
      <w:r>
        <w:rPr>
          <w:rFonts w:hint="eastAsia" w:ascii="Times New Roman" w:hAnsi="Times New Roman" w:eastAsia="仿宋_GB2312" w:cs="Times New Roman"/>
          <w:sz w:val="32"/>
          <w:szCs w:val="32"/>
        </w:rPr>
        <w:t>预算管理（按部门预算经济分类）各项指标控制比较薄弱，实际支出公用经费总额</w:t>
      </w:r>
      <w:r>
        <w:rPr>
          <w:rFonts w:hint="eastAsia" w:eastAsia="仿宋_GB2312" w:cs="Times New Roman"/>
          <w:sz w:val="32"/>
          <w:szCs w:val="32"/>
        </w:rPr>
        <w:t>52.80</w:t>
      </w:r>
      <w:r>
        <w:rPr>
          <w:rFonts w:hint="eastAsia" w:ascii="Times New Roman" w:hAnsi="Times New Roman" w:eastAsia="仿宋_GB2312" w:cs="Times New Roman"/>
          <w:sz w:val="32"/>
          <w:szCs w:val="32"/>
        </w:rPr>
        <w:t>万元，预算安排公用经费总额31.55万元，公用经费控制率</w:t>
      </w:r>
      <w:r>
        <w:rPr>
          <w:rFonts w:hint="eastAsia" w:eastAsia="仿宋_GB2312" w:cs="Times New Roman"/>
          <w:sz w:val="32"/>
          <w:szCs w:val="32"/>
        </w:rPr>
        <w:t>167.37</w:t>
      </w:r>
      <w:r>
        <w:rPr>
          <w:rFonts w:hint="eastAsia" w:ascii="Times New Roman" w:hAnsi="Times New Roman" w:eastAsia="仿宋_GB2312" w:cs="Times New Roman"/>
          <w:sz w:val="32"/>
          <w:szCs w:val="32"/>
        </w:rPr>
        <w:t>%。</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4</w:t>
      </w:r>
      <w:r>
        <w:rPr>
          <w:rFonts w:hint="eastAsia" w:ascii="Times New Roman" w:hAnsi="Times New Roman" w:eastAsia="仿宋_GB2312" w:cs="Times New Roman"/>
          <w:sz w:val="32"/>
          <w:szCs w:val="32"/>
        </w:rPr>
        <w:t>、“三公经费”控制率。“三公经费”实际支出数为</w:t>
      </w:r>
      <w:r>
        <w:rPr>
          <w:rFonts w:hint="eastAsia" w:eastAsia="仿宋_GB2312" w:cs="Times New Roman"/>
          <w:sz w:val="32"/>
          <w:szCs w:val="32"/>
        </w:rPr>
        <w:t>0.33</w:t>
      </w:r>
      <w:r>
        <w:rPr>
          <w:rFonts w:hint="eastAsia" w:ascii="Times New Roman" w:hAnsi="Times New Roman" w:eastAsia="仿宋_GB2312" w:cs="Times New Roman"/>
          <w:sz w:val="32"/>
          <w:szCs w:val="32"/>
        </w:rPr>
        <w:t>万元，预算安排</w:t>
      </w:r>
      <w:r>
        <w:rPr>
          <w:rFonts w:hint="eastAsia" w:eastAsia="仿宋_GB2312" w:cs="Times New Roman"/>
          <w:sz w:val="32"/>
          <w:szCs w:val="32"/>
        </w:rPr>
        <w:t>3</w:t>
      </w:r>
      <w:r>
        <w:rPr>
          <w:rFonts w:hint="eastAsia" w:ascii="Times New Roman" w:hAnsi="Times New Roman" w:eastAsia="仿宋_GB2312" w:cs="Times New Roman"/>
          <w:sz w:val="32"/>
          <w:szCs w:val="32"/>
        </w:rPr>
        <w:t>万元，“三公经费”控制率为</w:t>
      </w:r>
      <w:r>
        <w:rPr>
          <w:rFonts w:hint="eastAsia" w:eastAsia="仿宋_GB2312" w:cs="Times New Roman"/>
          <w:sz w:val="32"/>
          <w:szCs w:val="32"/>
        </w:rPr>
        <w:t>11.02</w:t>
      </w:r>
      <w:r>
        <w:rPr>
          <w:rFonts w:hint="eastAsia" w:ascii="Times New Roman" w:hAnsi="Times New Roman" w:eastAsia="仿宋_GB2312" w:cs="Times New Roman"/>
          <w:sz w:val="32"/>
          <w:szCs w:val="32"/>
        </w:rPr>
        <w:t>%。</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5</w:t>
      </w:r>
      <w:r>
        <w:rPr>
          <w:rFonts w:hint="eastAsia" w:ascii="Times New Roman" w:hAnsi="Times New Roman" w:eastAsia="仿宋_GB2312" w:cs="Times New Roman"/>
          <w:sz w:val="32"/>
          <w:szCs w:val="32"/>
        </w:rPr>
        <w:t>、政府采购执行率。政府采购预算3</w:t>
      </w:r>
      <w:r>
        <w:rPr>
          <w:rFonts w:hint="eastAsia" w:eastAsia="仿宋_GB2312" w:cs="Times New Roman"/>
          <w:sz w:val="32"/>
          <w:szCs w:val="32"/>
        </w:rPr>
        <w:t>万</w:t>
      </w:r>
      <w:r>
        <w:rPr>
          <w:rFonts w:hint="eastAsia" w:ascii="Times New Roman" w:hAnsi="Times New Roman" w:eastAsia="仿宋_GB2312" w:cs="Times New Roman"/>
          <w:sz w:val="32"/>
          <w:szCs w:val="32"/>
        </w:rPr>
        <w:t>元，实际政府采购金额</w:t>
      </w:r>
      <w:r>
        <w:rPr>
          <w:rFonts w:hint="eastAsia" w:eastAsia="仿宋_GB2312" w:cs="Times New Roman"/>
          <w:sz w:val="32"/>
          <w:szCs w:val="32"/>
        </w:rPr>
        <w:t>25.26</w:t>
      </w:r>
      <w:r>
        <w:rPr>
          <w:rFonts w:hint="eastAsia" w:ascii="Times New Roman" w:hAnsi="Times New Roman" w:eastAsia="仿宋_GB2312" w:cs="Times New Roman"/>
          <w:sz w:val="32"/>
          <w:szCs w:val="32"/>
        </w:rPr>
        <w:t>万元。</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6</w:t>
      </w:r>
      <w:r>
        <w:rPr>
          <w:rFonts w:hint="eastAsia" w:ascii="Times New Roman" w:hAnsi="Times New Roman" w:eastAsia="仿宋_GB2312" w:cs="Times New Roman"/>
          <w:sz w:val="32"/>
          <w:szCs w:val="32"/>
        </w:rPr>
        <w:t>、管理制度健全性。我</w:t>
      </w:r>
      <w:r>
        <w:rPr>
          <w:rFonts w:hint="eastAsia" w:eastAsia="仿宋_GB2312" w:cs="Times New Roman"/>
          <w:sz w:val="32"/>
          <w:szCs w:val="32"/>
        </w:rPr>
        <w:t>中心</w:t>
      </w:r>
      <w:r>
        <w:rPr>
          <w:rFonts w:hint="eastAsia" w:ascii="Times New Roman" w:hAnsi="Times New Roman" w:eastAsia="仿宋_GB2312" w:cs="Times New Roman"/>
          <w:sz w:val="32"/>
          <w:szCs w:val="32"/>
        </w:rPr>
        <w:t>严格遵守党风廉政建设有关规定，严格执行差旅、会议、培训有关规定的要求。做好内控体系建设，对预算管理、收支业务、政府采购、资产控制、工程项目和合同等六大方面经济业务的业务流程、风险点、业务流程、管理制度进行了全面梳理，构建了较为规范的内部控制体系。</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 资金使用合规性。加强资金监管，严格执行财经法规及财务制度，按流程进行作业。确保各项支出符合财务制</w:t>
      </w:r>
      <w:bookmarkStart w:id="0" w:name="_GoBack"/>
      <w:bookmarkEnd w:id="0"/>
      <w:r>
        <w:rPr>
          <w:rFonts w:hint="eastAsia" w:ascii="Times New Roman" w:hAnsi="Times New Roman" w:eastAsia="仿宋_GB2312" w:cs="Times New Roman"/>
          <w:sz w:val="32"/>
          <w:szCs w:val="32"/>
        </w:rPr>
        <w:t>度的规定。严格履行项目资金申报、审核程序，重大项目支出</w:t>
      </w:r>
      <w:r>
        <w:rPr>
          <w:rFonts w:hint="eastAsia" w:eastAsia="仿宋_GB2312" w:cs="Times New Roman"/>
          <w:sz w:val="32"/>
          <w:szCs w:val="32"/>
        </w:rPr>
        <w:t>经中心支委会</w:t>
      </w:r>
      <w:r>
        <w:rPr>
          <w:rFonts w:hint="eastAsia" w:ascii="Times New Roman" w:hAnsi="Times New Roman" w:eastAsia="仿宋_GB2312" w:cs="Times New Roman"/>
          <w:sz w:val="32"/>
          <w:szCs w:val="32"/>
        </w:rPr>
        <w:t>研究决定。</w:t>
      </w:r>
    </w:p>
    <w:p>
      <w:pPr>
        <w:widowControl/>
        <w:numPr>
          <w:ilvl w:val="0"/>
          <w:numId w:val="6"/>
        </w:numPr>
        <w:spacing w:line="600" w:lineRule="exact"/>
        <w:ind w:firstLine="645"/>
        <w:jc w:val="left"/>
        <w:rPr>
          <w:rFonts w:eastAsia="仿宋_GB2312" w:cs="Times New Roman"/>
          <w:sz w:val="32"/>
          <w:szCs w:val="32"/>
        </w:rPr>
      </w:pPr>
      <w:r>
        <w:rPr>
          <w:rFonts w:hint="eastAsia" w:ascii="Times New Roman" w:hAnsi="Times New Roman" w:eastAsia="仿宋_GB2312" w:cs="Times New Roman"/>
          <w:sz w:val="32"/>
          <w:szCs w:val="32"/>
        </w:rPr>
        <w:t>基础信息完善性</w:t>
      </w:r>
      <w:r>
        <w:rPr>
          <w:rFonts w:hint="eastAsia" w:eastAsia="仿宋_GB2312" w:cs="Times New Roman"/>
          <w:sz w:val="32"/>
          <w:szCs w:val="32"/>
        </w:rPr>
        <w:t>。基础数据信息和会计信息资料真实、完整、准确。</w:t>
      </w:r>
    </w:p>
    <w:p>
      <w:pPr>
        <w:spacing w:line="560" w:lineRule="exact"/>
        <w:ind w:firstLine="640" w:firstLineChars="200"/>
        <w:rPr>
          <w:rFonts w:eastAsia="仿宋_GB2312" w:cs="Times New Roman"/>
          <w:sz w:val="32"/>
          <w:szCs w:val="32"/>
        </w:rPr>
      </w:pPr>
      <w:r>
        <w:rPr>
          <w:rFonts w:hint="eastAsia" w:eastAsia="仿宋_GB2312" w:cs="Times New Roman"/>
          <w:sz w:val="32"/>
          <w:szCs w:val="32"/>
        </w:rPr>
        <w:t>9、资产管理安全性。一是合理配置资产。坚持科学合理、优化资产，勤俭节约，从严控制的原则，根据履行工作职能的需求合理配置资产。二是加强日常维护。固定资产使用人负责资产的日常维护保养，保证资产安全完整，提高资产使用效率。三是按程序处置资产。四是每年定期组织资产清查，对资产进行账实核对，做到账实相符、账账相符。</w:t>
      </w:r>
    </w:p>
    <w:p>
      <w:pPr>
        <w:widowControl/>
        <w:spacing w:line="600" w:lineRule="exact"/>
        <w:ind w:firstLine="645"/>
        <w:jc w:val="left"/>
        <w:rPr>
          <w:rFonts w:ascii="Times New Roman" w:hAnsi="Times New Roman" w:eastAsia="黑体"/>
          <w:sz w:val="32"/>
          <w:szCs w:val="32"/>
        </w:rPr>
      </w:pPr>
      <w:r>
        <w:rPr>
          <w:rFonts w:hint="eastAsia" w:eastAsia="仿宋_GB2312" w:cs="Times New Roman"/>
          <w:w w:val="99"/>
          <w:sz w:val="32"/>
          <w:szCs w:val="32"/>
        </w:rPr>
        <w:t>10</w:t>
      </w:r>
      <w:r>
        <w:rPr>
          <w:rFonts w:hint="eastAsia" w:ascii="Times New Roman" w:hAnsi="Times New Roman" w:eastAsia="仿宋_GB2312" w:cs="Times New Roman"/>
          <w:w w:val="99"/>
          <w:sz w:val="32"/>
          <w:szCs w:val="32"/>
        </w:rPr>
        <w:t>、预决算信息公开性。真实准确编制部门预算和决算，按时上报基础数据资料。对上年度部门整体支出进行了绩效评价，对标找差距。按规定时限和规定内容公开部门预算、部门决算以及绩效自评报告。各项应向社会公开的信息及时、完整、真实，更加细化，部门预决算信息透明度进一步提高。 </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widowControl/>
        <w:spacing w:line="600" w:lineRule="exact"/>
        <w:ind w:firstLine="640" w:firstLineChars="200"/>
        <w:jc w:val="left"/>
        <w:rPr>
          <w:rFonts w:eastAsia="仿宋_GB2312"/>
          <w:color w:val="000000"/>
          <w:sz w:val="32"/>
          <w:szCs w:val="32"/>
        </w:rPr>
      </w:pPr>
      <w:r>
        <w:rPr>
          <w:rFonts w:hint="eastAsia" w:eastAsia="仿宋_GB2312"/>
          <w:color w:val="000000"/>
          <w:sz w:val="32"/>
          <w:szCs w:val="32"/>
        </w:rPr>
        <w:t>预算编制不够细。预算编制的准备工作不够充分，编制工作时间紧，任务重，所编制的预算不够科学、不够细致，在预算执行时，出现需要调整的现象。</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widowControl/>
        <w:spacing w:line="600" w:lineRule="exact"/>
        <w:ind w:firstLine="640" w:firstLineChars="200"/>
        <w:jc w:val="left"/>
        <w:rPr>
          <w:rFonts w:eastAsia="黑体"/>
          <w:sz w:val="32"/>
          <w:szCs w:val="32"/>
        </w:rPr>
      </w:pPr>
      <w:r>
        <w:rPr>
          <w:rFonts w:hint="eastAsia" w:eastAsia="仿宋_GB2312"/>
          <w:color w:val="000000"/>
          <w:sz w:val="32"/>
          <w:szCs w:val="32"/>
        </w:rPr>
        <w:t>各业务部室应做好预算编制前的调研准备工作，收集相关政策依据，测算资金来源和资金耗费，提前谋划预算年度工作，使编制的预算更科学、完整、具体。</w:t>
      </w:r>
    </w:p>
    <w:p>
      <w:pPr>
        <w:widowControl/>
        <w:spacing w:line="600" w:lineRule="exact"/>
        <w:ind w:firstLine="645"/>
        <w:jc w:val="left"/>
        <w:rPr>
          <w:rFonts w:eastAsia="黑体"/>
          <w:sz w:val="32"/>
          <w:szCs w:val="32"/>
        </w:rPr>
      </w:pPr>
      <w:r>
        <w:rPr>
          <w:rFonts w:eastAsia="黑体"/>
          <w:sz w:val="32"/>
          <w:szCs w:val="32"/>
        </w:rPr>
        <w:t>九、其他需要说明的情况</w:t>
      </w:r>
    </w:p>
    <w:p>
      <w:pPr>
        <w:widowControl/>
        <w:spacing w:line="600" w:lineRule="exact"/>
        <w:ind w:firstLine="640" w:firstLineChars="200"/>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无。</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A2AF40"/>
    <w:multiLevelType w:val="singleLevel"/>
    <w:tmpl w:val="BDA2AF40"/>
    <w:lvl w:ilvl="0" w:tentative="0">
      <w:start w:val="1"/>
      <w:numFmt w:val="chineseCounting"/>
      <w:suff w:val="nothing"/>
      <w:lvlText w:val="（%1）"/>
      <w:lvlJc w:val="left"/>
      <w:rPr>
        <w:rFonts w:hint="eastAsia"/>
      </w:rPr>
    </w:lvl>
  </w:abstractNum>
  <w:abstractNum w:abstractNumId="1">
    <w:nsid w:val="E7DC258F"/>
    <w:multiLevelType w:val="singleLevel"/>
    <w:tmpl w:val="E7DC258F"/>
    <w:lvl w:ilvl="0" w:tentative="0">
      <w:start w:val="15"/>
      <w:numFmt w:val="decimal"/>
      <w:suff w:val="nothing"/>
      <w:lvlText w:val="（%1）"/>
      <w:lvlJc w:val="left"/>
    </w:lvl>
  </w:abstractNum>
  <w:abstractNum w:abstractNumId="2">
    <w:nsid w:val="00913648"/>
    <w:multiLevelType w:val="singleLevel"/>
    <w:tmpl w:val="00913648"/>
    <w:lvl w:ilvl="0" w:tentative="0">
      <w:start w:val="1"/>
      <w:numFmt w:val="decimal"/>
      <w:suff w:val="nothing"/>
      <w:lvlText w:val="（%1）"/>
      <w:lvlJc w:val="left"/>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84E5BF0"/>
    <w:multiLevelType w:val="singleLevel"/>
    <w:tmpl w:val="584E5BF0"/>
    <w:lvl w:ilvl="0" w:tentative="0">
      <w:start w:val="12"/>
      <w:numFmt w:val="decimal"/>
      <w:suff w:val="nothing"/>
      <w:lvlText w:val="（%1）"/>
      <w:lvlJc w:val="left"/>
    </w:lvl>
  </w:abstractNum>
  <w:abstractNum w:abstractNumId="5">
    <w:nsid w:val="603A9A0C"/>
    <w:multiLevelType w:val="singleLevel"/>
    <w:tmpl w:val="603A9A0C"/>
    <w:lvl w:ilvl="0" w:tentative="0">
      <w:start w:val="8"/>
      <w:numFmt w:val="decimal"/>
      <w:suff w:val="nothing"/>
      <w:lvlText w:val="%1、"/>
      <w:lvlJc w:val="left"/>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iN2I2MGVkMDg5ODUwNjg2MjA4ODBkNmQzM2Q1OWYifQ=="/>
  </w:docVars>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3E79"/>
    <w:rsid w:val="00487911"/>
    <w:rsid w:val="00491741"/>
    <w:rsid w:val="004C7EFB"/>
    <w:rsid w:val="00500E5F"/>
    <w:rsid w:val="005122EF"/>
    <w:rsid w:val="00513E45"/>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B728E"/>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47888"/>
    <w:rsid w:val="00F74360"/>
    <w:rsid w:val="00FB462F"/>
    <w:rsid w:val="00FE16FA"/>
    <w:rsid w:val="00FE328A"/>
    <w:rsid w:val="00FE6269"/>
    <w:rsid w:val="05CA1943"/>
    <w:rsid w:val="070C0C6F"/>
    <w:rsid w:val="0782282F"/>
    <w:rsid w:val="096B4E29"/>
    <w:rsid w:val="0BF81DF8"/>
    <w:rsid w:val="0C4575FA"/>
    <w:rsid w:val="12FB75AE"/>
    <w:rsid w:val="13804505"/>
    <w:rsid w:val="197C1FA0"/>
    <w:rsid w:val="1A211712"/>
    <w:rsid w:val="1A7C3588"/>
    <w:rsid w:val="20AC2107"/>
    <w:rsid w:val="228250DA"/>
    <w:rsid w:val="27000023"/>
    <w:rsid w:val="28042891"/>
    <w:rsid w:val="2C0628D7"/>
    <w:rsid w:val="2D062D66"/>
    <w:rsid w:val="312467AE"/>
    <w:rsid w:val="39CC6D0A"/>
    <w:rsid w:val="3AB11775"/>
    <w:rsid w:val="40DF5B5E"/>
    <w:rsid w:val="43476372"/>
    <w:rsid w:val="44402538"/>
    <w:rsid w:val="4C486517"/>
    <w:rsid w:val="4EEB119A"/>
    <w:rsid w:val="5319600C"/>
    <w:rsid w:val="5947004D"/>
    <w:rsid w:val="5E5A62E9"/>
    <w:rsid w:val="5ED2701A"/>
    <w:rsid w:val="639F7EA0"/>
    <w:rsid w:val="63B61137"/>
    <w:rsid w:val="66B62A97"/>
    <w:rsid w:val="688D1392"/>
    <w:rsid w:val="68EA1302"/>
    <w:rsid w:val="68F75EDA"/>
    <w:rsid w:val="73DA0925"/>
    <w:rsid w:val="7AA64BA7"/>
    <w:rsid w:val="7D570B98"/>
    <w:rsid w:val="7E2219B5"/>
    <w:rsid w:val="7F8A10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10676</Words>
  <Characters>11670</Characters>
  <Lines>85</Lines>
  <Paragraphs>23</Paragraphs>
  <TotalTime>0</TotalTime>
  <ScaleCrop>false</ScaleCrop>
  <LinksUpToDate>false</LinksUpToDate>
  <CharactersWithSpaces>11677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2021-10-11T02:56:00Z</dcterms:created>
  <dc:creator>李航 null</dc:creator>
  <cp:lastModifiedBy>彭彭</cp:lastModifiedBy>
  <cp:lastPrinted>2021-07-28T00:12:00Z</cp:lastPrinted>
  <dcterms:modified xsi:type="dcterms:W3CDTF">2022-09-02T05:51:22Z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0851177AEA934DE38D3B2AC67D306EAA</vt:lpwstr>
  </property>
</Properties>
</file>